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692D8" w14:textId="3B68C408" w:rsidR="0061621E" w:rsidRPr="00723DA9" w:rsidRDefault="560795AF" w:rsidP="00771F99">
      <w:pPr>
        <w:pStyle w:val="Default"/>
        <w:spacing w:line="480" w:lineRule="auto"/>
        <w:jc w:val="center"/>
      </w:pPr>
      <w:r w:rsidRPr="00723DA9">
        <w:rPr>
          <w:color w:val="1C1C1C"/>
        </w:rPr>
        <w:t>UNIVERSITY OF OKLAHOMA</w:t>
      </w:r>
    </w:p>
    <w:p w14:paraId="0C5C2DC8" w14:textId="15E1CA48" w:rsidR="0061621E" w:rsidRPr="00723DA9" w:rsidRDefault="0061621E" w:rsidP="00771F99">
      <w:pPr>
        <w:pStyle w:val="Default"/>
        <w:spacing w:line="480" w:lineRule="auto"/>
        <w:jc w:val="center"/>
        <w:rPr>
          <w:color w:val="1C1C1C"/>
        </w:rPr>
      </w:pPr>
      <w:r w:rsidRPr="00723DA9">
        <w:rPr>
          <w:color w:val="1C1C1C"/>
        </w:rPr>
        <w:t>GRADUATE COLLEGE</w:t>
      </w:r>
    </w:p>
    <w:p w14:paraId="1219F1EB" w14:textId="08628779" w:rsidR="0061621E" w:rsidRPr="00723DA9" w:rsidRDefault="0061621E" w:rsidP="00771F99">
      <w:pPr>
        <w:pStyle w:val="Default"/>
        <w:spacing w:line="480" w:lineRule="auto"/>
        <w:jc w:val="center"/>
        <w:rPr>
          <w:color w:val="1C1C1C"/>
        </w:rPr>
      </w:pPr>
    </w:p>
    <w:p w14:paraId="3F2C8DF2" w14:textId="77777777" w:rsidR="0061621E" w:rsidRPr="00723DA9" w:rsidRDefault="0061621E" w:rsidP="00771F99">
      <w:pPr>
        <w:pStyle w:val="Default"/>
        <w:spacing w:line="480" w:lineRule="auto"/>
        <w:jc w:val="center"/>
        <w:rPr>
          <w:color w:val="1C1C1C"/>
        </w:rPr>
      </w:pPr>
    </w:p>
    <w:p w14:paraId="0E517CB7" w14:textId="05146863" w:rsidR="0061621E" w:rsidRPr="00723DA9" w:rsidRDefault="0061621E" w:rsidP="00771F99">
      <w:pPr>
        <w:pStyle w:val="Default"/>
        <w:spacing w:line="480" w:lineRule="auto"/>
        <w:jc w:val="center"/>
      </w:pPr>
      <w:r w:rsidRPr="00723DA9">
        <w:t>IMPROVING HIGH-RESOLUTION TROPICAL CYCLONE PREDICTION USING A CYCLED, GSI-BASED HYBRID ENSEMBLE-VARIATIONAL DATA ASSIMILATION SYSTEM FOR HWRF WITH VORTEX SCALE OBSERVATIONS</w:t>
      </w:r>
    </w:p>
    <w:p w14:paraId="5A3B0CC6" w14:textId="4DF8FC53" w:rsidR="0061621E" w:rsidRPr="00723DA9" w:rsidRDefault="0061621E" w:rsidP="00771F99">
      <w:pPr>
        <w:pStyle w:val="Default"/>
        <w:spacing w:line="480" w:lineRule="auto"/>
        <w:jc w:val="center"/>
      </w:pPr>
    </w:p>
    <w:p w14:paraId="63F4DE3B" w14:textId="77777777" w:rsidR="0061621E" w:rsidRPr="00723DA9" w:rsidRDefault="0061621E" w:rsidP="00771F99">
      <w:pPr>
        <w:pStyle w:val="Default"/>
        <w:spacing w:line="480" w:lineRule="auto"/>
        <w:jc w:val="center"/>
      </w:pPr>
    </w:p>
    <w:p w14:paraId="3147A990" w14:textId="77777777" w:rsidR="0061621E" w:rsidRPr="00723DA9" w:rsidRDefault="0061621E" w:rsidP="00771F99">
      <w:pPr>
        <w:pStyle w:val="Default"/>
        <w:spacing w:line="480" w:lineRule="auto"/>
        <w:jc w:val="center"/>
      </w:pPr>
    </w:p>
    <w:p w14:paraId="23CC99DD" w14:textId="5A7C9C29" w:rsidR="0061621E" w:rsidRPr="00723DA9" w:rsidRDefault="0061621E" w:rsidP="00771F99">
      <w:pPr>
        <w:pStyle w:val="Default"/>
        <w:spacing w:line="480" w:lineRule="auto"/>
        <w:jc w:val="center"/>
        <w:rPr>
          <w:color w:val="1C1C1C"/>
        </w:rPr>
      </w:pPr>
      <w:r w:rsidRPr="00723DA9">
        <w:rPr>
          <w:color w:val="1C1C1C"/>
        </w:rPr>
        <w:t>A DISSERTATION</w:t>
      </w:r>
    </w:p>
    <w:p w14:paraId="7B376795" w14:textId="797FB153" w:rsidR="0061621E" w:rsidRPr="00723DA9" w:rsidRDefault="0061621E" w:rsidP="00771F99">
      <w:pPr>
        <w:pStyle w:val="Default"/>
        <w:spacing w:line="480" w:lineRule="auto"/>
        <w:jc w:val="center"/>
        <w:rPr>
          <w:color w:val="1C1C1C"/>
        </w:rPr>
      </w:pPr>
      <w:r w:rsidRPr="00723DA9">
        <w:rPr>
          <w:color w:val="1C1C1C"/>
        </w:rPr>
        <w:t>SUBMITTED TO THE GRADUATE FACULTY</w:t>
      </w:r>
    </w:p>
    <w:p w14:paraId="178DB718" w14:textId="32C2B497" w:rsidR="0061621E" w:rsidRPr="00723DA9" w:rsidRDefault="0061621E" w:rsidP="00771F99">
      <w:pPr>
        <w:pStyle w:val="Default"/>
        <w:spacing w:line="480" w:lineRule="auto"/>
        <w:jc w:val="center"/>
        <w:rPr>
          <w:color w:val="1C1C1C"/>
        </w:rPr>
      </w:pPr>
      <w:r w:rsidRPr="00723DA9">
        <w:rPr>
          <w:color w:val="1C1C1C"/>
        </w:rPr>
        <w:t>in partial fulfillment of the requirements for the</w:t>
      </w:r>
    </w:p>
    <w:p w14:paraId="32B5BFDA" w14:textId="7296CD02" w:rsidR="0061621E" w:rsidRPr="00723DA9" w:rsidRDefault="0061621E" w:rsidP="00771F99">
      <w:pPr>
        <w:pStyle w:val="Default"/>
        <w:spacing w:line="480" w:lineRule="auto"/>
        <w:jc w:val="center"/>
        <w:rPr>
          <w:color w:val="1C1C1C"/>
        </w:rPr>
      </w:pPr>
      <w:r w:rsidRPr="00723DA9">
        <w:rPr>
          <w:color w:val="1C1C1C"/>
        </w:rPr>
        <w:t>Degree of</w:t>
      </w:r>
    </w:p>
    <w:p w14:paraId="2C670B98" w14:textId="2D9F291D" w:rsidR="0061621E" w:rsidRPr="00723DA9" w:rsidRDefault="0061621E" w:rsidP="00771F99">
      <w:pPr>
        <w:pStyle w:val="Default"/>
        <w:spacing w:line="480" w:lineRule="auto"/>
        <w:jc w:val="center"/>
        <w:rPr>
          <w:color w:val="1C1C1C"/>
        </w:rPr>
      </w:pPr>
      <w:r w:rsidRPr="00723DA9">
        <w:rPr>
          <w:color w:val="1C1C1C"/>
        </w:rPr>
        <w:t>DOCTOR OF PHILOSOPHY</w:t>
      </w:r>
      <w:r w:rsidRPr="00723DA9">
        <w:rPr>
          <w:color w:val="1C1C1C"/>
        </w:rPr>
        <w:cr/>
      </w:r>
    </w:p>
    <w:p w14:paraId="55B220BF" w14:textId="77777777" w:rsidR="0061621E" w:rsidRPr="00723DA9" w:rsidRDefault="0061621E" w:rsidP="00771F99">
      <w:pPr>
        <w:pStyle w:val="Default"/>
        <w:spacing w:line="480" w:lineRule="auto"/>
        <w:jc w:val="center"/>
        <w:rPr>
          <w:color w:val="1C1C1C"/>
        </w:rPr>
      </w:pPr>
    </w:p>
    <w:p w14:paraId="7A05A242" w14:textId="0834817E" w:rsidR="0061621E" w:rsidRPr="00723DA9" w:rsidRDefault="0061621E" w:rsidP="00771F99">
      <w:pPr>
        <w:pStyle w:val="Default"/>
        <w:spacing w:line="480" w:lineRule="auto"/>
        <w:jc w:val="center"/>
        <w:rPr>
          <w:color w:val="1C1C1C"/>
        </w:rPr>
      </w:pPr>
      <w:r w:rsidRPr="00723DA9">
        <w:rPr>
          <w:color w:val="1C1C1C"/>
        </w:rPr>
        <w:t>By</w:t>
      </w:r>
    </w:p>
    <w:p w14:paraId="1A587BB6" w14:textId="31AC5D6E" w:rsidR="0061621E" w:rsidRPr="00723DA9" w:rsidRDefault="0061621E" w:rsidP="00771F99">
      <w:pPr>
        <w:pStyle w:val="Default"/>
        <w:spacing w:line="480" w:lineRule="auto"/>
        <w:jc w:val="center"/>
        <w:rPr>
          <w:color w:val="1C1C1C"/>
        </w:rPr>
      </w:pPr>
      <w:r w:rsidRPr="00723DA9">
        <w:rPr>
          <w:color w:val="1C1C1C"/>
        </w:rPr>
        <w:t>XU LU</w:t>
      </w:r>
    </w:p>
    <w:p w14:paraId="4F8EA5D2" w14:textId="00A004B8" w:rsidR="0061621E" w:rsidRPr="00723DA9" w:rsidRDefault="0061621E" w:rsidP="00771F99">
      <w:pPr>
        <w:pStyle w:val="Default"/>
        <w:spacing w:line="480" w:lineRule="auto"/>
        <w:jc w:val="center"/>
        <w:rPr>
          <w:color w:val="1C1C1C"/>
        </w:rPr>
      </w:pPr>
      <w:r w:rsidRPr="00723DA9">
        <w:rPr>
          <w:color w:val="1C1C1C"/>
        </w:rPr>
        <w:t>Norman, Oklahoma</w:t>
      </w:r>
    </w:p>
    <w:p w14:paraId="7E528F4A" w14:textId="0924ECB9" w:rsidR="0061621E" w:rsidRPr="00723DA9" w:rsidRDefault="0061621E" w:rsidP="00771F99">
      <w:pPr>
        <w:spacing w:after="0" w:line="480" w:lineRule="auto"/>
        <w:jc w:val="center"/>
        <w:rPr>
          <w:rFonts w:ascii="Times New Roman" w:hAnsi="Times New Roman" w:cs="Times New Roman"/>
          <w:color w:val="1C1C1C"/>
          <w:sz w:val="24"/>
          <w:szCs w:val="24"/>
        </w:rPr>
      </w:pPr>
      <w:r w:rsidRPr="00723DA9">
        <w:rPr>
          <w:rFonts w:ascii="Times New Roman" w:hAnsi="Times New Roman" w:cs="Times New Roman"/>
          <w:color w:val="1C1C1C"/>
          <w:sz w:val="24"/>
          <w:szCs w:val="24"/>
        </w:rPr>
        <w:t>2019</w:t>
      </w:r>
    </w:p>
    <w:p w14:paraId="08CB6AC9" w14:textId="77777777" w:rsidR="0061621E" w:rsidRPr="00723DA9" w:rsidRDefault="0061621E" w:rsidP="00771F99">
      <w:pPr>
        <w:pStyle w:val="Default"/>
        <w:spacing w:line="480" w:lineRule="auto"/>
        <w:jc w:val="center"/>
      </w:pPr>
      <w:r w:rsidRPr="00723DA9">
        <w:lastRenderedPageBreak/>
        <w:t>IMPROVING HIGH-RESOLUTION TROPICAL CYCLONE PREDICTION USING A CYCLED, GSI-BASED HYBRID ENSEMBLE-VARIATIONAL DATA ASSIMILATION SYSTEM FOR HWRF WITH VORTEX SCALE OBSERVATIONS</w:t>
      </w:r>
    </w:p>
    <w:p w14:paraId="02957E00" w14:textId="77777777" w:rsidR="0061621E" w:rsidRPr="00723DA9" w:rsidRDefault="0061621E" w:rsidP="00771F99">
      <w:pPr>
        <w:spacing w:after="0" w:line="480" w:lineRule="auto"/>
        <w:jc w:val="center"/>
        <w:rPr>
          <w:rFonts w:ascii="Times New Roman" w:hAnsi="Times New Roman" w:cs="Times New Roman"/>
          <w:color w:val="1C1C1C"/>
          <w:sz w:val="24"/>
          <w:szCs w:val="24"/>
        </w:rPr>
      </w:pPr>
    </w:p>
    <w:p w14:paraId="672F9DA0" w14:textId="77777777" w:rsidR="0061621E" w:rsidRPr="00723DA9" w:rsidRDefault="0061621E" w:rsidP="00771F99">
      <w:pPr>
        <w:spacing w:after="0" w:line="480" w:lineRule="auto"/>
        <w:jc w:val="center"/>
        <w:rPr>
          <w:rFonts w:ascii="Times New Roman" w:hAnsi="Times New Roman" w:cs="Times New Roman"/>
          <w:color w:val="1C1C1C"/>
          <w:sz w:val="24"/>
          <w:szCs w:val="24"/>
        </w:rPr>
      </w:pPr>
      <w:r w:rsidRPr="00723DA9">
        <w:rPr>
          <w:rFonts w:ascii="Times New Roman" w:hAnsi="Times New Roman" w:cs="Times New Roman"/>
          <w:color w:val="1C1C1C"/>
          <w:sz w:val="24"/>
          <w:szCs w:val="24"/>
        </w:rPr>
        <w:t>A DISSERTATION APPROVED FOR THE</w:t>
      </w:r>
    </w:p>
    <w:p w14:paraId="3E6B16A1" w14:textId="134A0B6A" w:rsidR="0061621E" w:rsidRPr="00723DA9" w:rsidRDefault="0061621E" w:rsidP="00771F99">
      <w:pPr>
        <w:spacing w:after="0" w:line="480" w:lineRule="auto"/>
        <w:jc w:val="center"/>
        <w:rPr>
          <w:rFonts w:ascii="Times New Roman" w:hAnsi="Times New Roman" w:cs="Times New Roman"/>
          <w:color w:val="1C1C1C"/>
          <w:sz w:val="24"/>
          <w:szCs w:val="24"/>
        </w:rPr>
      </w:pPr>
      <w:r w:rsidRPr="00723DA9">
        <w:rPr>
          <w:rFonts w:ascii="Times New Roman" w:hAnsi="Times New Roman" w:cs="Times New Roman"/>
          <w:color w:val="1C1C1C"/>
          <w:sz w:val="24"/>
          <w:szCs w:val="24"/>
        </w:rPr>
        <w:t>SCHOOL OF METEOROLOGY</w:t>
      </w:r>
      <w:r w:rsidRPr="00723DA9">
        <w:rPr>
          <w:rFonts w:ascii="Times New Roman" w:hAnsi="Times New Roman" w:cs="Times New Roman"/>
          <w:color w:val="1C1C1C"/>
          <w:sz w:val="24"/>
          <w:szCs w:val="24"/>
        </w:rPr>
        <w:cr/>
      </w:r>
    </w:p>
    <w:p w14:paraId="1AA493DD" w14:textId="47BD7071" w:rsidR="0061621E" w:rsidRPr="00723DA9" w:rsidRDefault="0061621E" w:rsidP="00771F99">
      <w:pPr>
        <w:spacing w:after="0" w:line="480" w:lineRule="auto"/>
        <w:jc w:val="center"/>
        <w:rPr>
          <w:rFonts w:ascii="Times New Roman" w:hAnsi="Times New Roman" w:cs="Times New Roman"/>
          <w:color w:val="1C1C1C"/>
          <w:sz w:val="24"/>
          <w:szCs w:val="24"/>
        </w:rPr>
      </w:pPr>
    </w:p>
    <w:p w14:paraId="498F6ABA" w14:textId="77777777" w:rsidR="0061621E" w:rsidRPr="00723DA9" w:rsidRDefault="0061621E" w:rsidP="00771F99">
      <w:pPr>
        <w:spacing w:after="0" w:line="480" w:lineRule="auto"/>
        <w:jc w:val="center"/>
        <w:rPr>
          <w:rFonts w:ascii="Times New Roman" w:hAnsi="Times New Roman" w:cs="Times New Roman"/>
          <w:color w:val="1C1C1C"/>
          <w:sz w:val="24"/>
          <w:szCs w:val="24"/>
        </w:rPr>
      </w:pPr>
    </w:p>
    <w:p w14:paraId="6A822A86" w14:textId="3C8A3EA5" w:rsidR="0061621E" w:rsidRPr="00723DA9" w:rsidRDefault="00777221" w:rsidP="00771F99">
      <w:pPr>
        <w:spacing w:after="0" w:line="480" w:lineRule="auto"/>
        <w:jc w:val="center"/>
        <w:rPr>
          <w:rFonts w:ascii="Times New Roman" w:hAnsi="Times New Roman" w:cs="Times New Roman"/>
          <w:color w:val="1C1C1C"/>
          <w:sz w:val="24"/>
          <w:szCs w:val="24"/>
        </w:rPr>
      </w:pPr>
      <w:r w:rsidRPr="00777221">
        <w:rPr>
          <w:rFonts w:ascii="Times New Roman" w:hAnsi="Times New Roman" w:cs="Times New Roman"/>
          <w:color w:val="1C1C1C"/>
          <w:sz w:val="24"/>
          <w:szCs w:val="24"/>
        </w:rPr>
        <w:t>BY THE COMMITTEE CONSISTING OF</w:t>
      </w:r>
    </w:p>
    <w:p w14:paraId="60EF5E5F" w14:textId="5A04517B" w:rsidR="0061621E" w:rsidRPr="00723DA9" w:rsidRDefault="0061621E" w:rsidP="00771F99">
      <w:pPr>
        <w:spacing w:after="0" w:line="480" w:lineRule="auto"/>
        <w:jc w:val="center"/>
        <w:rPr>
          <w:rFonts w:ascii="Times New Roman" w:hAnsi="Times New Roman" w:cs="Times New Roman"/>
          <w:color w:val="1C1C1C"/>
          <w:sz w:val="24"/>
          <w:szCs w:val="24"/>
        </w:rPr>
      </w:pPr>
    </w:p>
    <w:p w14:paraId="72B6B5E5" w14:textId="7C3480E5" w:rsidR="0061621E" w:rsidRPr="00723DA9" w:rsidRDefault="0061621E" w:rsidP="00771F99">
      <w:pPr>
        <w:spacing w:after="0" w:line="480" w:lineRule="auto"/>
        <w:jc w:val="center"/>
        <w:rPr>
          <w:rFonts w:ascii="Times New Roman" w:hAnsi="Times New Roman" w:cs="Times New Roman"/>
          <w:color w:val="1C1C1C"/>
          <w:sz w:val="24"/>
          <w:szCs w:val="24"/>
        </w:rPr>
      </w:pPr>
    </w:p>
    <w:p w14:paraId="0541C8B5" w14:textId="77777777" w:rsidR="0061621E" w:rsidRPr="00723DA9" w:rsidRDefault="0061621E" w:rsidP="00771F99">
      <w:pPr>
        <w:spacing w:after="0" w:line="480" w:lineRule="auto"/>
        <w:jc w:val="center"/>
        <w:rPr>
          <w:rFonts w:ascii="Times New Roman" w:hAnsi="Times New Roman" w:cs="Times New Roman"/>
          <w:color w:val="1C1C1C"/>
          <w:sz w:val="24"/>
          <w:szCs w:val="24"/>
        </w:rPr>
      </w:pPr>
    </w:p>
    <w:p w14:paraId="1EA63ED5" w14:textId="352AFC70" w:rsidR="0061621E" w:rsidRPr="00723DA9" w:rsidRDefault="0061621E" w:rsidP="00771F99">
      <w:pPr>
        <w:spacing w:after="0" w:line="480" w:lineRule="auto"/>
        <w:jc w:val="right"/>
        <w:rPr>
          <w:rFonts w:ascii="Times New Roman" w:hAnsi="Times New Roman" w:cs="Times New Roman"/>
          <w:color w:val="1C1C1C"/>
          <w:sz w:val="24"/>
          <w:szCs w:val="24"/>
        </w:rPr>
      </w:pPr>
      <w:r w:rsidRPr="00723DA9">
        <w:rPr>
          <w:rFonts w:ascii="Times New Roman" w:hAnsi="Times New Roman" w:cs="Times New Roman"/>
          <w:color w:val="1C1C1C"/>
          <w:sz w:val="24"/>
          <w:szCs w:val="24"/>
        </w:rPr>
        <w:t>Dr. Xuguang Wang, Chair</w:t>
      </w:r>
    </w:p>
    <w:p w14:paraId="4790FFBF" w14:textId="20B00AFF" w:rsidR="00777909" w:rsidRDefault="00777909" w:rsidP="00771F99">
      <w:pPr>
        <w:spacing w:after="0" w:line="480" w:lineRule="auto"/>
        <w:jc w:val="right"/>
        <w:rPr>
          <w:rFonts w:ascii="Times New Roman" w:hAnsi="Times New Roman" w:cs="Times New Roman"/>
          <w:color w:val="1C1C1C"/>
          <w:sz w:val="24"/>
          <w:szCs w:val="24"/>
        </w:rPr>
      </w:pPr>
      <w:r w:rsidRPr="00723DA9">
        <w:rPr>
          <w:rFonts w:ascii="Times New Roman" w:hAnsi="Times New Roman" w:cs="Times New Roman"/>
          <w:color w:val="1C1C1C"/>
          <w:sz w:val="24"/>
          <w:szCs w:val="24"/>
        </w:rPr>
        <w:t xml:space="preserve">Dr. Prakash </w:t>
      </w:r>
      <w:proofErr w:type="spellStart"/>
      <w:r w:rsidRPr="00723DA9">
        <w:rPr>
          <w:rFonts w:ascii="Times New Roman" w:hAnsi="Times New Roman" w:cs="Times New Roman"/>
          <w:color w:val="1C1C1C"/>
          <w:sz w:val="24"/>
          <w:szCs w:val="24"/>
        </w:rPr>
        <w:t>Vedula</w:t>
      </w:r>
      <w:proofErr w:type="spellEnd"/>
    </w:p>
    <w:p w14:paraId="2AE6D76B" w14:textId="5FB64E71" w:rsidR="0061621E" w:rsidRPr="00723DA9" w:rsidRDefault="0061621E" w:rsidP="00771F99">
      <w:pPr>
        <w:spacing w:after="0" w:line="480" w:lineRule="auto"/>
        <w:jc w:val="right"/>
        <w:rPr>
          <w:rFonts w:ascii="Times New Roman" w:hAnsi="Times New Roman" w:cs="Times New Roman"/>
          <w:color w:val="1C1C1C"/>
          <w:sz w:val="24"/>
          <w:szCs w:val="24"/>
        </w:rPr>
      </w:pPr>
      <w:r w:rsidRPr="00723DA9">
        <w:rPr>
          <w:rFonts w:ascii="Times New Roman" w:hAnsi="Times New Roman" w:cs="Times New Roman"/>
          <w:color w:val="1C1C1C"/>
          <w:sz w:val="24"/>
          <w:szCs w:val="24"/>
        </w:rPr>
        <w:t>Dr. Michael Biggerstaff</w:t>
      </w:r>
    </w:p>
    <w:p w14:paraId="5C09F09F" w14:textId="77777777" w:rsidR="00777909" w:rsidRDefault="0061621E" w:rsidP="00777909">
      <w:pPr>
        <w:spacing w:after="0" w:line="480" w:lineRule="auto"/>
        <w:jc w:val="right"/>
        <w:rPr>
          <w:rFonts w:ascii="Times New Roman" w:hAnsi="Times New Roman" w:cs="Times New Roman"/>
          <w:color w:val="1C1C1C"/>
          <w:sz w:val="24"/>
          <w:szCs w:val="24"/>
        </w:rPr>
      </w:pPr>
      <w:r w:rsidRPr="00723DA9">
        <w:rPr>
          <w:rFonts w:ascii="Times New Roman" w:hAnsi="Times New Roman" w:cs="Times New Roman"/>
          <w:color w:val="1C1C1C"/>
          <w:sz w:val="24"/>
          <w:szCs w:val="24"/>
        </w:rPr>
        <w:t>Dr. Naoko Sakaeda</w:t>
      </w:r>
      <w:r w:rsidR="00777909" w:rsidRPr="00777909">
        <w:rPr>
          <w:rFonts w:ascii="Times New Roman" w:hAnsi="Times New Roman" w:cs="Times New Roman"/>
          <w:color w:val="1C1C1C"/>
          <w:sz w:val="24"/>
          <w:szCs w:val="24"/>
        </w:rPr>
        <w:t xml:space="preserve"> </w:t>
      </w:r>
    </w:p>
    <w:p w14:paraId="00C8DE23" w14:textId="0460D9B5" w:rsidR="0061621E" w:rsidRPr="00723DA9" w:rsidRDefault="00777909" w:rsidP="00771F99">
      <w:pPr>
        <w:spacing w:after="0" w:line="480" w:lineRule="auto"/>
        <w:jc w:val="right"/>
        <w:rPr>
          <w:rFonts w:ascii="Times New Roman" w:hAnsi="Times New Roman" w:cs="Times New Roman"/>
          <w:color w:val="1C1C1C"/>
          <w:sz w:val="24"/>
          <w:szCs w:val="24"/>
        </w:rPr>
      </w:pPr>
      <w:r w:rsidRPr="00723DA9">
        <w:rPr>
          <w:rFonts w:ascii="Times New Roman" w:hAnsi="Times New Roman" w:cs="Times New Roman"/>
          <w:color w:val="1C1C1C"/>
          <w:sz w:val="24"/>
          <w:szCs w:val="24"/>
        </w:rPr>
        <w:t>Dr. Louis Wicker</w:t>
      </w:r>
      <w:r w:rsidR="0061621E" w:rsidRPr="00723DA9">
        <w:rPr>
          <w:rFonts w:ascii="Times New Roman" w:hAnsi="Times New Roman" w:cs="Times New Roman"/>
          <w:color w:val="1C1C1C"/>
          <w:sz w:val="24"/>
          <w:szCs w:val="24"/>
        </w:rPr>
        <w:br w:type="page"/>
      </w:r>
    </w:p>
    <w:p w14:paraId="281EE8B1" w14:textId="77777777" w:rsidR="0061621E" w:rsidRPr="00723DA9" w:rsidRDefault="0061621E" w:rsidP="00771F99">
      <w:pPr>
        <w:spacing w:after="0" w:line="480" w:lineRule="auto"/>
        <w:jc w:val="center"/>
        <w:rPr>
          <w:rFonts w:ascii="Times New Roman" w:hAnsi="Times New Roman" w:cs="Times New Roman"/>
          <w:sz w:val="24"/>
          <w:szCs w:val="24"/>
        </w:rPr>
      </w:pPr>
    </w:p>
    <w:p w14:paraId="37B99AF2" w14:textId="77777777" w:rsidR="0061621E" w:rsidRPr="00723DA9" w:rsidRDefault="0061621E" w:rsidP="00771F99">
      <w:pPr>
        <w:spacing w:after="0" w:line="480" w:lineRule="auto"/>
        <w:jc w:val="center"/>
        <w:rPr>
          <w:rFonts w:ascii="Times New Roman" w:hAnsi="Times New Roman" w:cs="Times New Roman"/>
          <w:sz w:val="24"/>
          <w:szCs w:val="24"/>
        </w:rPr>
      </w:pPr>
    </w:p>
    <w:p w14:paraId="70515819" w14:textId="77777777" w:rsidR="0061621E" w:rsidRPr="00723DA9" w:rsidRDefault="0061621E" w:rsidP="00771F99">
      <w:pPr>
        <w:spacing w:after="0" w:line="480" w:lineRule="auto"/>
        <w:jc w:val="center"/>
        <w:rPr>
          <w:rFonts w:ascii="Times New Roman" w:hAnsi="Times New Roman" w:cs="Times New Roman"/>
          <w:sz w:val="24"/>
          <w:szCs w:val="24"/>
        </w:rPr>
      </w:pPr>
    </w:p>
    <w:p w14:paraId="505214CE" w14:textId="77777777" w:rsidR="0061621E" w:rsidRPr="00723DA9" w:rsidRDefault="0061621E" w:rsidP="00771F99">
      <w:pPr>
        <w:spacing w:after="0" w:line="480" w:lineRule="auto"/>
        <w:jc w:val="center"/>
        <w:rPr>
          <w:rFonts w:ascii="Times New Roman" w:hAnsi="Times New Roman" w:cs="Times New Roman"/>
          <w:sz w:val="24"/>
          <w:szCs w:val="24"/>
        </w:rPr>
      </w:pPr>
    </w:p>
    <w:p w14:paraId="0AF61CE3" w14:textId="77777777" w:rsidR="0061621E" w:rsidRPr="00723DA9" w:rsidRDefault="0061621E" w:rsidP="00771F99">
      <w:pPr>
        <w:spacing w:after="0" w:line="480" w:lineRule="auto"/>
        <w:jc w:val="center"/>
        <w:rPr>
          <w:rFonts w:ascii="Times New Roman" w:hAnsi="Times New Roman" w:cs="Times New Roman"/>
          <w:sz w:val="24"/>
          <w:szCs w:val="24"/>
        </w:rPr>
      </w:pPr>
    </w:p>
    <w:p w14:paraId="1D9FD630" w14:textId="77777777" w:rsidR="0061621E" w:rsidRPr="00723DA9" w:rsidRDefault="0061621E" w:rsidP="00771F99">
      <w:pPr>
        <w:spacing w:after="0" w:line="480" w:lineRule="auto"/>
        <w:jc w:val="center"/>
        <w:rPr>
          <w:rFonts w:ascii="Times New Roman" w:hAnsi="Times New Roman" w:cs="Times New Roman"/>
          <w:sz w:val="24"/>
          <w:szCs w:val="24"/>
        </w:rPr>
      </w:pPr>
    </w:p>
    <w:p w14:paraId="5695D073" w14:textId="77777777" w:rsidR="0061621E" w:rsidRPr="00723DA9" w:rsidRDefault="0061621E" w:rsidP="00771F99">
      <w:pPr>
        <w:spacing w:after="0" w:line="480" w:lineRule="auto"/>
        <w:jc w:val="center"/>
        <w:rPr>
          <w:rFonts w:ascii="Times New Roman" w:hAnsi="Times New Roman" w:cs="Times New Roman"/>
          <w:sz w:val="24"/>
          <w:szCs w:val="24"/>
        </w:rPr>
      </w:pPr>
    </w:p>
    <w:p w14:paraId="33D05F85" w14:textId="77777777" w:rsidR="0061621E" w:rsidRPr="00723DA9" w:rsidRDefault="0061621E" w:rsidP="00771F99">
      <w:pPr>
        <w:spacing w:after="0" w:line="480" w:lineRule="auto"/>
        <w:jc w:val="center"/>
        <w:rPr>
          <w:rFonts w:ascii="Times New Roman" w:hAnsi="Times New Roman" w:cs="Times New Roman"/>
          <w:sz w:val="24"/>
          <w:szCs w:val="24"/>
        </w:rPr>
      </w:pPr>
    </w:p>
    <w:p w14:paraId="350801A4" w14:textId="77777777" w:rsidR="0061621E" w:rsidRPr="00723DA9" w:rsidRDefault="0061621E" w:rsidP="00771F99">
      <w:pPr>
        <w:spacing w:after="0" w:line="480" w:lineRule="auto"/>
        <w:jc w:val="center"/>
        <w:rPr>
          <w:rFonts w:ascii="Times New Roman" w:hAnsi="Times New Roman" w:cs="Times New Roman"/>
          <w:sz w:val="24"/>
          <w:szCs w:val="24"/>
        </w:rPr>
      </w:pPr>
    </w:p>
    <w:p w14:paraId="503CC44D" w14:textId="77777777" w:rsidR="0061621E" w:rsidRPr="00723DA9" w:rsidRDefault="0061621E" w:rsidP="00771F99">
      <w:pPr>
        <w:spacing w:after="0" w:line="480" w:lineRule="auto"/>
        <w:jc w:val="center"/>
        <w:rPr>
          <w:rFonts w:ascii="Times New Roman" w:hAnsi="Times New Roman" w:cs="Times New Roman"/>
          <w:sz w:val="24"/>
          <w:szCs w:val="24"/>
        </w:rPr>
      </w:pPr>
    </w:p>
    <w:p w14:paraId="2CA1FB87" w14:textId="77777777" w:rsidR="0061621E" w:rsidRPr="00723DA9" w:rsidRDefault="0061621E" w:rsidP="00771F99">
      <w:pPr>
        <w:spacing w:after="0" w:line="480" w:lineRule="auto"/>
        <w:jc w:val="center"/>
        <w:rPr>
          <w:rFonts w:ascii="Times New Roman" w:hAnsi="Times New Roman" w:cs="Times New Roman"/>
          <w:sz w:val="24"/>
          <w:szCs w:val="24"/>
        </w:rPr>
      </w:pPr>
    </w:p>
    <w:p w14:paraId="40B73FAD" w14:textId="77777777" w:rsidR="0061621E" w:rsidRPr="00723DA9" w:rsidRDefault="0061621E" w:rsidP="00771F99">
      <w:pPr>
        <w:spacing w:after="0" w:line="480" w:lineRule="auto"/>
        <w:jc w:val="center"/>
        <w:rPr>
          <w:rFonts w:ascii="Times New Roman" w:hAnsi="Times New Roman" w:cs="Times New Roman"/>
          <w:sz w:val="24"/>
          <w:szCs w:val="24"/>
        </w:rPr>
      </w:pPr>
    </w:p>
    <w:p w14:paraId="557A45CC" w14:textId="77777777" w:rsidR="0061621E" w:rsidRPr="00723DA9" w:rsidRDefault="0061621E" w:rsidP="00771F99">
      <w:pPr>
        <w:spacing w:after="0" w:line="480" w:lineRule="auto"/>
        <w:jc w:val="center"/>
        <w:rPr>
          <w:rFonts w:ascii="Times New Roman" w:hAnsi="Times New Roman" w:cs="Times New Roman"/>
          <w:sz w:val="24"/>
          <w:szCs w:val="24"/>
        </w:rPr>
      </w:pPr>
    </w:p>
    <w:p w14:paraId="48ECC666" w14:textId="77777777" w:rsidR="0061621E" w:rsidRPr="00723DA9" w:rsidRDefault="0061621E" w:rsidP="00771F99">
      <w:pPr>
        <w:spacing w:after="0" w:line="480" w:lineRule="auto"/>
        <w:jc w:val="center"/>
        <w:rPr>
          <w:rFonts w:ascii="Times New Roman" w:hAnsi="Times New Roman" w:cs="Times New Roman"/>
          <w:sz w:val="24"/>
          <w:szCs w:val="24"/>
        </w:rPr>
      </w:pPr>
    </w:p>
    <w:p w14:paraId="69CE46C7" w14:textId="77777777" w:rsidR="0061621E" w:rsidRPr="00723DA9" w:rsidRDefault="0061621E" w:rsidP="00771F99">
      <w:pPr>
        <w:spacing w:after="0" w:line="480" w:lineRule="auto"/>
        <w:jc w:val="center"/>
        <w:rPr>
          <w:rFonts w:ascii="Times New Roman" w:hAnsi="Times New Roman" w:cs="Times New Roman"/>
          <w:sz w:val="24"/>
          <w:szCs w:val="24"/>
        </w:rPr>
      </w:pPr>
    </w:p>
    <w:p w14:paraId="68CB38D8" w14:textId="77777777" w:rsidR="0061621E" w:rsidRPr="00723DA9" w:rsidRDefault="0061621E" w:rsidP="00771F99">
      <w:pPr>
        <w:spacing w:after="0" w:line="480" w:lineRule="auto"/>
        <w:jc w:val="center"/>
        <w:rPr>
          <w:rFonts w:ascii="Times New Roman" w:hAnsi="Times New Roman" w:cs="Times New Roman"/>
          <w:sz w:val="24"/>
          <w:szCs w:val="24"/>
        </w:rPr>
      </w:pPr>
    </w:p>
    <w:p w14:paraId="4A57E775" w14:textId="77777777" w:rsidR="0061621E" w:rsidRPr="00723DA9" w:rsidRDefault="0061621E" w:rsidP="00771F99">
      <w:pPr>
        <w:spacing w:after="0" w:line="480" w:lineRule="auto"/>
        <w:jc w:val="center"/>
        <w:rPr>
          <w:rFonts w:ascii="Times New Roman" w:hAnsi="Times New Roman" w:cs="Times New Roman"/>
          <w:sz w:val="24"/>
          <w:szCs w:val="24"/>
        </w:rPr>
      </w:pPr>
    </w:p>
    <w:p w14:paraId="0D689349" w14:textId="4CF026D2" w:rsidR="0061621E" w:rsidRPr="00723DA9" w:rsidRDefault="0061621E" w:rsidP="00771F99">
      <w:pPr>
        <w:spacing w:after="0" w:line="480" w:lineRule="auto"/>
        <w:jc w:val="center"/>
        <w:rPr>
          <w:rFonts w:ascii="Times New Roman" w:hAnsi="Times New Roman" w:cs="Times New Roman"/>
          <w:sz w:val="24"/>
          <w:szCs w:val="24"/>
        </w:rPr>
      </w:pPr>
      <w:r w:rsidRPr="00723DA9">
        <w:rPr>
          <w:rFonts w:ascii="Times New Roman" w:hAnsi="Times New Roman" w:cs="Times New Roman"/>
          <w:sz w:val="24"/>
          <w:szCs w:val="24"/>
        </w:rPr>
        <w:t>© Copyright by XU LU 2019</w:t>
      </w:r>
    </w:p>
    <w:p w14:paraId="72EDAF10" w14:textId="20B8E696" w:rsidR="0061621E" w:rsidRPr="00723DA9" w:rsidRDefault="0061621E" w:rsidP="00771F99">
      <w:pPr>
        <w:spacing w:after="0" w:line="480" w:lineRule="auto"/>
        <w:jc w:val="center"/>
        <w:rPr>
          <w:rFonts w:ascii="Times New Roman" w:hAnsi="Times New Roman" w:cs="Times New Roman"/>
          <w:sz w:val="24"/>
          <w:szCs w:val="24"/>
        </w:rPr>
      </w:pPr>
      <w:r w:rsidRPr="00723DA9">
        <w:rPr>
          <w:rFonts w:ascii="Times New Roman" w:hAnsi="Times New Roman" w:cs="Times New Roman"/>
          <w:sz w:val="24"/>
          <w:szCs w:val="24"/>
        </w:rPr>
        <w:t>All Rights Reserved.</w:t>
      </w:r>
    </w:p>
    <w:p w14:paraId="7072D285" w14:textId="77777777" w:rsidR="0061621E" w:rsidRPr="00723DA9" w:rsidRDefault="0061621E"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br w:type="page"/>
      </w:r>
    </w:p>
    <w:p w14:paraId="78D486C5" w14:textId="77777777" w:rsidR="00C32955" w:rsidRPr="00723DA9" w:rsidRDefault="00C32955" w:rsidP="00771F99">
      <w:pPr>
        <w:pStyle w:val="Heading1"/>
        <w:spacing w:before="0" w:line="480" w:lineRule="auto"/>
        <w:rPr>
          <w:rFonts w:ascii="Times New Roman" w:hAnsi="Times New Roman" w:cs="Times New Roman"/>
          <w:b/>
          <w:color w:val="auto"/>
          <w:sz w:val="28"/>
          <w:szCs w:val="28"/>
        </w:rPr>
        <w:sectPr w:rsidR="00C32955" w:rsidRPr="00723DA9">
          <w:footerReference w:type="default" r:id="rId8"/>
          <w:pgSz w:w="12240" w:h="15840"/>
          <w:pgMar w:top="1440" w:right="1440" w:bottom="1440" w:left="1440" w:header="720" w:footer="720" w:gutter="0"/>
          <w:cols w:space="720"/>
          <w:docGrid w:linePitch="360"/>
        </w:sectPr>
      </w:pPr>
    </w:p>
    <w:p w14:paraId="12D21694" w14:textId="663420A0" w:rsidR="00A232DC" w:rsidRPr="00723DA9" w:rsidRDefault="00690C04" w:rsidP="00771F99">
      <w:pPr>
        <w:pStyle w:val="Heading1"/>
        <w:spacing w:before="0" w:line="480" w:lineRule="auto"/>
        <w:rPr>
          <w:rFonts w:ascii="Times New Roman" w:hAnsi="Times New Roman" w:cs="Times New Roman"/>
          <w:b/>
          <w:color w:val="auto"/>
          <w:sz w:val="24"/>
          <w:szCs w:val="24"/>
        </w:rPr>
      </w:pPr>
      <w:bookmarkStart w:id="0" w:name="_Toc21623966"/>
      <w:r w:rsidRPr="00723DA9">
        <w:rPr>
          <w:rFonts w:ascii="Times New Roman" w:hAnsi="Times New Roman" w:cs="Times New Roman"/>
          <w:b/>
          <w:color w:val="auto"/>
          <w:sz w:val="24"/>
          <w:szCs w:val="24"/>
        </w:rPr>
        <w:lastRenderedPageBreak/>
        <w:t>Acknowledgements</w:t>
      </w:r>
      <w:bookmarkEnd w:id="0"/>
    </w:p>
    <w:p w14:paraId="5CF3DDC8" w14:textId="53F8E2EA" w:rsidR="006716C7" w:rsidRDefault="00690C04" w:rsidP="006716C7">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F</w:t>
      </w:r>
      <w:r w:rsidR="00823393" w:rsidRPr="00723DA9">
        <w:rPr>
          <w:rFonts w:ascii="Times New Roman" w:hAnsi="Times New Roman" w:cs="Times New Roman"/>
          <w:sz w:val="24"/>
          <w:szCs w:val="24"/>
        </w:rPr>
        <w:t>irst</w:t>
      </w:r>
      <w:r w:rsidR="00703536">
        <w:rPr>
          <w:rFonts w:ascii="Times New Roman" w:hAnsi="Times New Roman" w:cs="Times New Roman"/>
          <w:sz w:val="24"/>
          <w:szCs w:val="24"/>
        </w:rPr>
        <w:t xml:space="preserve"> and foremost, I’m greatly grateful for the guidance of my advisor, Dr. Xuguang Wang.  </w:t>
      </w:r>
      <w:r w:rsidR="0059543C">
        <w:rPr>
          <w:rFonts w:ascii="Times New Roman" w:hAnsi="Times New Roman" w:cs="Times New Roman"/>
          <w:sz w:val="24"/>
          <w:szCs w:val="24"/>
        </w:rPr>
        <w:t xml:space="preserve">Her expertise and patience have placed me in a position to successfully </w:t>
      </w:r>
      <w:r w:rsidR="002D34EE">
        <w:rPr>
          <w:rFonts w:ascii="Times New Roman" w:hAnsi="Times New Roman" w:cs="Times New Roman"/>
          <w:sz w:val="24"/>
          <w:szCs w:val="24"/>
        </w:rPr>
        <w:t>achieve my research goals.  I am also appreciative for my committee members – Drs.</w:t>
      </w:r>
      <w:r w:rsidR="0059543C">
        <w:rPr>
          <w:rFonts w:ascii="Times New Roman" w:hAnsi="Times New Roman" w:cs="Times New Roman"/>
          <w:sz w:val="24"/>
          <w:szCs w:val="24"/>
        </w:rPr>
        <w:t xml:space="preserve"> </w:t>
      </w:r>
      <w:r w:rsidR="002D34EE" w:rsidRPr="002D34EE">
        <w:rPr>
          <w:rFonts w:ascii="Times New Roman" w:hAnsi="Times New Roman" w:cs="Times New Roman"/>
          <w:sz w:val="24"/>
          <w:szCs w:val="24"/>
        </w:rPr>
        <w:t>Michael Biggerstaff</w:t>
      </w:r>
      <w:r w:rsidR="002D34EE">
        <w:rPr>
          <w:rFonts w:ascii="Times New Roman" w:hAnsi="Times New Roman" w:cs="Times New Roman"/>
          <w:sz w:val="24"/>
          <w:szCs w:val="24"/>
        </w:rPr>
        <w:t xml:space="preserve">, </w:t>
      </w:r>
      <w:r w:rsidR="002D34EE" w:rsidRPr="002D34EE">
        <w:rPr>
          <w:rFonts w:ascii="Times New Roman" w:hAnsi="Times New Roman" w:cs="Times New Roman"/>
          <w:sz w:val="24"/>
          <w:szCs w:val="24"/>
        </w:rPr>
        <w:t>Naoko Sakaeda</w:t>
      </w:r>
      <w:r w:rsidR="002D34EE">
        <w:rPr>
          <w:rFonts w:ascii="Times New Roman" w:hAnsi="Times New Roman" w:cs="Times New Roman"/>
          <w:sz w:val="24"/>
          <w:szCs w:val="24"/>
        </w:rPr>
        <w:t xml:space="preserve">, </w:t>
      </w:r>
      <w:r w:rsidR="006542E6" w:rsidRPr="002D34EE">
        <w:rPr>
          <w:rFonts w:ascii="Times New Roman" w:hAnsi="Times New Roman" w:cs="Times New Roman"/>
          <w:sz w:val="24"/>
          <w:szCs w:val="24"/>
        </w:rPr>
        <w:t>Louis Wicker</w:t>
      </w:r>
      <w:r w:rsidR="006542E6">
        <w:rPr>
          <w:rFonts w:ascii="Times New Roman" w:hAnsi="Times New Roman" w:cs="Times New Roman"/>
          <w:sz w:val="24"/>
          <w:szCs w:val="24"/>
        </w:rPr>
        <w:t xml:space="preserve">, </w:t>
      </w:r>
      <w:r w:rsidR="002D34EE">
        <w:rPr>
          <w:rFonts w:ascii="Times New Roman" w:hAnsi="Times New Roman" w:cs="Times New Roman"/>
          <w:sz w:val="24"/>
          <w:szCs w:val="24"/>
        </w:rPr>
        <w:t xml:space="preserve">and </w:t>
      </w:r>
      <w:r w:rsidR="002D34EE" w:rsidRPr="002D34EE">
        <w:rPr>
          <w:rFonts w:ascii="Times New Roman" w:hAnsi="Times New Roman" w:cs="Times New Roman"/>
          <w:sz w:val="24"/>
          <w:szCs w:val="24"/>
        </w:rPr>
        <w:t xml:space="preserve">Prakash </w:t>
      </w:r>
      <w:proofErr w:type="spellStart"/>
      <w:r w:rsidR="002D34EE" w:rsidRPr="002D34EE">
        <w:rPr>
          <w:rFonts w:ascii="Times New Roman" w:hAnsi="Times New Roman" w:cs="Times New Roman"/>
          <w:sz w:val="24"/>
          <w:szCs w:val="24"/>
        </w:rPr>
        <w:t>Vedula</w:t>
      </w:r>
      <w:proofErr w:type="spellEnd"/>
      <w:r w:rsidR="002D34EE">
        <w:rPr>
          <w:rFonts w:ascii="Times New Roman" w:hAnsi="Times New Roman" w:cs="Times New Roman"/>
          <w:sz w:val="24"/>
          <w:szCs w:val="24"/>
        </w:rPr>
        <w:t xml:space="preserve"> – for their support.</w:t>
      </w:r>
      <w:r w:rsidR="00944996">
        <w:rPr>
          <w:rFonts w:ascii="Times New Roman" w:hAnsi="Times New Roman" w:cs="Times New Roman"/>
          <w:sz w:val="24"/>
          <w:szCs w:val="24"/>
        </w:rPr>
        <w:t xml:space="preserve">  </w:t>
      </w:r>
      <w:r w:rsidR="00C47BCC">
        <w:rPr>
          <w:rFonts w:ascii="Times New Roman" w:hAnsi="Times New Roman" w:cs="Times New Roman"/>
          <w:sz w:val="24"/>
          <w:szCs w:val="24"/>
        </w:rPr>
        <w:t>Special thanks to the help from my friends and also the members</w:t>
      </w:r>
      <w:r w:rsidR="002A3C79">
        <w:rPr>
          <w:rFonts w:ascii="Times New Roman" w:hAnsi="Times New Roman" w:cs="Times New Roman"/>
          <w:sz w:val="24"/>
          <w:szCs w:val="24"/>
        </w:rPr>
        <w:t xml:space="preserve"> </w:t>
      </w:r>
      <w:r w:rsidR="002A3C79">
        <w:rPr>
          <w:rFonts w:ascii="Times New Roman" w:hAnsi="Times New Roman" w:cs="Times New Roman" w:hint="eastAsia"/>
          <w:sz w:val="24"/>
          <w:szCs w:val="24"/>
        </w:rPr>
        <w:t>or</w:t>
      </w:r>
      <w:r w:rsidR="002A3C79">
        <w:rPr>
          <w:rFonts w:ascii="Times New Roman" w:hAnsi="Times New Roman" w:cs="Times New Roman"/>
          <w:sz w:val="24"/>
          <w:szCs w:val="24"/>
        </w:rPr>
        <w:t xml:space="preserve"> ex-members</w:t>
      </w:r>
      <w:r w:rsidR="00C47BCC">
        <w:rPr>
          <w:rFonts w:ascii="Times New Roman" w:hAnsi="Times New Roman" w:cs="Times New Roman"/>
          <w:sz w:val="24"/>
          <w:szCs w:val="24"/>
        </w:rPr>
        <w:t xml:space="preserve"> of</w:t>
      </w:r>
      <w:r w:rsidR="002A3C79">
        <w:rPr>
          <w:rFonts w:ascii="Times New Roman" w:hAnsi="Times New Roman" w:cs="Times New Roman"/>
          <w:sz w:val="24"/>
          <w:szCs w:val="24"/>
        </w:rPr>
        <w:t xml:space="preserve"> the</w:t>
      </w:r>
      <w:r w:rsidR="00C47BCC">
        <w:rPr>
          <w:rFonts w:ascii="Times New Roman" w:hAnsi="Times New Roman" w:cs="Times New Roman"/>
          <w:sz w:val="24"/>
          <w:szCs w:val="24"/>
        </w:rPr>
        <w:t xml:space="preserve"> Multiscale data Assimilation and Prediction (MAP) lab: </w:t>
      </w:r>
      <w:proofErr w:type="spellStart"/>
      <w:r w:rsidR="00C47BCC">
        <w:rPr>
          <w:rFonts w:ascii="Times New Roman" w:hAnsi="Times New Roman" w:cs="Times New Roman"/>
          <w:sz w:val="24"/>
          <w:szCs w:val="24"/>
        </w:rPr>
        <w:t>Yongzuo</w:t>
      </w:r>
      <w:proofErr w:type="spellEnd"/>
      <w:r w:rsidR="00C47BCC">
        <w:rPr>
          <w:rFonts w:ascii="Times New Roman" w:hAnsi="Times New Roman" w:cs="Times New Roman"/>
          <w:sz w:val="24"/>
          <w:szCs w:val="24"/>
        </w:rPr>
        <w:t xml:space="preserve"> Li, Yongming Wang, Bo Huang, Sam </w:t>
      </w:r>
      <w:proofErr w:type="spellStart"/>
      <w:r w:rsidR="00C47BCC">
        <w:rPr>
          <w:rFonts w:ascii="Times New Roman" w:hAnsi="Times New Roman" w:cs="Times New Roman"/>
          <w:sz w:val="24"/>
          <w:szCs w:val="24"/>
        </w:rPr>
        <w:t>Degelia</w:t>
      </w:r>
      <w:proofErr w:type="spellEnd"/>
      <w:r w:rsidR="00C47BCC">
        <w:rPr>
          <w:rFonts w:ascii="Times New Roman" w:hAnsi="Times New Roman" w:cs="Times New Roman"/>
          <w:sz w:val="24"/>
          <w:szCs w:val="24"/>
        </w:rPr>
        <w:t xml:space="preserve">, and </w:t>
      </w:r>
      <w:proofErr w:type="spellStart"/>
      <w:r w:rsidR="00C47BCC" w:rsidRPr="006716C7">
        <w:rPr>
          <w:rFonts w:ascii="Times New Roman" w:hAnsi="Times New Roman" w:cs="Times New Roman"/>
          <w:sz w:val="24"/>
          <w:szCs w:val="24"/>
        </w:rPr>
        <w:t>Hristo</w:t>
      </w:r>
      <w:proofErr w:type="spellEnd"/>
      <w:r w:rsidR="00C47BCC">
        <w:rPr>
          <w:rFonts w:ascii="Times New Roman" w:hAnsi="Times New Roman" w:cs="Times New Roman"/>
          <w:sz w:val="24"/>
          <w:szCs w:val="24"/>
        </w:rPr>
        <w:t xml:space="preserve"> </w:t>
      </w:r>
      <w:proofErr w:type="spellStart"/>
      <w:r w:rsidR="00C47BCC" w:rsidRPr="006716C7">
        <w:rPr>
          <w:rFonts w:ascii="Times New Roman" w:hAnsi="Times New Roman" w:cs="Times New Roman"/>
          <w:sz w:val="24"/>
          <w:szCs w:val="24"/>
        </w:rPr>
        <w:t>Chipilski</w:t>
      </w:r>
      <w:proofErr w:type="spellEnd"/>
      <w:r w:rsidR="00C47BCC">
        <w:rPr>
          <w:rFonts w:ascii="Times New Roman" w:hAnsi="Times New Roman" w:cs="Times New Roman"/>
          <w:sz w:val="24"/>
          <w:szCs w:val="24"/>
        </w:rPr>
        <w:t xml:space="preserve">.  </w:t>
      </w:r>
      <w:r w:rsidR="002E3DC0">
        <w:rPr>
          <w:rFonts w:ascii="Times New Roman" w:hAnsi="Times New Roman" w:cs="Times New Roman"/>
          <w:sz w:val="24"/>
          <w:szCs w:val="24"/>
        </w:rPr>
        <w:t>Thanks also goes to the collaborators from</w:t>
      </w:r>
      <w:r w:rsidR="005E3832">
        <w:rPr>
          <w:rFonts w:ascii="Times New Roman" w:hAnsi="Times New Roman" w:cs="Times New Roman"/>
          <w:sz w:val="24"/>
          <w:szCs w:val="24"/>
        </w:rPr>
        <w:t xml:space="preserve"> </w:t>
      </w:r>
      <w:r w:rsidR="005E3832" w:rsidRPr="005E3832">
        <w:rPr>
          <w:rFonts w:ascii="Times New Roman" w:hAnsi="Times New Roman" w:cs="Times New Roman"/>
          <w:sz w:val="24"/>
          <w:szCs w:val="24"/>
        </w:rPr>
        <w:t>Environmental Modeling Cente</w:t>
      </w:r>
      <w:r w:rsidR="005E3832">
        <w:rPr>
          <w:rFonts w:ascii="Times New Roman" w:hAnsi="Times New Roman" w:cs="Times New Roman"/>
          <w:sz w:val="24"/>
          <w:szCs w:val="24"/>
        </w:rPr>
        <w:t>r</w:t>
      </w:r>
      <w:r w:rsidR="002E3DC0">
        <w:rPr>
          <w:rFonts w:ascii="Times New Roman" w:hAnsi="Times New Roman" w:cs="Times New Roman"/>
          <w:sz w:val="24"/>
          <w:szCs w:val="24"/>
        </w:rPr>
        <w:t xml:space="preserve"> </w:t>
      </w:r>
      <w:r w:rsidR="005E3832">
        <w:rPr>
          <w:rFonts w:ascii="Times New Roman" w:hAnsi="Times New Roman" w:cs="Times New Roman"/>
          <w:sz w:val="24"/>
          <w:szCs w:val="24"/>
        </w:rPr>
        <w:t xml:space="preserve">(EMC), Developmental Testbed Center (DTC), </w:t>
      </w:r>
      <w:r w:rsidR="005E3832" w:rsidRPr="00205651">
        <w:rPr>
          <w:rFonts w:ascii="Times New Roman" w:hAnsi="Times New Roman" w:cs="Times New Roman"/>
          <w:sz w:val="24"/>
          <w:szCs w:val="24"/>
        </w:rPr>
        <w:t>Tropical Cyclone Intensity Experiment</w:t>
      </w:r>
      <w:r w:rsidR="005E3832">
        <w:rPr>
          <w:rFonts w:ascii="Times New Roman" w:hAnsi="Times New Roman" w:cs="Times New Roman"/>
          <w:sz w:val="24"/>
          <w:szCs w:val="24"/>
        </w:rPr>
        <w:t xml:space="preserve"> (TCI) and </w:t>
      </w:r>
      <w:r w:rsidR="005E3832" w:rsidRPr="00205651">
        <w:rPr>
          <w:rFonts w:ascii="Times New Roman" w:hAnsi="Times New Roman" w:cs="Times New Roman"/>
          <w:sz w:val="24"/>
          <w:szCs w:val="24"/>
        </w:rPr>
        <w:t>Hurricane</w:t>
      </w:r>
      <w:r w:rsidR="0069386C">
        <w:rPr>
          <w:rFonts w:ascii="Times New Roman" w:hAnsi="Times New Roman" w:cs="Times New Roman"/>
          <w:sz w:val="24"/>
          <w:szCs w:val="24"/>
        </w:rPr>
        <w:t xml:space="preserve"> Intensity</w:t>
      </w:r>
      <w:r w:rsidR="005E3832" w:rsidRPr="00205651">
        <w:rPr>
          <w:rFonts w:ascii="Times New Roman" w:hAnsi="Times New Roman" w:cs="Times New Roman"/>
          <w:sz w:val="24"/>
          <w:szCs w:val="24"/>
        </w:rPr>
        <w:t xml:space="preserve"> Forecast</w:t>
      </w:r>
      <w:r w:rsidR="0069386C">
        <w:rPr>
          <w:rFonts w:ascii="Times New Roman" w:hAnsi="Times New Roman" w:cs="Times New Roman"/>
          <w:sz w:val="24"/>
          <w:szCs w:val="24"/>
        </w:rPr>
        <w:t>ing</w:t>
      </w:r>
      <w:r w:rsidR="005E3832" w:rsidRPr="00205651">
        <w:rPr>
          <w:rFonts w:ascii="Times New Roman" w:hAnsi="Times New Roman" w:cs="Times New Roman"/>
          <w:sz w:val="24"/>
          <w:szCs w:val="24"/>
        </w:rPr>
        <w:t xml:space="preserve"> </w:t>
      </w:r>
      <w:r w:rsidR="0069386C">
        <w:rPr>
          <w:rFonts w:ascii="Times New Roman" w:hAnsi="Times New Roman" w:cs="Times New Roman"/>
          <w:sz w:val="24"/>
          <w:szCs w:val="24"/>
        </w:rPr>
        <w:t>Experiment</w:t>
      </w:r>
      <w:r w:rsidR="005E3832" w:rsidRPr="00205651">
        <w:rPr>
          <w:rFonts w:ascii="Times New Roman" w:hAnsi="Times New Roman" w:cs="Times New Roman"/>
          <w:sz w:val="24"/>
          <w:szCs w:val="24"/>
        </w:rPr>
        <w:t xml:space="preserve"> </w:t>
      </w:r>
      <w:r w:rsidR="005E3832">
        <w:rPr>
          <w:rFonts w:ascii="Times New Roman" w:hAnsi="Times New Roman" w:cs="Times New Roman"/>
          <w:sz w:val="24"/>
          <w:szCs w:val="24"/>
        </w:rPr>
        <w:t xml:space="preserve">(IFEX).  </w:t>
      </w:r>
      <w:r w:rsidR="00944996">
        <w:rPr>
          <w:rFonts w:ascii="Times New Roman" w:hAnsi="Times New Roman" w:cs="Times New Roman"/>
          <w:sz w:val="24"/>
          <w:szCs w:val="24"/>
        </w:rPr>
        <w:t>I would like to acknowledge for the support from the project</w:t>
      </w:r>
      <w:r w:rsidR="002E742D">
        <w:rPr>
          <w:rFonts w:ascii="Times New Roman" w:hAnsi="Times New Roman" w:cs="Times New Roman"/>
          <w:sz w:val="24"/>
          <w:szCs w:val="24"/>
        </w:rPr>
        <w:t>s</w:t>
      </w:r>
      <w:r w:rsidR="00944996">
        <w:rPr>
          <w:rFonts w:ascii="Times New Roman" w:hAnsi="Times New Roman" w:cs="Times New Roman"/>
          <w:sz w:val="24"/>
          <w:szCs w:val="24"/>
        </w:rPr>
        <w:t xml:space="preserve"> provided by </w:t>
      </w:r>
      <w:r w:rsidR="00205651" w:rsidRPr="00205651">
        <w:rPr>
          <w:rFonts w:ascii="Times New Roman" w:hAnsi="Times New Roman" w:cs="Times New Roman"/>
          <w:sz w:val="24"/>
          <w:szCs w:val="24"/>
        </w:rPr>
        <w:t xml:space="preserve">the National Oceanic and Atmospheric Administration (NOAA) </w:t>
      </w:r>
      <w:r w:rsidR="0069386C">
        <w:rPr>
          <w:rFonts w:ascii="Times New Roman" w:hAnsi="Times New Roman" w:cs="Times New Roman"/>
          <w:sz w:val="24"/>
          <w:szCs w:val="24"/>
        </w:rPr>
        <w:t>Hurricane Forecast Intensity Program (</w:t>
      </w:r>
      <w:r w:rsidR="00205651" w:rsidRPr="00205651">
        <w:rPr>
          <w:rFonts w:ascii="Times New Roman" w:hAnsi="Times New Roman" w:cs="Times New Roman"/>
          <w:sz w:val="24"/>
          <w:szCs w:val="24"/>
        </w:rPr>
        <w:t>HFIP</w:t>
      </w:r>
      <w:r w:rsidR="0069386C">
        <w:rPr>
          <w:rFonts w:ascii="Times New Roman" w:hAnsi="Times New Roman" w:cs="Times New Roman"/>
          <w:sz w:val="24"/>
          <w:szCs w:val="24"/>
        </w:rPr>
        <w:t>)</w:t>
      </w:r>
      <w:r w:rsidR="00205651">
        <w:rPr>
          <w:rFonts w:ascii="Times New Roman" w:hAnsi="Times New Roman" w:cs="Times New Roman"/>
          <w:sz w:val="24"/>
          <w:szCs w:val="24"/>
        </w:rPr>
        <w:t xml:space="preserve"> and the </w:t>
      </w:r>
      <w:r w:rsidR="00205651" w:rsidRPr="00205651">
        <w:rPr>
          <w:rFonts w:ascii="Times New Roman" w:hAnsi="Times New Roman" w:cs="Times New Roman"/>
          <w:sz w:val="24"/>
          <w:szCs w:val="24"/>
        </w:rPr>
        <w:t>Office of Naval Research (ONR) TCI</w:t>
      </w:r>
      <w:r w:rsidR="00EB6E57">
        <w:rPr>
          <w:rFonts w:ascii="Times New Roman" w:hAnsi="Times New Roman" w:cs="Times New Roman"/>
          <w:sz w:val="24"/>
          <w:szCs w:val="24"/>
        </w:rPr>
        <w:t xml:space="preserve">. </w:t>
      </w:r>
      <w:r w:rsidR="00D7010C">
        <w:rPr>
          <w:rFonts w:ascii="Times New Roman" w:hAnsi="Times New Roman" w:cs="Times New Roman"/>
          <w:sz w:val="24"/>
          <w:szCs w:val="24"/>
        </w:rPr>
        <w:t xml:space="preserve"> The dissertation was supported by the project grant</w:t>
      </w:r>
      <w:r w:rsidR="00004564">
        <w:rPr>
          <w:rFonts w:ascii="Times New Roman" w:hAnsi="Times New Roman" w:cs="Times New Roman"/>
          <w:sz w:val="24"/>
          <w:szCs w:val="24"/>
        </w:rPr>
        <w:t>s</w:t>
      </w:r>
      <w:r w:rsidR="00D7010C">
        <w:rPr>
          <w:rFonts w:ascii="Times New Roman" w:hAnsi="Times New Roman" w:cs="Times New Roman"/>
          <w:sz w:val="24"/>
          <w:szCs w:val="24"/>
        </w:rPr>
        <w:t xml:space="preserve"> </w:t>
      </w:r>
      <w:r w:rsidR="00D7010C" w:rsidRPr="00D7010C">
        <w:rPr>
          <w:rFonts w:ascii="Times New Roman" w:hAnsi="Times New Roman" w:cs="Times New Roman"/>
          <w:sz w:val="24"/>
          <w:szCs w:val="24"/>
        </w:rPr>
        <w:t>NA12NWS4680012</w:t>
      </w:r>
      <w:r w:rsidR="00D7010C">
        <w:rPr>
          <w:rFonts w:ascii="Times New Roman" w:hAnsi="Times New Roman" w:cs="Times New Roman"/>
          <w:sz w:val="24"/>
          <w:szCs w:val="24"/>
        </w:rPr>
        <w:t xml:space="preserve">, </w:t>
      </w:r>
      <w:r w:rsidR="00D7010C" w:rsidRPr="00D7010C">
        <w:rPr>
          <w:rFonts w:ascii="Times New Roman" w:hAnsi="Times New Roman" w:cs="Times New Roman"/>
          <w:sz w:val="24"/>
          <w:szCs w:val="24"/>
        </w:rPr>
        <w:t>NA14NWS4830008</w:t>
      </w:r>
      <w:r w:rsidR="00D7010C">
        <w:rPr>
          <w:rFonts w:ascii="Times New Roman" w:hAnsi="Times New Roman" w:cs="Times New Roman"/>
          <w:sz w:val="24"/>
          <w:szCs w:val="24"/>
        </w:rPr>
        <w:t xml:space="preserve">, </w:t>
      </w:r>
      <w:r w:rsidR="00D7010C" w:rsidRPr="00D7010C">
        <w:rPr>
          <w:rFonts w:ascii="Times New Roman" w:hAnsi="Times New Roman" w:cs="Times New Roman"/>
          <w:sz w:val="24"/>
          <w:szCs w:val="24"/>
        </w:rPr>
        <w:t>NA14NWS4680021</w:t>
      </w:r>
      <w:r w:rsidR="00D7010C">
        <w:rPr>
          <w:rFonts w:ascii="Times New Roman" w:hAnsi="Times New Roman" w:cs="Times New Roman"/>
          <w:sz w:val="24"/>
          <w:szCs w:val="24"/>
        </w:rPr>
        <w:t xml:space="preserve">, </w:t>
      </w:r>
      <w:r w:rsidR="00D7010C" w:rsidRPr="00D7010C">
        <w:rPr>
          <w:rFonts w:ascii="Times New Roman" w:hAnsi="Times New Roman" w:cs="Times New Roman"/>
          <w:sz w:val="24"/>
          <w:szCs w:val="24"/>
        </w:rPr>
        <w:t>NA16NWS4680028</w:t>
      </w:r>
      <w:r w:rsidR="00D7010C">
        <w:rPr>
          <w:rFonts w:ascii="Times New Roman" w:hAnsi="Times New Roman" w:cs="Times New Roman"/>
          <w:sz w:val="24"/>
          <w:szCs w:val="24"/>
        </w:rPr>
        <w:t xml:space="preserve">, </w:t>
      </w:r>
      <w:r w:rsidR="00D7010C" w:rsidRPr="00D7010C">
        <w:rPr>
          <w:rFonts w:ascii="Times New Roman" w:hAnsi="Times New Roman" w:cs="Times New Roman"/>
          <w:sz w:val="24"/>
          <w:szCs w:val="24"/>
        </w:rPr>
        <w:t>N000141410125</w:t>
      </w:r>
      <w:r w:rsidR="00D7010C">
        <w:rPr>
          <w:rFonts w:ascii="Times New Roman" w:hAnsi="Times New Roman" w:cs="Times New Roman"/>
          <w:sz w:val="24"/>
          <w:szCs w:val="24"/>
        </w:rPr>
        <w:t xml:space="preserve">, and </w:t>
      </w:r>
      <w:r w:rsidR="00D7010C" w:rsidRPr="00D7010C">
        <w:rPr>
          <w:rFonts w:ascii="Times New Roman" w:hAnsi="Times New Roman" w:cs="Times New Roman"/>
          <w:sz w:val="24"/>
          <w:szCs w:val="24"/>
        </w:rPr>
        <w:t>N000141712111</w:t>
      </w:r>
      <w:r w:rsidR="00D7010C">
        <w:rPr>
          <w:rFonts w:ascii="Times New Roman" w:hAnsi="Times New Roman" w:cs="Times New Roman"/>
          <w:sz w:val="24"/>
          <w:szCs w:val="24"/>
        </w:rPr>
        <w:t>.  The experiments were performed on the supercomputers Jet from NOAA and Schooner from the University of Oklahoma.</w:t>
      </w:r>
      <w:r w:rsidR="002E3DC0">
        <w:rPr>
          <w:rFonts w:ascii="Times New Roman" w:hAnsi="Times New Roman" w:cs="Times New Roman"/>
          <w:sz w:val="24"/>
          <w:szCs w:val="24"/>
        </w:rPr>
        <w:t xml:space="preserve">  </w:t>
      </w:r>
    </w:p>
    <w:p w14:paraId="2F07CE6B" w14:textId="6C16772E" w:rsidR="00E06B6D" w:rsidRPr="00723DA9" w:rsidRDefault="00E06B6D" w:rsidP="00E06B6D">
      <w:pPr>
        <w:spacing w:after="0" w:line="480" w:lineRule="auto"/>
        <w:ind w:firstLine="432"/>
        <w:rPr>
          <w:rFonts w:ascii="Times New Roman" w:hAnsi="Times New Roman" w:cs="Times New Roman"/>
          <w:sz w:val="24"/>
          <w:szCs w:val="24"/>
        </w:rPr>
      </w:pPr>
      <w:r>
        <w:rPr>
          <w:rFonts w:ascii="Times New Roman" w:hAnsi="Times New Roman" w:cs="Times New Roman"/>
          <w:sz w:val="24"/>
          <w:szCs w:val="24"/>
        </w:rPr>
        <w:t>On a more personal note, I would like to thank the support</w:t>
      </w:r>
      <w:r w:rsidR="00AC1D5D">
        <w:rPr>
          <w:rFonts w:ascii="Times New Roman" w:hAnsi="Times New Roman" w:cs="Times New Roman"/>
          <w:sz w:val="24"/>
          <w:szCs w:val="24"/>
        </w:rPr>
        <w:t>, tolerance and</w:t>
      </w:r>
      <w:r>
        <w:rPr>
          <w:rFonts w:ascii="Times New Roman" w:hAnsi="Times New Roman" w:cs="Times New Roman"/>
          <w:sz w:val="24"/>
          <w:szCs w:val="24"/>
        </w:rPr>
        <w:t xml:space="preserve"> </w:t>
      </w:r>
      <w:r w:rsidR="00340441">
        <w:rPr>
          <w:rFonts w:ascii="Times New Roman" w:hAnsi="Times New Roman" w:cs="Times New Roman"/>
          <w:sz w:val="24"/>
          <w:szCs w:val="24"/>
        </w:rPr>
        <w:t xml:space="preserve">scarifies </w:t>
      </w:r>
      <w:r>
        <w:rPr>
          <w:rFonts w:ascii="Times New Roman" w:hAnsi="Times New Roman" w:cs="Times New Roman"/>
          <w:sz w:val="24"/>
          <w:szCs w:val="24"/>
        </w:rPr>
        <w:t xml:space="preserve">from my wonderful wife Ting. </w:t>
      </w:r>
      <w:r w:rsidR="00340441">
        <w:rPr>
          <w:rFonts w:ascii="Times New Roman" w:hAnsi="Times New Roman" w:cs="Times New Roman"/>
          <w:sz w:val="24"/>
          <w:szCs w:val="24"/>
        </w:rPr>
        <w:t xml:space="preserve"> And of course,</w:t>
      </w:r>
      <w:r w:rsidR="00AC1D5D">
        <w:rPr>
          <w:rFonts w:ascii="Times New Roman" w:hAnsi="Times New Roman" w:cs="Times New Roman"/>
          <w:sz w:val="24"/>
          <w:szCs w:val="24"/>
        </w:rPr>
        <w:t xml:space="preserve"> </w:t>
      </w:r>
      <w:r w:rsidR="00742FBD">
        <w:rPr>
          <w:rFonts w:ascii="Times New Roman" w:hAnsi="Times New Roman" w:cs="Times New Roman"/>
          <w:sz w:val="24"/>
          <w:szCs w:val="24"/>
        </w:rPr>
        <w:t>s</w:t>
      </w:r>
      <w:r w:rsidR="00AC1D5D">
        <w:rPr>
          <w:rFonts w:ascii="Times New Roman" w:hAnsi="Times New Roman" w:cs="Times New Roman"/>
          <w:sz w:val="24"/>
          <w:szCs w:val="24"/>
        </w:rPr>
        <w:t>pecial thanks to</w:t>
      </w:r>
      <w:r w:rsidR="00340441">
        <w:rPr>
          <w:rFonts w:ascii="Times New Roman" w:hAnsi="Times New Roman" w:cs="Times New Roman"/>
          <w:sz w:val="24"/>
          <w:szCs w:val="24"/>
        </w:rPr>
        <w:t xml:space="preserve"> </w:t>
      </w:r>
      <w:r w:rsidR="00AC1D5D">
        <w:rPr>
          <w:rFonts w:ascii="Times New Roman" w:hAnsi="Times New Roman" w:cs="Times New Roman"/>
          <w:sz w:val="24"/>
          <w:szCs w:val="24"/>
        </w:rPr>
        <w:t xml:space="preserve">my </w:t>
      </w:r>
      <w:r w:rsidR="00004564">
        <w:rPr>
          <w:rFonts w:ascii="Times New Roman" w:hAnsi="Times New Roman" w:cs="Times New Roman"/>
          <w:sz w:val="24"/>
          <w:szCs w:val="24"/>
        </w:rPr>
        <w:t>dear</w:t>
      </w:r>
      <w:r w:rsidR="009B5066">
        <w:rPr>
          <w:rFonts w:ascii="Times New Roman" w:hAnsi="Times New Roman" w:cs="Times New Roman"/>
          <w:sz w:val="24"/>
          <w:szCs w:val="24"/>
        </w:rPr>
        <w:t xml:space="preserve"> </w:t>
      </w:r>
      <w:r w:rsidR="00AC1D5D">
        <w:rPr>
          <w:rFonts w:ascii="Times New Roman" w:hAnsi="Times New Roman" w:cs="Times New Roman"/>
          <w:sz w:val="24"/>
          <w:szCs w:val="24"/>
        </w:rPr>
        <w:t xml:space="preserve">baby daughter Zoey, who </w:t>
      </w:r>
      <w:r w:rsidR="0070694B">
        <w:rPr>
          <w:rFonts w:ascii="Times New Roman" w:hAnsi="Times New Roman" w:cs="Times New Roman"/>
          <w:sz w:val="24"/>
          <w:szCs w:val="24"/>
        </w:rPr>
        <w:t>brings</w:t>
      </w:r>
      <w:r w:rsidR="00AC1D5D">
        <w:rPr>
          <w:rFonts w:ascii="Times New Roman" w:hAnsi="Times New Roman" w:cs="Times New Roman"/>
          <w:sz w:val="24"/>
          <w:szCs w:val="24"/>
        </w:rPr>
        <w:t xml:space="preserve"> me lots of joys besides her</w:t>
      </w:r>
      <w:r w:rsidR="00742FBD">
        <w:rPr>
          <w:rFonts w:ascii="Times New Roman" w:hAnsi="Times New Roman" w:cs="Times New Roman"/>
          <w:sz w:val="24"/>
          <w:szCs w:val="24"/>
        </w:rPr>
        <w:t xml:space="preserve"> occasionally</w:t>
      </w:r>
      <w:r w:rsidR="00AC1D5D">
        <w:rPr>
          <w:rFonts w:ascii="Times New Roman" w:hAnsi="Times New Roman" w:cs="Times New Roman"/>
          <w:sz w:val="24"/>
          <w:szCs w:val="24"/>
        </w:rPr>
        <w:t xml:space="preserve"> </w:t>
      </w:r>
      <w:r w:rsidR="007A1DFF">
        <w:rPr>
          <w:rFonts w:ascii="Times New Roman" w:hAnsi="Times New Roman" w:cs="Times New Roman"/>
          <w:sz w:val="24"/>
          <w:szCs w:val="24"/>
        </w:rPr>
        <w:t>wake-up-and-</w:t>
      </w:r>
      <w:r w:rsidR="007C10AA">
        <w:rPr>
          <w:rFonts w:ascii="Times New Roman" w:hAnsi="Times New Roman" w:cs="Times New Roman"/>
          <w:sz w:val="24"/>
          <w:szCs w:val="24"/>
        </w:rPr>
        <w:t>cuddle</w:t>
      </w:r>
      <w:r w:rsidR="007A1DFF">
        <w:rPr>
          <w:rFonts w:ascii="Times New Roman" w:hAnsi="Times New Roman" w:cs="Times New Roman"/>
          <w:sz w:val="24"/>
          <w:szCs w:val="24"/>
        </w:rPr>
        <w:t>-me-or-I-cry</w:t>
      </w:r>
      <w:r w:rsidR="001101EE">
        <w:rPr>
          <w:rFonts w:ascii="Times New Roman" w:hAnsi="Times New Roman" w:cs="Times New Roman"/>
          <w:sz w:val="24"/>
          <w:szCs w:val="24"/>
        </w:rPr>
        <w:t xml:space="preserve"> </w:t>
      </w:r>
      <w:r w:rsidR="007A1DFF">
        <w:rPr>
          <w:rFonts w:ascii="Times New Roman" w:hAnsi="Times New Roman" w:cs="Times New Roman"/>
          <w:sz w:val="24"/>
          <w:szCs w:val="24"/>
        </w:rPr>
        <w:t>in the</w:t>
      </w:r>
      <w:r w:rsidR="00AC1D5D">
        <w:rPr>
          <w:rFonts w:ascii="Times New Roman" w:hAnsi="Times New Roman" w:cs="Times New Roman"/>
          <w:sz w:val="24"/>
          <w:szCs w:val="24"/>
        </w:rPr>
        <w:t xml:space="preserve"> </w:t>
      </w:r>
      <w:r w:rsidR="007A1DFF">
        <w:rPr>
          <w:rFonts w:ascii="Times New Roman" w:hAnsi="Times New Roman" w:cs="Times New Roman"/>
          <w:sz w:val="24"/>
          <w:szCs w:val="24"/>
        </w:rPr>
        <w:t xml:space="preserve">middle of the </w:t>
      </w:r>
      <w:r w:rsidR="00AC1D5D">
        <w:rPr>
          <w:rFonts w:ascii="Times New Roman" w:hAnsi="Times New Roman" w:cs="Times New Roman"/>
          <w:sz w:val="24"/>
          <w:szCs w:val="24"/>
        </w:rPr>
        <w:t xml:space="preserve">night. </w:t>
      </w:r>
      <w:r w:rsidR="0070694B">
        <w:rPr>
          <w:rFonts w:ascii="Times New Roman" w:hAnsi="Times New Roman" w:cs="Times New Roman"/>
          <w:sz w:val="24"/>
          <w:szCs w:val="24"/>
        </w:rPr>
        <w:t xml:space="preserve"> I would like to thank my parents, </w:t>
      </w:r>
      <w:proofErr w:type="spellStart"/>
      <w:r w:rsidR="0070694B">
        <w:rPr>
          <w:rFonts w:ascii="Times New Roman" w:hAnsi="Times New Roman" w:cs="Times New Roman"/>
          <w:sz w:val="24"/>
          <w:szCs w:val="24"/>
        </w:rPr>
        <w:t>Guangshun</w:t>
      </w:r>
      <w:proofErr w:type="spellEnd"/>
      <w:r w:rsidR="0070694B">
        <w:rPr>
          <w:rFonts w:ascii="Times New Roman" w:hAnsi="Times New Roman" w:cs="Times New Roman"/>
          <w:sz w:val="24"/>
          <w:szCs w:val="24"/>
        </w:rPr>
        <w:t xml:space="preserve"> and Min, for their endless love and support.</w:t>
      </w:r>
      <w:r w:rsidR="00302C1C">
        <w:rPr>
          <w:rFonts w:ascii="Times New Roman" w:hAnsi="Times New Roman" w:cs="Times New Roman"/>
          <w:sz w:val="24"/>
          <w:szCs w:val="24"/>
        </w:rPr>
        <w:t xml:space="preserve">  Without the support and encouragement from these dear family members, the research would not have been possible.</w:t>
      </w:r>
    </w:p>
    <w:p w14:paraId="4BE49D60" w14:textId="77777777" w:rsidR="00823393" w:rsidRPr="00723DA9" w:rsidRDefault="00823393"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br w:type="page"/>
      </w:r>
    </w:p>
    <w:sdt>
      <w:sdtPr>
        <w:rPr>
          <w:rFonts w:ascii="Times New Roman" w:eastAsiaTheme="minorEastAsia" w:hAnsi="Times New Roman" w:cs="Times New Roman"/>
          <w:b/>
          <w:color w:val="auto"/>
          <w:sz w:val="24"/>
          <w:szCs w:val="24"/>
          <w:lang w:eastAsia="zh-CN"/>
        </w:rPr>
        <w:id w:val="1630289229"/>
        <w:docPartObj>
          <w:docPartGallery w:val="Table of Contents"/>
          <w:docPartUnique/>
        </w:docPartObj>
      </w:sdtPr>
      <w:sdtEndPr>
        <w:rPr>
          <w:b w:val="0"/>
          <w:bCs/>
          <w:noProof/>
        </w:rPr>
      </w:sdtEndPr>
      <w:sdtContent>
        <w:p w14:paraId="28811CB6" w14:textId="0F0438CD" w:rsidR="00D0781C" w:rsidRPr="00723DA9" w:rsidRDefault="00D0781C" w:rsidP="002069FE">
          <w:pPr>
            <w:pStyle w:val="TOCHeading"/>
            <w:spacing w:before="0" w:line="240" w:lineRule="auto"/>
            <w:jc w:val="center"/>
            <w:rPr>
              <w:rFonts w:ascii="Times New Roman" w:hAnsi="Times New Roman" w:cs="Times New Roman"/>
              <w:b/>
              <w:color w:val="auto"/>
              <w:sz w:val="24"/>
              <w:szCs w:val="24"/>
            </w:rPr>
          </w:pPr>
          <w:r w:rsidRPr="00723DA9">
            <w:rPr>
              <w:rFonts w:ascii="Times New Roman" w:hAnsi="Times New Roman" w:cs="Times New Roman"/>
              <w:b/>
              <w:color w:val="auto"/>
              <w:sz w:val="24"/>
              <w:szCs w:val="24"/>
            </w:rPr>
            <w:t>Table of Contents</w:t>
          </w:r>
        </w:p>
        <w:p w14:paraId="02B8B943" w14:textId="532F09A2" w:rsidR="004C2DF6" w:rsidRPr="00EC68C2" w:rsidRDefault="00D0781C" w:rsidP="002069FE">
          <w:pPr>
            <w:pStyle w:val="TOC1"/>
            <w:rPr>
              <w:noProof/>
              <w:sz w:val="24"/>
              <w:szCs w:val="24"/>
            </w:rPr>
          </w:pPr>
          <w:r w:rsidRPr="00723DA9">
            <w:rPr>
              <w:rFonts w:ascii="Times New Roman" w:hAnsi="Times New Roman" w:cs="Times New Roman"/>
              <w:sz w:val="24"/>
              <w:szCs w:val="24"/>
            </w:rPr>
            <w:fldChar w:fldCharType="begin"/>
          </w:r>
          <w:r w:rsidRPr="00723DA9">
            <w:rPr>
              <w:rFonts w:ascii="Times New Roman" w:hAnsi="Times New Roman" w:cs="Times New Roman"/>
              <w:sz w:val="24"/>
              <w:szCs w:val="24"/>
            </w:rPr>
            <w:instrText xml:space="preserve"> TOC \o "1-3" \h \z \u </w:instrText>
          </w:r>
          <w:r w:rsidRPr="00723DA9">
            <w:rPr>
              <w:rFonts w:ascii="Times New Roman" w:hAnsi="Times New Roman" w:cs="Times New Roman"/>
              <w:sz w:val="24"/>
              <w:szCs w:val="24"/>
            </w:rPr>
            <w:fldChar w:fldCharType="separate"/>
          </w:r>
          <w:hyperlink w:anchor="_Toc21623966" w:history="1">
            <w:r w:rsidR="004C2DF6" w:rsidRPr="00EC68C2">
              <w:rPr>
                <w:rStyle w:val="Hyperlink"/>
                <w:rFonts w:ascii="Times New Roman" w:hAnsi="Times New Roman" w:cs="Times New Roman"/>
                <w:b/>
                <w:noProof/>
                <w:sz w:val="24"/>
                <w:szCs w:val="24"/>
              </w:rPr>
              <w:t>Acknowledgements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_Toc21623966 \h </w:instrText>
            </w:r>
            <w:r w:rsidR="004C2DF6" w:rsidRPr="00EC68C2">
              <w:rPr>
                <w:noProof/>
                <w:webHidden/>
                <w:sz w:val="24"/>
                <w:szCs w:val="24"/>
              </w:rPr>
            </w:r>
            <w:r w:rsidR="004C2DF6" w:rsidRPr="00EC68C2">
              <w:rPr>
                <w:noProof/>
                <w:webHidden/>
                <w:sz w:val="24"/>
                <w:szCs w:val="24"/>
              </w:rPr>
              <w:fldChar w:fldCharType="separate"/>
            </w:r>
            <w:r w:rsidR="00C350DE">
              <w:rPr>
                <w:noProof/>
                <w:webHidden/>
                <w:sz w:val="24"/>
                <w:szCs w:val="24"/>
              </w:rPr>
              <w:t>iv</w:t>
            </w:r>
            <w:r w:rsidR="004C2DF6" w:rsidRPr="00EC68C2">
              <w:rPr>
                <w:noProof/>
                <w:webHidden/>
                <w:sz w:val="24"/>
                <w:szCs w:val="24"/>
              </w:rPr>
              <w:fldChar w:fldCharType="end"/>
            </w:r>
          </w:hyperlink>
        </w:p>
        <w:p w14:paraId="03A7E5EF" w14:textId="78B74A10" w:rsidR="004C2DF6" w:rsidRPr="00EC68C2" w:rsidRDefault="00C350DE" w:rsidP="002069FE">
          <w:pPr>
            <w:pStyle w:val="TOC1"/>
            <w:rPr>
              <w:noProof/>
              <w:sz w:val="24"/>
              <w:szCs w:val="24"/>
            </w:rPr>
          </w:pPr>
          <w:hyperlink w:anchor="_Toc21623967" w:history="1">
            <w:r w:rsidR="004C2DF6" w:rsidRPr="00EC68C2">
              <w:rPr>
                <w:rStyle w:val="Hyperlink"/>
                <w:rFonts w:ascii="Times New Roman" w:hAnsi="Times New Roman" w:cs="Times New Roman"/>
                <w:b/>
                <w:noProof/>
                <w:sz w:val="24"/>
                <w:szCs w:val="24"/>
              </w:rPr>
              <w:t>List of Tables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_Toc21623967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vii</w:t>
            </w:r>
            <w:r w:rsidR="004C2DF6" w:rsidRPr="00EC68C2">
              <w:rPr>
                <w:noProof/>
                <w:webHidden/>
                <w:sz w:val="24"/>
                <w:szCs w:val="24"/>
              </w:rPr>
              <w:fldChar w:fldCharType="end"/>
            </w:r>
          </w:hyperlink>
        </w:p>
        <w:p w14:paraId="5B2CA3D8" w14:textId="098B053D" w:rsidR="004C2DF6" w:rsidRPr="00EC68C2" w:rsidRDefault="00C350DE" w:rsidP="002069FE">
          <w:pPr>
            <w:pStyle w:val="TOC1"/>
            <w:rPr>
              <w:noProof/>
              <w:sz w:val="24"/>
              <w:szCs w:val="24"/>
            </w:rPr>
          </w:pPr>
          <w:hyperlink w:anchor="_Toc21623968" w:history="1">
            <w:r w:rsidR="004C2DF6" w:rsidRPr="00EC68C2">
              <w:rPr>
                <w:rStyle w:val="Hyperlink"/>
                <w:rFonts w:ascii="Times New Roman" w:hAnsi="Times New Roman" w:cs="Times New Roman"/>
                <w:b/>
                <w:noProof/>
                <w:sz w:val="24"/>
                <w:szCs w:val="24"/>
              </w:rPr>
              <w:t>List of Figures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_Toc21623968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viii</w:t>
            </w:r>
            <w:r w:rsidR="004C2DF6" w:rsidRPr="00EC68C2">
              <w:rPr>
                <w:noProof/>
                <w:webHidden/>
                <w:sz w:val="24"/>
                <w:szCs w:val="24"/>
              </w:rPr>
              <w:fldChar w:fldCharType="end"/>
            </w:r>
          </w:hyperlink>
        </w:p>
        <w:p w14:paraId="5A9671C5" w14:textId="095B0379" w:rsidR="004C2DF6" w:rsidRPr="00EC68C2" w:rsidRDefault="00C350DE" w:rsidP="002069FE">
          <w:pPr>
            <w:pStyle w:val="TOC1"/>
            <w:rPr>
              <w:noProof/>
              <w:sz w:val="24"/>
              <w:szCs w:val="24"/>
            </w:rPr>
          </w:pPr>
          <w:hyperlink w:anchor="_Toc21623969" w:history="1">
            <w:r w:rsidR="004C2DF6" w:rsidRPr="00EC68C2">
              <w:rPr>
                <w:rStyle w:val="Hyperlink"/>
                <w:rFonts w:ascii="Times New Roman" w:hAnsi="Times New Roman" w:cs="Times New Roman"/>
                <w:b/>
                <w:bCs/>
                <w:noProof/>
                <w:sz w:val="24"/>
                <w:szCs w:val="24"/>
              </w:rPr>
              <w:t>Abstract</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_Toc21623969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xiii</w:t>
            </w:r>
            <w:r w:rsidR="004C2DF6" w:rsidRPr="00EC68C2">
              <w:rPr>
                <w:noProof/>
                <w:webHidden/>
                <w:sz w:val="24"/>
                <w:szCs w:val="24"/>
              </w:rPr>
              <w:fldChar w:fldCharType="end"/>
            </w:r>
          </w:hyperlink>
        </w:p>
        <w:p w14:paraId="58977B17" w14:textId="4E0BA1F9" w:rsidR="004C2DF6" w:rsidRPr="00EC68C2" w:rsidRDefault="00C350DE" w:rsidP="002069FE">
          <w:pPr>
            <w:pStyle w:val="TOC1"/>
            <w:rPr>
              <w:noProof/>
              <w:sz w:val="24"/>
              <w:szCs w:val="24"/>
            </w:rPr>
          </w:pPr>
          <w:hyperlink w:anchor="_Toc21623970" w:history="1">
            <w:r w:rsidR="004C2DF6" w:rsidRPr="00EC68C2">
              <w:rPr>
                <w:rStyle w:val="Hyperlink"/>
                <w:rFonts w:ascii="Times New Roman" w:hAnsi="Times New Roman" w:cs="Times New Roman"/>
                <w:b/>
                <w:noProof/>
                <w:sz w:val="24"/>
                <w:szCs w:val="24"/>
              </w:rPr>
              <w:t>Chapter 1: Introduction and overview</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_Toc21623970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w:t>
            </w:r>
            <w:r w:rsidR="004C2DF6" w:rsidRPr="00EC68C2">
              <w:rPr>
                <w:noProof/>
                <w:webHidden/>
                <w:sz w:val="24"/>
                <w:szCs w:val="24"/>
              </w:rPr>
              <w:fldChar w:fldCharType="end"/>
            </w:r>
          </w:hyperlink>
        </w:p>
        <w:p w14:paraId="465A0A1B" w14:textId="6A160595" w:rsidR="004C2DF6" w:rsidRPr="00EC68C2" w:rsidRDefault="00C350DE" w:rsidP="002069FE">
          <w:pPr>
            <w:pStyle w:val="TOC2"/>
            <w:tabs>
              <w:tab w:val="left" w:pos="880"/>
              <w:tab w:val="right" w:leader="dot" w:pos="9350"/>
            </w:tabs>
            <w:spacing w:after="0" w:line="240" w:lineRule="auto"/>
            <w:rPr>
              <w:noProof/>
              <w:sz w:val="24"/>
              <w:szCs w:val="24"/>
            </w:rPr>
          </w:pPr>
          <w:hyperlink w:anchor="_Toc21623971" w:history="1">
            <w:r w:rsidR="004C2DF6" w:rsidRPr="00EC68C2">
              <w:rPr>
                <w:rStyle w:val="Hyperlink"/>
                <w:rFonts w:ascii="Times New Roman" w:hAnsi="Times New Roman" w:cs="Times New Roman"/>
                <w:noProof/>
                <w:sz w:val="24"/>
                <w:szCs w:val="24"/>
              </w:rPr>
              <w:t>1.1</w:t>
            </w:r>
            <w:r w:rsidR="004C2DF6" w:rsidRPr="00EC68C2">
              <w:rPr>
                <w:noProof/>
                <w:sz w:val="24"/>
                <w:szCs w:val="24"/>
              </w:rPr>
              <w:tab/>
            </w:r>
            <w:r w:rsidR="004C2DF6" w:rsidRPr="00EC68C2">
              <w:rPr>
                <w:rStyle w:val="Hyperlink"/>
                <w:rFonts w:ascii="Times New Roman" w:hAnsi="Times New Roman" w:cs="Times New Roman"/>
                <w:noProof/>
                <w:sz w:val="24"/>
                <w:szCs w:val="24"/>
              </w:rPr>
              <w:t>Background and motivation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_Toc21623971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w:t>
            </w:r>
            <w:r w:rsidR="004C2DF6" w:rsidRPr="00EC68C2">
              <w:rPr>
                <w:noProof/>
                <w:webHidden/>
                <w:sz w:val="24"/>
                <w:szCs w:val="24"/>
              </w:rPr>
              <w:fldChar w:fldCharType="end"/>
            </w:r>
          </w:hyperlink>
        </w:p>
        <w:p w14:paraId="0742851B" w14:textId="79E407C5" w:rsidR="004C2DF6" w:rsidRPr="00EC68C2" w:rsidRDefault="00C350DE" w:rsidP="002069FE">
          <w:pPr>
            <w:pStyle w:val="TOC2"/>
            <w:tabs>
              <w:tab w:val="left" w:pos="880"/>
              <w:tab w:val="right" w:leader="dot" w:pos="9350"/>
            </w:tabs>
            <w:spacing w:after="0" w:line="240" w:lineRule="auto"/>
            <w:rPr>
              <w:noProof/>
              <w:sz w:val="24"/>
              <w:szCs w:val="24"/>
            </w:rPr>
          </w:pPr>
          <w:hyperlink w:anchor="_Toc21623972" w:history="1">
            <w:r w:rsidR="004C2DF6" w:rsidRPr="00EC68C2">
              <w:rPr>
                <w:rStyle w:val="Hyperlink"/>
                <w:rFonts w:ascii="Times New Roman" w:hAnsi="Times New Roman" w:cs="Times New Roman"/>
                <w:noProof/>
                <w:sz w:val="24"/>
                <w:szCs w:val="24"/>
              </w:rPr>
              <w:t>1.2</w:t>
            </w:r>
            <w:r w:rsidR="004C2DF6" w:rsidRPr="00EC68C2">
              <w:rPr>
                <w:noProof/>
                <w:sz w:val="24"/>
                <w:szCs w:val="24"/>
              </w:rPr>
              <w:tab/>
            </w:r>
            <w:r w:rsidR="004C2DF6" w:rsidRPr="00EC68C2">
              <w:rPr>
                <w:rStyle w:val="Hyperlink"/>
                <w:rFonts w:ascii="Times New Roman" w:hAnsi="Times New Roman" w:cs="Times New Roman"/>
                <w:noProof/>
                <w:sz w:val="24"/>
                <w:szCs w:val="24"/>
              </w:rPr>
              <w:t>Overview of the dissertation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_Toc21623972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6</w:t>
            </w:r>
            <w:r w:rsidR="004C2DF6" w:rsidRPr="00EC68C2">
              <w:rPr>
                <w:noProof/>
                <w:webHidden/>
                <w:sz w:val="24"/>
                <w:szCs w:val="24"/>
              </w:rPr>
              <w:fldChar w:fldCharType="end"/>
            </w:r>
          </w:hyperlink>
        </w:p>
        <w:p w14:paraId="1DF90160" w14:textId="0C16EF5A" w:rsidR="004C2DF6" w:rsidRPr="00EC68C2" w:rsidRDefault="00C350DE" w:rsidP="002069FE">
          <w:pPr>
            <w:pStyle w:val="TOC1"/>
            <w:rPr>
              <w:noProof/>
              <w:sz w:val="24"/>
              <w:szCs w:val="24"/>
            </w:rPr>
          </w:pPr>
          <w:hyperlink w:anchor="_Toc21623973" w:history="1">
            <w:r w:rsidR="004C2DF6" w:rsidRPr="00EC68C2">
              <w:rPr>
                <w:rStyle w:val="Hyperlink"/>
                <w:rFonts w:ascii="Times New Roman" w:hAnsi="Times New Roman" w:cs="Times New Roman"/>
                <w:b/>
                <w:noProof/>
                <w:sz w:val="24"/>
                <w:szCs w:val="24"/>
              </w:rPr>
              <w:t>Chapter 2: Methodologies and System Description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_Toc21623973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8</w:t>
            </w:r>
            <w:r w:rsidR="004C2DF6" w:rsidRPr="00EC68C2">
              <w:rPr>
                <w:noProof/>
                <w:webHidden/>
                <w:sz w:val="24"/>
                <w:szCs w:val="24"/>
              </w:rPr>
              <w:fldChar w:fldCharType="end"/>
            </w:r>
          </w:hyperlink>
        </w:p>
        <w:p w14:paraId="74B68BED" w14:textId="174D7C94" w:rsidR="004C2DF6" w:rsidRPr="00EC68C2" w:rsidRDefault="00C350DE" w:rsidP="002069FE">
          <w:pPr>
            <w:pStyle w:val="TOC2"/>
            <w:tabs>
              <w:tab w:val="left" w:pos="880"/>
              <w:tab w:val="right" w:leader="dot" w:pos="9350"/>
            </w:tabs>
            <w:spacing w:after="0" w:line="240" w:lineRule="auto"/>
            <w:rPr>
              <w:noProof/>
              <w:sz w:val="24"/>
              <w:szCs w:val="24"/>
            </w:rPr>
          </w:pPr>
          <w:hyperlink w:anchor="_Toc21623974" w:history="1">
            <w:r w:rsidR="004C2DF6" w:rsidRPr="00EC68C2">
              <w:rPr>
                <w:rStyle w:val="Hyperlink"/>
                <w:rFonts w:ascii="Times New Roman" w:hAnsi="Times New Roman" w:cs="Times New Roman"/>
                <w:noProof/>
                <w:sz w:val="24"/>
                <w:szCs w:val="24"/>
              </w:rPr>
              <w:t>2.1</w:t>
            </w:r>
            <w:r w:rsidR="004C2DF6" w:rsidRPr="00EC68C2">
              <w:rPr>
                <w:noProof/>
                <w:sz w:val="24"/>
                <w:szCs w:val="24"/>
              </w:rPr>
              <w:tab/>
            </w:r>
            <w:r w:rsidR="004C2DF6" w:rsidRPr="00EC68C2">
              <w:rPr>
                <w:rStyle w:val="Hyperlink"/>
                <w:rFonts w:ascii="Times New Roman" w:hAnsi="Times New Roman" w:cs="Times New Roman"/>
                <w:noProof/>
                <w:sz w:val="24"/>
                <w:szCs w:val="24"/>
              </w:rPr>
              <w:t>Overview of the GSI-based, continuously cycled, dual-resolution hybrid ensemble-variational (EnVar) DA system for HWRF</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_Toc21623974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8</w:t>
            </w:r>
            <w:r w:rsidR="004C2DF6" w:rsidRPr="00EC68C2">
              <w:rPr>
                <w:noProof/>
                <w:webHidden/>
                <w:sz w:val="24"/>
                <w:szCs w:val="24"/>
              </w:rPr>
              <w:fldChar w:fldCharType="end"/>
            </w:r>
          </w:hyperlink>
        </w:p>
        <w:p w14:paraId="1A22EAF3" w14:textId="28A41408" w:rsidR="004C2DF6" w:rsidRPr="00EC68C2" w:rsidRDefault="00C350DE" w:rsidP="002069FE">
          <w:pPr>
            <w:pStyle w:val="TOC2"/>
            <w:tabs>
              <w:tab w:val="left" w:pos="880"/>
              <w:tab w:val="right" w:leader="dot" w:pos="9350"/>
            </w:tabs>
            <w:spacing w:after="0" w:line="240" w:lineRule="auto"/>
            <w:rPr>
              <w:noProof/>
              <w:sz w:val="24"/>
              <w:szCs w:val="24"/>
            </w:rPr>
          </w:pPr>
          <w:hyperlink w:anchor="_Toc21623975" w:history="1">
            <w:r w:rsidR="004C2DF6" w:rsidRPr="00EC68C2">
              <w:rPr>
                <w:rStyle w:val="Hyperlink"/>
                <w:rFonts w:ascii="Times New Roman" w:hAnsi="Times New Roman" w:cs="Times New Roman"/>
                <w:noProof/>
                <w:sz w:val="24"/>
                <w:szCs w:val="24"/>
              </w:rPr>
              <w:t>2.2</w:t>
            </w:r>
            <w:r w:rsidR="004C2DF6" w:rsidRPr="00EC68C2">
              <w:rPr>
                <w:noProof/>
                <w:sz w:val="24"/>
                <w:szCs w:val="24"/>
              </w:rPr>
              <w:tab/>
            </w:r>
            <w:r w:rsidR="004C2DF6" w:rsidRPr="00EC68C2">
              <w:rPr>
                <w:rStyle w:val="Hyperlink"/>
                <w:rFonts w:ascii="Times New Roman" w:hAnsi="Times New Roman" w:cs="Times New Roman"/>
                <w:noProof/>
                <w:sz w:val="24"/>
                <w:szCs w:val="24"/>
              </w:rPr>
              <w:t>GSI based dual-resolution hybrid EnVar</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_Toc21623975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10</w:t>
            </w:r>
            <w:r w:rsidR="004C2DF6" w:rsidRPr="00EC68C2">
              <w:rPr>
                <w:noProof/>
                <w:webHidden/>
                <w:sz w:val="24"/>
                <w:szCs w:val="24"/>
              </w:rPr>
              <w:fldChar w:fldCharType="end"/>
            </w:r>
          </w:hyperlink>
        </w:p>
        <w:p w14:paraId="489C3CD3" w14:textId="7CC31FA2" w:rsidR="004C2DF6" w:rsidRPr="00EC68C2" w:rsidRDefault="00C350DE" w:rsidP="002069FE">
          <w:pPr>
            <w:pStyle w:val="TOC2"/>
            <w:tabs>
              <w:tab w:val="left" w:pos="880"/>
              <w:tab w:val="right" w:leader="dot" w:pos="9350"/>
            </w:tabs>
            <w:spacing w:after="0" w:line="240" w:lineRule="auto"/>
            <w:rPr>
              <w:noProof/>
              <w:sz w:val="24"/>
              <w:szCs w:val="24"/>
            </w:rPr>
          </w:pPr>
          <w:hyperlink w:anchor="_Toc21623976" w:history="1">
            <w:r w:rsidR="004C2DF6" w:rsidRPr="00EC68C2">
              <w:rPr>
                <w:rStyle w:val="Hyperlink"/>
                <w:rFonts w:ascii="Times New Roman" w:hAnsi="Times New Roman" w:cs="Times New Roman"/>
                <w:noProof/>
                <w:sz w:val="24"/>
                <w:szCs w:val="24"/>
              </w:rPr>
              <w:t>2.3</w:t>
            </w:r>
            <w:r w:rsidR="004C2DF6" w:rsidRPr="00EC68C2">
              <w:rPr>
                <w:noProof/>
                <w:sz w:val="24"/>
                <w:szCs w:val="24"/>
              </w:rPr>
              <w:tab/>
            </w:r>
            <w:r w:rsidR="004C2DF6" w:rsidRPr="00EC68C2">
              <w:rPr>
                <w:rStyle w:val="Hyperlink"/>
                <w:rFonts w:ascii="Times New Roman" w:hAnsi="Times New Roman" w:cs="Times New Roman"/>
                <w:noProof/>
                <w:sz w:val="24"/>
                <w:szCs w:val="24"/>
              </w:rPr>
              <w:t>EnKF</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_Toc21623976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11</w:t>
            </w:r>
            <w:r w:rsidR="004C2DF6" w:rsidRPr="00EC68C2">
              <w:rPr>
                <w:noProof/>
                <w:webHidden/>
                <w:sz w:val="24"/>
                <w:szCs w:val="24"/>
              </w:rPr>
              <w:fldChar w:fldCharType="end"/>
            </w:r>
          </w:hyperlink>
        </w:p>
        <w:p w14:paraId="2CD64E9C" w14:textId="231D7990" w:rsidR="004C2DF6" w:rsidRPr="00EC68C2" w:rsidRDefault="00C350DE" w:rsidP="002069FE">
          <w:pPr>
            <w:pStyle w:val="TOC2"/>
            <w:tabs>
              <w:tab w:val="left" w:pos="880"/>
              <w:tab w:val="right" w:leader="dot" w:pos="9350"/>
            </w:tabs>
            <w:spacing w:after="0" w:line="240" w:lineRule="auto"/>
            <w:rPr>
              <w:noProof/>
              <w:sz w:val="24"/>
              <w:szCs w:val="24"/>
            </w:rPr>
          </w:pPr>
          <w:hyperlink w:anchor="_Toc21623977" w:history="1">
            <w:r w:rsidR="004C2DF6" w:rsidRPr="00EC68C2">
              <w:rPr>
                <w:rStyle w:val="Hyperlink"/>
                <w:rFonts w:ascii="Times New Roman" w:hAnsi="Times New Roman" w:cs="Times New Roman"/>
                <w:noProof/>
                <w:sz w:val="24"/>
                <w:szCs w:val="24"/>
              </w:rPr>
              <w:t>2.4</w:t>
            </w:r>
            <w:r w:rsidR="004C2DF6" w:rsidRPr="00EC68C2">
              <w:rPr>
                <w:noProof/>
                <w:sz w:val="24"/>
                <w:szCs w:val="24"/>
              </w:rPr>
              <w:tab/>
            </w:r>
            <w:r w:rsidR="004C2DF6" w:rsidRPr="00EC68C2">
              <w:rPr>
                <w:rStyle w:val="Hyperlink"/>
                <w:rFonts w:ascii="Times New Roman" w:hAnsi="Times New Roman" w:cs="Times New Roman"/>
                <w:noProof/>
                <w:sz w:val="24"/>
                <w:szCs w:val="24"/>
              </w:rPr>
              <w:t>Directed moving nest strategy</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_Toc21623977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12</w:t>
            </w:r>
            <w:r w:rsidR="004C2DF6" w:rsidRPr="00EC68C2">
              <w:rPr>
                <w:noProof/>
                <w:webHidden/>
                <w:sz w:val="24"/>
                <w:szCs w:val="24"/>
              </w:rPr>
              <w:fldChar w:fldCharType="end"/>
            </w:r>
          </w:hyperlink>
        </w:p>
        <w:p w14:paraId="349275FD" w14:textId="2C36D9CD" w:rsidR="004C2DF6" w:rsidRPr="00EC68C2" w:rsidRDefault="00C350DE" w:rsidP="002069FE">
          <w:pPr>
            <w:pStyle w:val="TOC2"/>
            <w:tabs>
              <w:tab w:val="left" w:pos="880"/>
              <w:tab w:val="right" w:leader="dot" w:pos="9350"/>
            </w:tabs>
            <w:spacing w:after="0" w:line="240" w:lineRule="auto"/>
            <w:rPr>
              <w:noProof/>
              <w:sz w:val="24"/>
              <w:szCs w:val="24"/>
            </w:rPr>
          </w:pPr>
          <w:hyperlink w:anchor="_Toc21623978" w:history="1">
            <w:r w:rsidR="004C2DF6" w:rsidRPr="00EC68C2">
              <w:rPr>
                <w:rStyle w:val="Hyperlink"/>
                <w:rFonts w:ascii="Times New Roman" w:hAnsi="Times New Roman" w:cs="Times New Roman"/>
                <w:noProof/>
                <w:sz w:val="24"/>
                <w:szCs w:val="24"/>
              </w:rPr>
              <w:t>2.5</w:t>
            </w:r>
            <w:r w:rsidR="004C2DF6" w:rsidRPr="00EC68C2">
              <w:rPr>
                <w:noProof/>
                <w:sz w:val="24"/>
                <w:szCs w:val="24"/>
              </w:rPr>
              <w:tab/>
            </w:r>
            <w:r w:rsidR="004C2DF6" w:rsidRPr="00EC68C2">
              <w:rPr>
                <w:rStyle w:val="Hyperlink"/>
                <w:rFonts w:ascii="Times New Roman" w:hAnsi="Times New Roman" w:cs="Times New Roman"/>
                <w:noProof/>
                <w:sz w:val="24"/>
                <w:szCs w:val="24"/>
              </w:rPr>
              <w:t>Integrating vortex relocation (VR) and modification (VM) with DA</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_Toc21623978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14</w:t>
            </w:r>
            <w:r w:rsidR="004C2DF6" w:rsidRPr="00EC68C2">
              <w:rPr>
                <w:noProof/>
                <w:webHidden/>
                <w:sz w:val="24"/>
                <w:szCs w:val="24"/>
              </w:rPr>
              <w:fldChar w:fldCharType="end"/>
            </w:r>
          </w:hyperlink>
        </w:p>
        <w:p w14:paraId="71C5310A" w14:textId="0C432C3B" w:rsidR="004C2DF6" w:rsidRPr="00EC68C2" w:rsidRDefault="00C350DE" w:rsidP="002069FE">
          <w:pPr>
            <w:pStyle w:val="TOC1"/>
            <w:rPr>
              <w:noProof/>
              <w:sz w:val="24"/>
              <w:szCs w:val="24"/>
            </w:rPr>
          </w:pPr>
          <w:hyperlink w:anchor="_Toc21623979" w:history="1">
            <w:r w:rsidR="004C2DF6" w:rsidRPr="00EC68C2">
              <w:rPr>
                <w:rStyle w:val="Hyperlink"/>
                <w:rFonts w:ascii="Times New Roman" w:hAnsi="Times New Roman" w:cs="Times New Roman"/>
                <w:b/>
                <w:noProof/>
                <w:sz w:val="24"/>
                <w:szCs w:val="24"/>
              </w:rPr>
              <w:t>Chapter 3: GSI-Based, Continuously Cycled, Dual-Resolution Hybrid Ensemble–Variational Data Assimilation System for HWRF: Experiments with Edouard (2014)</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_Toc21623979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16</w:t>
            </w:r>
            <w:r w:rsidR="004C2DF6" w:rsidRPr="00EC68C2">
              <w:rPr>
                <w:noProof/>
                <w:webHidden/>
                <w:sz w:val="24"/>
                <w:szCs w:val="24"/>
              </w:rPr>
              <w:fldChar w:fldCharType="end"/>
            </w:r>
          </w:hyperlink>
        </w:p>
        <w:p w14:paraId="34F74D70" w14:textId="32BAF32B" w:rsidR="004C2DF6" w:rsidRPr="00EC68C2" w:rsidRDefault="00C350DE" w:rsidP="002069FE">
          <w:pPr>
            <w:pStyle w:val="TOC2"/>
            <w:tabs>
              <w:tab w:val="left" w:pos="880"/>
              <w:tab w:val="right" w:leader="dot" w:pos="9350"/>
            </w:tabs>
            <w:spacing w:after="0" w:line="240" w:lineRule="auto"/>
            <w:rPr>
              <w:noProof/>
              <w:sz w:val="24"/>
              <w:szCs w:val="24"/>
            </w:rPr>
          </w:pPr>
          <w:hyperlink w:anchor="_Toc21623980" w:history="1">
            <w:r w:rsidR="004C2DF6" w:rsidRPr="00EC68C2">
              <w:rPr>
                <w:rStyle w:val="Hyperlink"/>
                <w:rFonts w:ascii="Times New Roman" w:hAnsi="Times New Roman" w:cs="Times New Roman"/>
                <w:noProof/>
                <w:sz w:val="24"/>
                <w:szCs w:val="24"/>
              </w:rPr>
              <w:t>3.1</w:t>
            </w:r>
            <w:r w:rsidR="004C2DF6" w:rsidRPr="00EC68C2">
              <w:rPr>
                <w:noProof/>
                <w:sz w:val="24"/>
                <w:szCs w:val="24"/>
              </w:rPr>
              <w:tab/>
            </w:r>
            <w:r w:rsidR="004C2DF6" w:rsidRPr="00EC68C2">
              <w:rPr>
                <w:rStyle w:val="Hyperlink"/>
                <w:rFonts w:ascii="Times New Roman" w:hAnsi="Times New Roman" w:cs="Times New Roman"/>
                <w:noProof/>
                <w:sz w:val="24"/>
                <w:szCs w:val="24"/>
              </w:rPr>
              <w:t>Introduction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_Toc21623980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16</w:t>
            </w:r>
            <w:r w:rsidR="004C2DF6" w:rsidRPr="00EC68C2">
              <w:rPr>
                <w:noProof/>
                <w:webHidden/>
                <w:sz w:val="24"/>
                <w:szCs w:val="24"/>
              </w:rPr>
              <w:fldChar w:fldCharType="end"/>
            </w:r>
          </w:hyperlink>
        </w:p>
        <w:p w14:paraId="0E627E75" w14:textId="7410FA71" w:rsidR="004C2DF6" w:rsidRPr="00EC68C2" w:rsidRDefault="00C350DE" w:rsidP="002069FE">
          <w:pPr>
            <w:pStyle w:val="TOC2"/>
            <w:tabs>
              <w:tab w:val="left" w:pos="880"/>
              <w:tab w:val="right" w:leader="dot" w:pos="9350"/>
            </w:tabs>
            <w:spacing w:after="0" w:line="240" w:lineRule="auto"/>
            <w:rPr>
              <w:noProof/>
              <w:sz w:val="24"/>
              <w:szCs w:val="24"/>
            </w:rPr>
          </w:pPr>
          <w:hyperlink w:anchor="_Toc21623981" w:history="1">
            <w:r w:rsidR="004C2DF6" w:rsidRPr="00EC68C2">
              <w:rPr>
                <w:rStyle w:val="Hyperlink"/>
                <w:rFonts w:ascii="Times New Roman" w:hAnsi="Times New Roman" w:cs="Times New Roman"/>
                <w:noProof/>
                <w:sz w:val="24"/>
                <w:szCs w:val="24"/>
              </w:rPr>
              <w:t>3.2</w:t>
            </w:r>
            <w:r w:rsidR="004C2DF6" w:rsidRPr="00EC68C2">
              <w:rPr>
                <w:noProof/>
                <w:sz w:val="24"/>
                <w:szCs w:val="24"/>
              </w:rPr>
              <w:tab/>
            </w:r>
            <w:r w:rsidR="004C2DF6" w:rsidRPr="00EC68C2">
              <w:rPr>
                <w:rStyle w:val="Hyperlink"/>
                <w:rFonts w:ascii="Times New Roman" w:hAnsi="Times New Roman" w:cs="Times New Roman"/>
                <w:noProof/>
                <w:sz w:val="24"/>
                <w:szCs w:val="24"/>
              </w:rPr>
              <w:t>Experiment Design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_Toc21623981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21</w:t>
            </w:r>
            <w:r w:rsidR="004C2DF6" w:rsidRPr="00EC68C2">
              <w:rPr>
                <w:noProof/>
                <w:webHidden/>
                <w:sz w:val="24"/>
                <w:szCs w:val="24"/>
              </w:rPr>
              <w:fldChar w:fldCharType="end"/>
            </w:r>
          </w:hyperlink>
        </w:p>
        <w:p w14:paraId="739A0DE4" w14:textId="177EBF1E" w:rsidR="004C2DF6" w:rsidRPr="00EC68C2" w:rsidRDefault="00C350DE" w:rsidP="002069FE">
          <w:pPr>
            <w:pStyle w:val="TOC3"/>
            <w:spacing w:after="0" w:line="240" w:lineRule="auto"/>
            <w:rPr>
              <w:sz w:val="24"/>
              <w:szCs w:val="24"/>
            </w:rPr>
          </w:pPr>
          <w:hyperlink w:anchor="_Toc21623982" w:history="1">
            <w:r w:rsidR="004C2DF6" w:rsidRPr="00EC68C2">
              <w:rPr>
                <w:rStyle w:val="Hyperlink"/>
                <w:i/>
                <w:iCs/>
                <w:sz w:val="24"/>
                <w:szCs w:val="24"/>
              </w:rPr>
              <w:t>3.2.1</w:t>
            </w:r>
            <w:r w:rsidR="004C2DF6" w:rsidRPr="00EC68C2">
              <w:rPr>
                <w:sz w:val="24"/>
                <w:szCs w:val="24"/>
              </w:rPr>
              <w:tab/>
            </w:r>
            <w:r w:rsidR="004C2DF6" w:rsidRPr="00EC68C2">
              <w:rPr>
                <w:rStyle w:val="Hyperlink"/>
                <w:i/>
                <w:iCs/>
                <w:sz w:val="24"/>
                <w:szCs w:val="24"/>
              </w:rPr>
              <w:t>HWRF model configuration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_Toc21623982 \h </w:instrText>
            </w:r>
            <w:r w:rsidR="004C2DF6" w:rsidRPr="00EC68C2">
              <w:rPr>
                <w:webHidden/>
                <w:sz w:val="24"/>
                <w:szCs w:val="24"/>
              </w:rPr>
            </w:r>
            <w:r w:rsidR="004C2DF6" w:rsidRPr="00EC68C2">
              <w:rPr>
                <w:webHidden/>
                <w:sz w:val="24"/>
                <w:szCs w:val="24"/>
              </w:rPr>
              <w:fldChar w:fldCharType="separate"/>
            </w:r>
            <w:r>
              <w:rPr>
                <w:webHidden/>
                <w:sz w:val="24"/>
                <w:szCs w:val="24"/>
              </w:rPr>
              <w:t>21</w:t>
            </w:r>
            <w:r w:rsidR="004C2DF6" w:rsidRPr="00EC68C2">
              <w:rPr>
                <w:webHidden/>
                <w:sz w:val="24"/>
                <w:szCs w:val="24"/>
              </w:rPr>
              <w:fldChar w:fldCharType="end"/>
            </w:r>
          </w:hyperlink>
        </w:p>
        <w:p w14:paraId="7813D74A" w14:textId="05F3E28A" w:rsidR="004C2DF6" w:rsidRPr="00EC68C2" w:rsidRDefault="00C350DE" w:rsidP="002069FE">
          <w:pPr>
            <w:pStyle w:val="TOC3"/>
            <w:spacing w:after="0" w:line="240" w:lineRule="auto"/>
            <w:rPr>
              <w:sz w:val="24"/>
              <w:szCs w:val="24"/>
            </w:rPr>
          </w:pPr>
          <w:hyperlink w:anchor="_Toc21623983" w:history="1">
            <w:r w:rsidR="004C2DF6" w:rsidRPr="00EC68C2">
              <w:rPr>
                <w:rStyle w:val="Hyperlink"/>
                <w:i/>
                <w:iCs/>
                <w:sz w:val="24"/>
                <w:szCs w:val="24"/>
              </w:rPr>
              <w:t>3.2.2</w:t>
            </w:r>
            <w:r w:rsidR="004C2DF6" w:rsidRPr="00EC68C2">
              <w:rPr>
                <w:sz w:val="24"/>
                <w:szCs w:val="24"/>
              </w:rPr>
              <w:tab/>
            </w:r>
            <w:r w:rsidR="004C2DF6" w:rsidRPr="00EC68C2">
              <w:rPr>
                <w:rStyle w:val="Hyperlink"/>
                <w:i/>
                <w:iCs/>
                <w:sz w:val="24"/>
                <w:szCs w:val="24"/>
              </w:rPr>
              <w:t>Experiment setup</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_Toc21623983 \h </w:instrText>
            </w:r>
            <w:r w:rsidR="004C2DF6" w:rsidRPr="00EC68C2">
              <w:rPr>
                <w:webHidden/>
                <w:sz w:val="24"/>
                <w:szCs w:val="24"/>
              </w:rPr>
            </w:r>
            <w:r w:rsidR="004C2DF6" w:rsidRPr="00EC68C2">
              <w:rPr>
                <w:webHidden/>
                <w:sz w:val="24"/>
                <w:szCs w:val="24"/>
              </w:rPr>
              <w:fldChar w:fldCharType="separate"/>
            </w:r>
            <w:r>
              <w:rPr>
                <w:webHidden/>
                <w:sz w:val="24"/>
                <w:szCs w:val="24"/>
              </w:rPr>
              <w:t>22</w:t>
            </w:r>
            <w:r w:rsidR="004C2DF6" w:rsidRPr="00EC68C2">
              <w:rPr>
                <w:webHidden/>
                <w:sz w:val="24"/>
                <w:szCs w:val="24"/>
              </w:rPr>
              <w:fldChar w:fldCharType="end"/>
            </w:r>
          </w:hyperlink>
        </w:p>
        <w:p w14:paraId="2C372EA4" w14:textId="44261427" w:rsidR="004C2DF6" w:rsidRPr="00EC68C2" w:rsidRDefault="00C350DE" w:rsidP="002069FE">
          <w:pPr>
            <w:pStyle w:val="TOC2"/>
            <w:tabs>
              <w:tab w:val="left" w:pos="880"/>
              <w:tab w:val="right" w:leader="dot" w:pos="9350"/>
            </w:tabs>
            <w:spacing w:after="0" w:line="240" w:lineRule="auto"/>
            <w:rPr>
              <w:noProof/>
              <w:sz w:val="24"/>
              <w:szCs w:val="24"/>
            </w:rPr>
          </w:pPr>
          <w:hyperlink w:anchor="_Toc21623984" w:history="1">
            <w:r w:rsidR="004C2DF6" w:rsidRPr="00EC68C2">
              <w:rPr>
                <w:rStyle w:val="Hyperlink"/>
                <w:rFonts w:ascii="Times New Roman" w:hAnsi="Times New Roman" w:cs="Times New Roman"/>
                <w:noProof/>
                <w:sz w:val="24"/>
                <w:szCs w:val="24"/>
              </w:rPr>
              <w:t>3.3</w:t>
            </w:r>
            <w:r w:rsidR="004C2DF6" w:rsidRPr="00EC68C2">
              <w:rPr>
                <w:noProof/>
                <w:sz w:val="24"/>
                <w:szCs w:val="24"/>
              </w:rPr>
              <w:tab/>
            </w:r>
            <w:r w:rsidR="004C2DF6" w:rsidRPr="00EC68C2">
              <w:rPr>
                <w:rStyle w:val="Hyperlink"/>
                <w:rFonts w:ascii="Times New Roman" w:hAnsi="Times New Roman" w:cs="Times New Roman"/>
                <w:noProof/>
                <w:sz w:val="24"/>
                <w:szCs w:val="24"/>
              </w:rPr>
              <w:t>Results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_Toc21623984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26</w:t>
            </w:r>
            <w:r w:rsidR="004C2DF6" w:rsidRPr="00EC68C2">
              <w:rPr>
                <w:noProof/>
                <w:webHidden/>
                <w:sz w:val="24"/>
                <w:szCs w:val="24"/>
              </w:rPr>
              <w:fldChar w:fldCharType="end"/>
            </w:r>
          </w:hyperlink>
        </w:p>
        <w:p w14:paraId="5C050DB0" w14:textId="421B7A54" w:rsidR="004C2DF6" w:rsidRPr="00EC68C2" w:rsidRDefault="00C350DE" w:rsidP="002069FE">
          <w:pPr>
            <w:pStyle w:val="TOC3"/>
            <w:spacing w:after="0" w:line="240" w:lineRule="auto"/>
            <w:rPr>
              <w:sz w:val="24"/>
              <w:szCs w:val="24"/>
            </w:rPr>
          </w:pPr>
          <w:hyperlink w:anchor="_Toc21623985" w:history="1">
            <w:r w:rsidR="004C2DF6" w:rsidRPr="00EC68C2">
              <w:rPr>
                <w:rStyle w:val="Hyperlink"/>
                <w:i/>
                <w:iCs/>
                <w:sz w:val="24"/>
                <w:szCs w:val="24"/>
              </w:rPr>
              <w:t>3.3.1</w:t>
            </w:r>
            <w:r w:rsidR="004C2DF6" w:rsidRPr="00EC68C2">
              <w:rPr>
                <w:sz w:val="24"/>
                <w:szCs w:val="24"/>
              </w:rPr>
              <w:tab/>
            </w:r>
            <w:r w:rsidR="004C2DF6" w:rsidRPr="00EC68C2">
              <w:rPr>
                <w:rStyle w:val="Hyperlink"/>
                <w:i/>
                <w:iCs/>
                <w:sz w:val="24"/>
                <w:szCs w:val="24"/>
              </w:rPr>
              <w:t>Impact of incorporating the higher resolution control analysis through dual-resolution DA</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_Toc21623985 \h </w:instrText>
            </w:r>
            <w:r w:rsidR="004C2DF6" w:rsidRPr="00EC68C2">
              <w:rPr>
                <w:webHidden/>
                <w:sz w:val="24"/>
                <w:szCs w:val="24"/>
              </w:rPr>
            </w:r>
            <w:r w:rsidR="004C2DF6" w:rsidRPr="00EC68C2">
              <w:rPr>
                <w:webHidden/>
                <w:sz w:val="24"/>
                <w:szCs w:val="24"/>
              </w:rPr>
              <w:fldChar w:fldCharType="separate"/>
            </w:r>
            <w:r>
              <w:rPr>
                <w:webHidden/>
                <w:sz w:val="24"/>
                <w:szCs w:val="24"/>
              </w:rPr>
              <w:t>26</w:t>
            </w:r>
            <w:r w:rsidR="004C2DF6" w:rsidRPr="00EC68C2">
              <w:rPr>
                <w:webHidden/>
                <w:sz w:val="24"/>
                <w:szCs w:val="24"/>
              </w:rPr>
              <w:fldChar w:fldCharType="end"/>
            </w:r>
          </w:hyperlink>
        </w:p>
        <w:p w14:paraId="48EAF70C" w14:textId="72299CE1" w:rsidR="004C2DF6" w:rsidRPr="00EC68C2" w:rsidRDefault="00C350DE" w:rsidP="002069FE">
          <w:pPr>
            <w:pStyle w:val="TOC3"/>
            <w:spacing w:after="0" w:line="240" w:lineRule="auto"/>
            <w:rPr>
              <w:sz w:val="24"/>
              <w:szCs w:val="24"/>
            </w:rPr>
          </w:pPr>
          <w:hyperlink w:anchor="_Toc21623986" w:history="1">
            <w:r w:rsidR="004C2DF6" w:rsidRPr="00EC68C2">
              <w:rPr>
                <w:rStyle w:val="Hyperlink"/>
                <w:i/>
                <w:iCs/>
                <w:sz w:val="24"/>
                <w:szCs w:val="24"/>
              </w:rPr>
              <w:t>3.3.2</w:t>
            </w:r>
            <w:r w:rsidR="004C2DF6" w:rsidRPr="00EC68C2">
              <w:rPr>
                <w:sz w:val="24"/>
                <w:szCs w:val="24"/>
              </w:rPr>
              <w:tab/>
            </w:r>
            <w:r w:rsidR="004C2DF6" w:rsidRPr="00EC68C2">
              <w:rPr>
                <w:rStyle w:val="Hyperlink"/>
                <w:i/>
                <w:iCs/>
                <w:sz w:val="24"/>
                <w:szCs w:val="24"/>
              </w:rPr>
              <w:t>Impact of vortex initialization (VI) and ensemble relocation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_Toc21623986 \h </w:instrText>
            </w:r>
            <w:r w:rsidR="004C2DF6" w:rsidRPr="00EC68C2">
              <w:rPr>
                <w:webHidden/>
                <w:sz w:val="24"/>
                <w:szCs w:val="24"/>
              </w:rPr>
            </w:r>
            <w:r w:rsidR="004C2DF6" w:rsidRPr="00EC68C2">
              <w:rPr>
                <w:webHidden/>
                <w:sz w:val="24"/>
                <w:szCs w:val="24"/>
              </w:rPr>
              <w:fldChar w:fldCharType="separate"/>
            </w:r>
            <w:r>
              <w:rPr>
                <w:webHidden/>
                <w:sz w:val="24"/>
                <w:szCs w:val="24"/>
              </w:rPr>
              <w:t>31</w:t>
            </w:r>
            <w:r w:rsidR="004C2DF6" w:rsidRPr="00EC68C2">
              <w:rPr>
                <w:webHidden/>
                <w:sz w:val="24"/>
                <w:szCs w:val="24"/>
              </w:rPr>
              <w:fldChar w:fldCharType="end"/>
            </w:r>
          </w:hyperlink>
        </w:p>
        <w:p w14:paraId="79146697" w14:textId="2A1C5B70" w:rsidR="004C2DF6" w:rsidRPr="00EC68C2" w:rsidRDefault="00C350DE" w:rsidP="002069FE">
          <w:pPr>
            <w:pStyle w:val="TOC3"/>
            <w:spacing w:after="0" w:line="240" w:lineRule="auto"/>
            <w:rPr>
              <w:sz w:val="24"/>
              <w:szCs w:val="24"/>
            </w:rPr>
          </w:pPr>
          <w:hyperlink w:anchor="_Toc21623987" w:history="1">
            <w:r w:rsidR="004C2DF6" w:rsidRPr="00EC68C2">
              <w:rPr>
                <w:rStyle w:val="Hyperlink"/>
                <w:i/>
                <w:iCs/>
                <w:sz w:val="24"/>
                <w:szCs w:val="24"/>
              </w:rPr>
              <w:t>3.3.3</w:t>
            </w:r>
            <w:r w:rsidR="004C2DF6" w:rsidRPr="00EC68C2">
              <w:rPr>
                <w:sz w:val="24"/>
                <w:szCs w:val="24"/>
              </w:rPr>
              <w:tab/>
            </w:r>
            <w:r w:rsidR="004C2DF6" w:rsidRPr="00EC68C2">
              <w:rPr>
                <w:rStyle w:val="Hyperlink"/>
                <w:i/>
                <w:iCs/>
                <w:sz w:val="24"/>
                <w:szCs w:val="24"/>
              </w:rPr>
              <w:t>Impacts of 4DEnVar for vortex scale observation assimilation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_Toc21623987 \h </w:instrText>
            </w:r>
            <w:r w:rsidR="004C2DF6" w:rsidRPr="00EC68C2">
              <w:rPr>
                <w:webHidden/>
                <w:sz w:val="24"/>
                <w:szCs w:val="24"/>
              </w:rPr>
            </w:r>
            <w:r w:rsidR="004C2DF6" w:rsidRPr="00EC68C2">
              <w:rPr>
                <w:webHidden/>
                <w:sz w:val="24"/>
                <w:szCs w:val="24"/>
              </w:rPr>
              <w:fldChar w:fldCharType="separate"/>
            </w:r>
            <w:r>
              <w:rPr>
                <w:webHidden/>
                <w:sz w:val="24"/>
                <w:szCs w:val="24"/>
              </w:rPr>
              <w:t>34</w:t>
            </w:r>
            <w:r w:rsidR="004C2DF6" w:rsidRPr="00EC68C2">
              <w:rPr>
                <w:webHidden/>
                <w:sz w:val="24"/>
                <w:szCs w:val="24"/>
              </w:rPr>
              <w:fldChar w:fldCharType="end"/>
            </w:r>
          </w:hyperlink>
        </w:p>
        <w:p w14:paraId="1EB0A9E4" w14:textId="3A7B323B" w:rsidR="004C2DF6" w:rsidRPr="00EC68C2" w:rsidRDefault="00C350DE" w:rsidP="002069FE">
          <w:pPr>
            <w:pStyle w:val="TOC3"/>
            <w:spacing w:after="0" w:line="240" w:lineRule="auto"/>
            <w:rPr>
              <w:sz w:val="24"/>
              <w:szCs w:val="24"/>
            </w:rPr>
          </w:pPr>
          <w:hyperlink w:anchor="_Toc21623988" w:history="1">
            <w:r w:rsidR="004C2DF6" w:rsidRPr="00EC68C2">
              <w:rPr>
                <w:rStyle w:val="Hyperlink"/>
                <w:i/>
                <w:iCs/>
                <w:sz w:val="24"/>
                <w:szCs w:val="24"/>
              </w:rPr>
              <w:t>3.3.4</w:t>
            </w:r>
            <w:r w:rsidR="004C2DF6" w:rsidRPr="00EC68C2">
              <w:rPr>
                <w:sz w:val="24"/>
                <w:szCs w:val="24"/>
              </w:rPr>
              <w:tab/>
            </w:r>
            <w:r w:rsidR="004C2DF6" w:rsidRPr="00EC68C2">
              <w:rPr>
                <w:rStyle w:val="Hyperlink"/>
                <w:i/>
                <w:iCs/>
                <w:sz w:val="24"/>
                <w:szCs w:val="24"/>
              </w:rPr>
              <w:t>Investigation of intensity forecast improvement over the operational HWRF</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_Toc21623988 \h </w:instrText>
            </w:r>
            <w:r w:rsidR="004C2DF6" w:rsidRPr="00EC68C2">
              <w:rPr>
                <w:webHidden/>
                <w:sz w:val="24"/>
                <w:szCs w:val="24"/>
              </w:rPr>
            </w:r>
            <w:r w:rsidR="004C2DF6" w:rsidRPr="00EC68C2">
              <w:rPr>
                <w:webHidden/>
                <w:sz w:val="24"/>
                <w:szCs w:val="24"/>
              </w:rPr>
              <w:fldChar w:fldCharType="separate"/>
            </w:r>
            <w:r>
              <w:rPr>
                <w:webHidden/>
                <w:sz w:val="24"/>
                <w:szCs w:val="24"/>
              </w:rPr>
              <w:t>39</w:t>
            </w:r>
            <w:r w:rsidR="004C2DF6" w:rsidRPr="00EC68C2">
              <w:rPr>
                <w:webHidden/>
                <w:sz w:val="24"/>
                <w:szCs w:val="24"/>
              </w:rPr>
              <w:fldChar w:fldCharType="end"/>
            </w:r>
          </w:hyperlink>
        </w:p>
        <w:p w14:paraId="7A724D31" w14:textId="567E42A0" w:rsidR="004C2DF6" w:rsidRPr="00EC68C2" w:rsidRDefault="00C350DE" w:rsidP="002069FE">
          <w:pPr>
            <w:pStyle w:val="TOC2"/>
            <w:tabs>
              <w:tab w:val="left" w:pos="880"/>
              <w:tab w:val="right" w:leader="dot" w:pos="9350"/>
            </w:tabs>
            <w:spacing w:after="0" w:line="240" w:lineRule="auto"/>
            <w:rPr>
              <w:noProof/>
              <w:sz w:val="24"/>
              <w:szCs w:val="24"/>
            </w:rPr>
          </w:pPr>
          <w:hyperlink w:anchor="_Toc21623989" w:history="1">
            <w:r w:rsidR="004C2DF6" w:rsidRPr="00EC68C2">
              <w:rPr>
                <w:rStyle w:val="Hyperlink"/>
                <w:rFonts w:ascii="Times New Roman" w:hAnsi="Times New Roman" w:cs="Times New Roman"/>
                <w:noProof/>
                <w:sz w:val="24"/>
                <w:szCs w:val="24"/>
              </w:rPr>
              <w:t>3.4</w:t>
            </w:r>
            <w:r w:rsidR="004C2DF6" w:rsidRPr="00EC68C2">
              <w:rPr>
                <w:noProof/>
                <w:sz w:val="24"/>
                <w:szCs w:val="24"/>
              </w:rPr>
              <w:tab/>
            </w:r>
            <w:r w:rsidR="004C2DF6" w:rsidRPr="00EC68C2">
              <w:rPr>
                <w:rStyle w:val="Hyperlink"/>
                <w:rFonts w:ascii="Times New Roman" w:hAnsi="Times New Roman" w:cs="Times New Roman"/>
                <w:noProof/>
                <w:sz w:val="24"/>
                <w:szCs w:val="24"/>
              </w:rPr>
              <w:t>Summary and Conclusion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_Toc21623989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43</w:t>
            </w:r>
            <w:r w:rsidR="004C2DF6" w:rsidRPr="00EC68C2">
              <w:rPr>
                <w:noProof/>
                <w:webHidden/>
                <w:sz w:val="24"/>
                <w:szCs w:val="24"/>
              </w:rPr>
              <w:fldChar w:fldCharType="end"/>
            </w:r>
          </w:hyperlink>
        </w:p>
        <w:p w14:paraId="0E0847F1" w14:textId="510D3CDF" w:rsidR="004C2DF6" w:rsidRPr="00EC68C2" w:rsidRDefault="00C350DE" w:rsidP="002069FE">
          <w:pPr>
            <w:pStyle w:val="TOC1"/>
            <w:rPr>
              <w:noProof/>
              <w:sz w:val="24"/>
              <w:szCs w:val="24"/>
            </w:rPr>
          </w:pPr>
          <w:hyperlink w:anchor="_Toc21623990" w:history="1">
            <w:r w:rsidR="004C2DF6" w:rsidRPr="00EC68C2">
              <w:rPr>
                <w:rStyle w:val="Hyperlink"/>
                <w:rFonts w:ascii="Times New Roman" w:hAnsi="Times New Roman" w:cs="Times New Roman"/>
                <w:b/>
                <w:noProof/>
                <w:sz w:val="24"/>
                <w:szCs w:val="24"/>
              </w:rPr>
              <w:t>Chapter 4: What is Missing to Capture the Rapid Intensification of Hurricane Patricia (2015) when HWRF is already Initialized with a More Realistic Analysis?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_Toc21623990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47</w:t>
            </w:r>
            <w:r w:rsidR="004C2DF6" w:rsidRPr="00EC68C2">
              <w:rPr>
                <w:noProof/>
                <w:webHidden/>
                <w:sz w:val="24"/>
                <w:szCs w:val="24"/>
              </w:rPr>
              <w:fldChar w:fldCharType="end"/>
            </w:r>
          </w:hyperlink>
        </w:p>
        <w:p w14:paraId="6EBC94D5" w14:textId="04E13716" w:rsidR="004C2DF6" w:rsidRPr="00EC68C2" w:rsidRDefault="00C350DE" w:rsidP="002069FE">
          <w:pPr>
            <w:pStyle w:val="TOC2"/>
            <w:tabs>
              <w:tab w:val="left" w:pos="880"/>
              <w:tab w:val="right" w:leader="dot" w:pos="9350"/>
            </w:tabs>
            <w:spacing w:after="0" w:line="240" w:lineRule="auto"/>
            <w:rPr>
              <w:noProof/>
              <w:sz w:val="24"/>
              <w:szCs w:val="24"/>
            </w:rPr>
          </w:pPr>
          <w:hyperlink w:anchor="_Toc21623991" w:history="1">
            <w:r w:rsidR="004C2DF6" w:rsidRPr="00EC68C2">
              <w:rPr>
                <w:rStyle w:val="Hyperlink"/>
                <w:rFonts w:ascii="Times New Roman" w:hAnsi="Times New Roman" w:cs="Times New Roman"/>
                <w:noProof/>
                <w:sz w:val="24"/>
                <w:szCs w:val="24"/>
              </w:rPr>
              <w:t>4.1</w:t>
            </w:r>
            <w:r w:rsidR="004C2DF6" w:rsidRPr="00EC68C2">
              <w:rPr>
                <w:noProof/>
                <w:sz w:val="24"/>
                <w:szCs w:val="24"/>
              </w:rPr>
              <w:tab/>
            </w:r>
            <w:r w:rsidR="004C2DF6" w:rsidRPr="00EC68C2">
              <w:rPr>
                <w:rStyle w:val="Hyperlink"/>
                <w:rFonts w:ascii="Times New Roman" w:hAnsi="Times New Roman" w:cs="Times New Roman"/>
                <w:noProof/>
                <w:sz w:val="24"/>
                <w:szCs w:val="24"/>
              </w:rPr>
              <w:t>Introduction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_Toc21623991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47</w:t>
            </w:r>
            <w:r w:rsidR="004C2DF6" w:rsidRPr="00EC68C2">
              <w:rPr>
                <w:noProof/>
                <w:webHidden/>
                <w:sz w:val="24"/>
                <w:szCs w:val="24"/>
              </w:rPr>
              <w:fldChar w:fldCharType="end"/>
            </w:r>
          </w:hyperlink>
        </w:p>
        <w:p w14:paraId="53A696A1" w14:textId="75F21FD6" w:rsidR="004C2DF6" w:rsidRPr="00EC68C2" w:rsidRDefault="00C350DE" w:rsidP="002069FE">
          <w:pPr>
            <w:pStyle w:val="TOC2"/>
            <w:tabs>
              <w:tab w:val="left" w:pos="880"/>
              <w:tab w:val="right" w:leader="dot" w:pos="9350"/>
            </w:tabs>
            <w:spacing w:after="0" w:line="240" w:lineRule="auto"/>
            <w:rPr>
              <w:noProof/>
              <w:sz w:val="24"/>
              <w:szCs w:val="24"/>
            </w:rPr>
          </w:pPr>
          <w:hyperlink w:anchor="_Toc21623992" w:history="1">
            <w:r w:rsidR="004C2DF6" w:rsidRPr="00EC68C2">
              <w:rPr>
                <w:rStyle w:val="Hyperlink"/>
                <w:rFonts w:ascii="Times New Roman" w:hAnsi="Times New Roman" w:cs="Times New Roman"/>
                <w:noProof/>
                <w:sz w:val="24"/>
                <w:szCs w:val="24"/>
              </w:rPr>
              <w:t>4.2</w:t>
            </w:r>
            <w:r w:rsidR="004C2DF6" w:rsidRPr="00EC68C2">
              <w:rPr>
                <w:noProof/>
                <w:sz w:val="24"/>
                <w:szCs w:val="24"/>
              </w:rPr>
              <w:tab/>
            </w:r>
            <w:r w:rsidR="004C2DF6" w:rsidRPr="00EC68C2">
              <w:rPr>
                <w:rStyle w:val="Hyperlink"/>
                <w:rFonts w:ascii="Times New Roman" w:hAnsi="Times New Roman" w:cs="Times New Roman"/>
                <w:noProof/>
                <w:sz w:val="24"/>
                <w:szCs w:val="24"/>
              </w:rPr>
              <w:t>Methodology, Data and Experiment Design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_Toc21623992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53</w:t>
            </w:r>
            <w:r w:rsidR="004C2DF6" w:rsidRPr="00EC68C2">
              <w:rPr>
                <w:noProof/>
                <w:webHidden/>
                <w:sz w:val="24"/>
                <w:szCs w:val="24"/>
              </w:rPr>
              <w:fldChar w:fldCharType="end"/>
            </w:r>
          </w:hyperlink>
        </w:p>
        <w:p w14:paraId="38ED8404" w14:textId="276A0138" w:rsidR="004C2DF6" w:rsidRPr="00EC68C2" w:rsidRDefault="00C350DE" w:rsidP="002069FE">
          <w:pPr>
            <w:pStyle w:val="TOC3"/>
            <w:spacing w:after="0" w:line="240" w:lineRule="auto"/>
            <w:rPr>
              <w:sz w:val="24"/>
              <w:szCs w:val="24"/>
            </w:rPr>
          </w:pPr>
          <w:hyperlink w:anchor="_Toc21623993" w:history="1">
            <w:r w:rsidR="004C2DF6" w:rsidRPr="00EC68C2">
              <w:rPr>
                <w:rStyle w:val="Hyperlink"/>
                <w:i/>
                <w:iCs/>
                <w:sz w:val="24"/>
                <w:szCs w:val="24"/>
              </w:rPr>
              <w:t>4.2.1</w:t>
            </w:r>
            <w:r w:rsidR="004C2DF6" w:rsidRPr="00EC68C2">
              <w:rPr>
                <w:sz w:val="24"/>
                <w:szCs w:val="24"/>
              </w:rPr>
              <w:tab/>
            </w:r>
            <w:r w:rsidR="004C2DF6" w:rsidRPr="00EC68C2">
              <w:rPr>
                <w:rStyle w:val="Hyperlink"/>
                <w:i/>
                <w:iCs/>
                <w:sz w:val="24"/>
                <w:szCs w:val="24"/>
              </w:rPr>
              <w:t>System Description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_Toc21623993 \h </w:instrText>
            </w:r>
            <w:r w:rsidR="004C2DF6" w:rsidRPr="00EC68C2">
              <w:rPr>
                <w:webHidden/>
                <w:sz w:val="24"/>
                <w:szCs w:val="24"/>
              </w:rPr>
            </w:r>
            <w:r w:rsidR="004C2DF6" w:rsidRPr="00EC68C2">
              <w:rPr>
                <w:webHidden/>
                <w:sz w:val="24"/>
                <w:szCs w:val="24"/>
              </w:rPr>
              <w:fldChar w:fldCharType="separate"/>
            </w:r>
            <w:r>
              <w:rPr>
                <w:webHidden/>
                <w:sz w:val="24"/>
                <w:szCs w:val="24"/>
              </w:rPr>
              <w:t>53</w:t>
            </w:r>
            <w:r w:rsidR="004C2DF6" w:rsidRPr="00EC68C2">
              <w:rPr>
                <w:webHidden/>
                <w:sz w:val="24"/>
                <w:szCs w:val="24"/>
              </w:rPr>
              <w:fldChar w:fldCharType="end"/>
            </w:r>
          </w:hyperlink>
        </w:p>
        <w:p w14:paraId="0AEE6C04" w14:textId="0917785E" w:rsidR="004C2DF6" w:rsidRPr="00EC68C2" w:rsidRDefault="00C350DE" w:rsidP="002069FE">
          <w:pPr>
            <w:pStyle w:val="TOC3"/>
            <w:spacing w:after="0" w:line="240" w:lineRule="auto"/>
            <w:rPr>
              <w:sz w:val="24"/>
              <w:szCs w:val="24"/>
            </w:rPr>
          </w:pPr>
          <w:hyperlink w:anchor="_Toc21623994" w:history="1">
            <w:r w:rsidR="004C2DF6" w:rsidRPr="00EC68C2">
              <w:rPr>
                <w:rStyle w:val="Hyperlink"/>
                <w:i/>
                <w:iCs/>
                <w:sz w:val="24"/>
                <w:szCs w:val="24"/>
              </w:rPr>
              <w:t>4.2.2</w:t>
            </w:r>
            <w:r w:rsidR="004C2DF6" w:rsidRPr="00EC68C2">
              <w:rPr>
                <w:sz w:val="24"/>
                <w:szCs w:val="24"/>
              </w:rPr>
              <w:tab/>
            </w:r>
            <w:r w:rsidR="004C2DF6" w:rsidRPr="00EC68C2">
              <w:rPr>
                <w:rStyle w:val="Hyperlink"/>
                <w:i/>
                <w:iCs/>
                <w:sz w:val="24"/>
                <w:szCs w:val="24"/>
              </w:rPr>
              <w:t>HWRF Model Configuration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_Toc21623994 \h </w:instrText>
            </w:r>
            <w:r w:rsidR="004C2DF6" w:rsidRPr="00EC68C2">
              <w:rPr>
                <w:webHidden/>
                <w:sz w:val="24"/>
                <w:szCs w:val="24"/>
              </w:rPr>
            </w:r>
            <w:r w:rsidR="004C2DF6" w:rsidRPr="00EC68C2">
              <w:rPr>
                <w:webHidden/>
                <w:sz w:val="24"/>
                <w:szCs w:val="24"/>
              </w:rPr>
              <w:fldChar w:fldCharType="separate"/>
            </w:r>
            <w:r>
              <w:rPr>
                <w:webHidden/>
                <w:sz w:val="24"/>
                <w:szCs w:val="24"/>
              </w:rPr>
              <w:t>55</w:t>
            </w:r>
            <w:r w:rsidR="004C2DF6" w:rsidRPr="00EC68C2">
              <w:rPr>
                <w:webHidden/>
                <w:sz w:val="24"/>
                <w:szCs w:val="24"/>
              </w:rPr>
              <w:fldChar w:fldCharType="end"/>
            </w:r>
          </w:hyperlink>
        </w:p>
        <w:p w14:paraId="77B291C4" w14:textId="6D02E590" w:rsidR="004C2DF6" w:rsidRPr="00EC68C2" w:rsidRDefault="00C350DE" w:rsidP="002069FE">
          <w:pPr>
            <w:pStyle w:val="TOC3"/>
            <w:spacing w:after="0" w:line="240" w:lineRule="auto"/>
            <w:rPr>
              <w:sz w:val="24"/>
              <w:szCs w:val="24"/>
            </w:rPr>
          </w:pPr>
          <w:hyperlink w:anchor="_Toc21623995" w:history="1">
            <w:r w:rsidR="004C2DF6" w:rsidRPr="00EC68C2">
              <w:rPr>
                <w:rStyle w:val="Hyperlink"/>
                <w:i/>
                <w:iCs/>
                <w:sz w:val="24"/>
                <w:szCs w:val="24"/>
              </w:rPr>
              <w:t>4.2.3</w:t>
            </w:r>
            <w:r w:rsidR="004C2DF6" w:rsidRPr="00EC68C2">
              <w:rPr>
                <w:sz w:val="24"/>
                <w:szCs w:val="24"/>
              </w:rPr>
              <w:tab/>
            </w:r>
            <w:r w:rsidR="004C2DF6" w:rsidRPr="00EC68C2">
              <w:rPr>
                <w:rStyle w:val="Hyperlink"/>
                <w:i/>
                <w:iCs/>
                <w:sz w:val="24"/>
                <w:szCs w:val="24"/>
              </w:rPr>
              <w:t>Experiment Design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_Toc21623995 \h </w:instrText>
            </w:r>
            <w:r w:rsidR="004C2DF6" w:rsidRPr="00EC68C2">
              <w:rPr>
                <w:webHidden/>
                <w:sz w:val="24"/>
                <w:szCs w:val="24"/>
              </w:rPr>
            </w:r>
            <w:r w:rsidR="004C2DF6" w:rsidRPr="00EC68C2">
              <w:rPr>
                <w:webHidden/>
                <w:sz w:val="24"/>
                <w:szCs w:val="24"/>
              </w:rPr>
              <w:fldChar w:fldCharType="separate"/>
            </w:r>
            <w:r>
              <w:rPr>
                <w:webHidden/>
                <w:sz w:val="24"/>
                <w:szCs w:val="24"/>
              </w:rPr>
              <w:t>57</w:t>
            </w:r>
            <w:r w:rsidR="004C2DF6" w:rsidRPr="00EC68C2">
              <w:rPr>
                <w:webHidden/>
                <w:sz w:val="24"/>
                <w:szCs w:val="24"/>
              </w:rPr>
              <w:fldChar w:fldCharType="end"/>
            </w:r>
          </w:hyperlink>
        </w:p>
        <w:p w14:paraId="188F14E0" w14:textId="29FCF8F2" w:rsidR="004C2DF6" w:rsidRPr="00EC68C2" w:rsidRDefault="00C350DE" w:rsidP="002069FE">
          <w:pPr>
            <w:pStyle w:val="TOC2"/>
            <w:tabs>
              <w:tab w:val="left" w:pos="880"/>
              <w:tab w:val="right" w:leader="dot" w:pos="9350"/>
            </w:tabs>
            <w:spacing w:after="0" w:line="240" w:lineRule="auto"/>
            <w:rPr>
              <w:noProof/>
              <w:sz w:val="24"/>
              <w:szCs w:val="24"/>
            </w:rPr>
          </w:pPr>
          <w:hyperlink w:anchor="_Toc21623996" w:history="1">
            <w:r w:rsidR="004C2DF6" w:rsidRPr="00EC68C2">
              <w:rPr>
                <w:rStyle w:val="Hyperlink"/>
                <w:rFonts w:ascii="Times New Roman" w:hAnsi="Times New Roman" w:cs="Times New Roman"/>
                <w:noProof/>
                <w:sz w:val="24"/>
                <w:szCs w:val="24"/>
              </w:rPr>
              <w:t>4.3</w:t>
            </w:r>
            <w:r w:rsidR="004C2DF6" w:rsidRPr="00EC68C2">
              <w:rPr>
                <w:noProof/>
                <w:sz w:val="24"/>
                <w:szCs w:val="24"/>
              </w:rPr>
              <w:tab/>
            </w:r>
            <w:r w:rsidR="004C2DF6" w:rsidRPr="00EC68C2">
              <w:rPr>
                <w:rStyle w:val="Hyperlink"/>
                <w:rFonts w:ascii="Times New Roman" w:hAnsi="Times New Roman" w:cs="Times New Roman"/>
                <w:noProof/>
                <w:sz w:val="24"/>
                <w:szCs w:val="24"/>
              </w:rPr>
              <w:t>Why more persistent TC spin-down exists with the more realistic analyses produced by DA?</w:t>
            </w:r>
            <w:r w:rsidR="004C2DF6" w:rsidRPr="00EC68C2">
              <w:rPr>
                <w:noProof/>
                <w:webHidden/>
                <w:sz w:val="24"/>
                <w:szCs w:val="24"/>
              </w:rPr>
              <w:tab/>
            </w:r>
            <w:r w:rsid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_Toc21623996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60</w:t>
            </w:r>
            <w:r w:rsidR="004C2DF6" w:rsidRPr="00EC68C2">
              <w:rPr>
                <w:noProof/>
                <w:webHidden/>
                <w:sz w:val="24"/>
                <w:szCs w:val="24"/>
              </w:rPr>
              <w:fldChar w:fldCharType="end"/>
            </w:r>
          </w:hyperlink>
        </w:p>
        <w:p w14:paraId="442094D7" w14:textId="074E3293" w:rsidR="004C2DF6" w:rsidRPr="00EC68C2" w:rsidRDefault="00C350DE" w:rsidP="002069FE">
          <w:pPr>
            <w:pStyle w:val="TOC3"/>
            <w:spacing w:after="0" w:line="240" w:lineRule="auto"/>
            <w:rPr>
              <w:sz w:val="24"/>
              <w:szCs w:val="24"/>
            </w:rPr>
          </w:pPr>
          <w:hyperlink w:anchor="_Toc21623997" w:history="1">
            <w:r w:rsidR="004C2DF6" w:rsidRPr="00EC68C2">
              <w:rPr>
                <w:rStyle w:val="Hyperlink"/>
                <w:i/>
                <w:iCs/>
                <w:sz w:val="24"/>
                <w:szCs w:val="24"/>
              </w:rPr>
              <w:t>4.3.1</w:t>
            </w:r>
            <w:r w:rsidR="004C2DF6" w:rsidRPr="00EC68C2">
              <w:rPr>
                <w:sz w:val="24"/>
                <w:szCs w:val="24"/>
              </w:rPr>
              <w:tab/>
            </w:r>
            <w:r w:rsidR="004C2DF6" w:rsidRPr="00EC68C2">
              <w:rPr>
                <w:rStyle w:val="Hyperlink"/>
                <w:i/>
                <w:iCs/>
                <w:sz w:val="24"/>
                <w:szCs w:val="24"/>
              </w:rPr>
              <w:t>Differences between VM and DA on TC analyses and forecasts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_Toc21623997 \h </w:instrText>
            </w:r>
            <w:r w:rsidR="004C2DF6" w:rsidRPr="00EC68C2">
              <w:rPr>
                <w:webHidden/>
                <w:sz w:val="24"/>
                <w:szCs w:val="24"/>
              </w:rPr>
            </w:r>
            <w:r w:rsidR="004C2DF6" w:rsidRPr="00EC68C2">
              <w:rPr>
                <w:webHidden/>
                <w:sz w:val="24"/>
                <w:szCs w:val="24"/>
              </w:rPr>
              <w:fldChar w:fldCharType="separate"/>
            </w:r>
            <w:r>
              <w:rPr>
                <w:webHidden/>
                <w:sz w:val="24"/>
                <w:szCs w:val="24"/>
              </w:rPr>
              <w:t>60</w:t>
            </w:r>
            <w:r w:rsidR="004C2DF6" w:rsidRPr="00EC68C2">
              <w:rPr>
                <w:webHidden/>
                <w:sz w:val="24"/>
                <w:szCs w:val="24"/>
              </w:rPr>
              <w:fldChar w:fldCharType="end"/>
            </w:r>
          </w:hyperlink>
        </w:p>
        <w:p w14:paraId="30FAD02D" w14:textId="66272158" w:rsidR="004C2DF6" w:rsidRPr="00EC68C2" w:rsidRDefault="00C350DE" w:rsidP="002069FE">
          <w:pPr>
            <w:pStyle w:val="TOC3"/>
            <w:spacing w:after="0" w:line="240" w:lineRule="auto"/>
            <w:rPr>
              <w:sz w:val="24"/>
              <w:szCs w:val="24"/>
            </w:rPr>
          </w:pPr>
          <w:hyperlink w:anchor="_Toc21623998" w:history="1">
            <w:r w:rsidR="004C2DF6" w:rsidRPr="00EC68C2">
              <w:rPr>
                <w:rStyle w:val="Hyperlink"/>
                <w:i/>
                <w:iCs/>
                <w:sz w:val="24"/>
                <w:szCs w:val="24"/>
              </w:rPr>
              <w:t>4.3.2</w:t>
            </w:r>
            <w:r w:rsidR="004C2DF6" w:rsidRPr="00EC68C2">
              <w:rPr>
                <w:sz w:val="24"/>
                <w:szCs w:val="24"/>
              </w:rPr>
              <w:tab/>
            </w:r>
            <w:r w:rsidR="004C2DF6" w:rsidRPr="00EC68C2">
              <w:rPr>
                <w:rStyle w:val="Hyperlink"/>
                <w:i/>
                <w:iCs/>
                <w:sz w:val="24"/>
                <w:szCs w:val="24"/>
              </w:rPr>
              <w:t>Why did more persistent spin-down occur with a more realistic DA analysis?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_Toc21623998 \h </w:instrText>
            </w:r>
            <w:r w:rsidR="004C2DF6" w:rsidRPr="00EC68C2">
              <w:rPr>
                <w:webHidden/>
                <w:sz w:val="24"/>
                <w:szCs w:val="24"/>
              </w:rPr>
            </w:r>
            <w:r w:rsidR="004C2DF6" w:rsidRPr="00EC68C2">
              <w:rPr>
                <w:webHidden/>
                <w:sz w:val="24"/>
                <w:szCs w:val="24"/>
              </w:rPr>
              <w:fldChar w:fldCharType="separate"/>
            </w:r>
            <w:r>
              <w:rPr>
                <w:webHidden/>
                <w:sz w:val="24"/>
                <w:szCs w:val="24"/>
              </w:rPr>
              <w:t>66</w:t>
            </w:r>
            <w:r w:rsidR="004C2DF6" w:rsidRPr="00EC68C2">
              <w:rPr>
                <w:webHidden/>
                <w:sz w:val="24"/>
                <w:szCs w:val="24"/>
              </w:rPr>
              <w:fldChar w:fldCharType="end"/>
            </w:r>
          </w:hyperlink>
        </w:p>
        <w:p w14:paraId="2111208C" w14:textId="0BF27800" w:rsidR="004C2DF6" w:rsidRPr="00EC68C2" w:rsidRDefault="00C350DE" w:rsidP="002069FE">
          <w:pPr>
            <w:pStyle w:val="TOC2"/>
            <w:tabs>
              <w:tab w:val="left" w:pos="880"/>
              <w:tab w:val="right" w:leader="dot" w:pos="9350"/>
            </w:tabs>
            <w:spacing w:after="0" w:line="240" w:lineRule="auto"/>
            <w:rPr>
              <w:noProof/>
              <w:sz w:val="24"/>
              <w:szCs w:val="24"/>
            </w:rPr>
          </w:pPr>
          <w:hyperlink w:anchor="_Toc21623999" w:history="1">
            <w:r w:rsidR="004C2DF6" w:rsidRPr="00EC68C2">
              <w:rPr>
                <w:rStyle w:val="Hyperlink"/>
                <w:rFonts w:ascii="Times New Roman" w:hAnsi="Times New Roman" w:cs="Times New Roman"/>
                <w:noProof/>
                <w:sz w:val="24"/>
                <w:szCs w:val="24"/>
              </w:rPr>
              <w:t>4.4</w:t>
            </w:r>
            <w:r w:rsidR="004C2DF6" w:rsidRPr="00EC68C2">
              <w:rPr>
                <w:noProof/>
                <w:sz w:val="24"/>
                <w:szCs w:val="24"/>
              </w:rPr>
              <w:tab/>
            </w:r>
            <w:r w:rsidR="004C2DF6" w:rsidRPr="00EC68C2">
              <w:rPr>
                <w:rStyle w:val="Hyperlink"/>
                <w:rFonts w:ascii="Times New Roman" w:hAnsi="Times New Roman" w:cs="Times New Roman"/>
                <w:noProof/>
                <w:sz w:val="24"/>
                <w:szCs w:val="24"/>
              </w:rPr>
              <w:t>Can Modified Model Physics Alleviate the spin-down issue?</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_Toc21623999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75</w:t>
            </w:r>
            <w:r w:rsidR="004C2DF6" w:rsidRPr="00EC68C2">
              <w:rPr>
                <w:noProof/>
                <w:webHidden/>
                <w:sz w:val="24"/>
                <w:szCs w:val="24"/>
              </w:rPr>
              <w:fldChar w:fldCharType="end"/>
            </w:r>
          </w:hyperlink>
        </w:p>
        <w:p w14:paraId="291A584D" w14:textId="3B9FCC01" w:rsidR="004C2DF6" w:rsidRPr="00EC68C2" w:rsidRDefault="00C350DE" w:rsidP="002069FE">
          <w:pPr>
            <w:pStyle w:val="TOC3"/>
            <w:spacing w:after="0" w:line="240" w:lineRule="auto"/>
            <w:rPr>
              <w:sz w:val="24"/>
              <w:szCs w:val="24"/>
            </w:rPr>
          </w:pPr>
          <w:hyperlink w:anchor="_Toc21624000" w:history="1">
            <w:r w:rsidR="004C2DF6" w:rsidRPr="00EC68C2">
              <w:rPr>
                <w:rStyle w:val="Hyperlink"/>
                <w:i/>
                <w:iCs/>
                <w:sz w:val="24"/>
                <w:szCs w:val="24"/>
              </w:rPr>
              <w:t>4.4.1</w:t>
            </w:r>
            <w:r w:rsidR="004C2DF6" w:rsidRPr="00EC68C2">
              <w:rPr>
                <w:sz w:val="24"/>
                <w:szCs w:val="24"/>
              </w:rPr>
              <w:tab/>
            </w:r>
            <w:r w:rsidR="004C2DF6" w:rsidRPr="00EC68C2">
              <w:rPr>
                <w:rStyle w:val="Hyperlink"/>
                <w:i/>
                <w:iCs/>
                <w:sz w:val="24"/>
                <w:szCs w:val="24"/>
              </w:rPr>
              <w:t>Impacts of model physics parameterization modifications on TC analyses and intensity forecasts</w:t>
            </w:r>
            <w:r w:rsidR="002069FE"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_Toc21624000 \h </w:instrText>
            </w:r>
            <w:r w:rsidR="004C2DF6" w:rsidRPr="00EC68C2">
              <w:rPr>
                <w:webHidden/>
                <w:sz w:val="24"/>
                <w:szCs w:val="24"/>
              </w:rPr>
            </w:r>
            <w:r w:rsidR="004C2DF6" w:rsidRPr="00EC68C2">
              <w:rPr>
                <w:webHidden/>
                <w:sz w:val="24"/>
                <w:szCs w:val="24"/>
              </w:rPr>
              <w:fldChar w:fldCharType="separate"/>
            </w:r>
            <w:r>
              <w:rPr>
                <w:webHidden/>
                <w:sz w:val="24"/>
                <w:szCs w:val="24"/>
              </w:rPr>
              <w:t>75</w:t>
            </w:r>
            <w:r w:rsidR="004C2DF6" w:rsidRPr="00EC68C2">
              <w:rPr>
                <w:webHidden/>
                <w:sz w:val="24"/>
                <w:szCs w:val="24"/>
              </w:rPr>
              <w:fldChar w:fldCharType="end"/>
            </w:r>
          </w:hyperlink>
        </w:p>
        <w:p w14:paraId="72BA59B6" w14:textId="599ED70C" w:rsidR="004C2DF6" w:rsidRPr="00EC68C2" w:rsidRDefault="00C350DE" w:rsidP="002069FE">
          <w:pPr>
            <w:pStyle w:val="TOC3"/>
            <w:spacing w:after="0" w:line="240" w:lineRule="auto"/>
            <w:rPr>
              <w:sz w:val="24"/>
              <w:szCs w:val="24"/>
            </w:rPr>
          </w:pPr>
          <w:hyperlink w:anchor="_Toc21624001" w:history="1">
            <w:r w:rsidR="004C2DF6" w:rsidRPr="00EC68C2">
              <w:rPr>
                <w:rStyle w:val="Hyperlink"/>
                <w:i/>
                <w:iCs/>
                <w:sz w:val="24"/>
                <w:szCs w:val="24"/>
              </w:rPr>
              <w:t>4.4.2</w:t>
            </w:r>
            <w:r w:rsidR="004C2DF6" w:rsidRPr="00EC68C2">
              <w:rPr>
                <w:sz w:val="24"/>
                <w:szCs w:val="24"/>
              </w:rPr>
              <w:tab/>
            </w:r>
            <w:r w:rsidR="004C2DF6" w:rsidRPr="00EC68C2">
              <w:rPr>
                <w:rStyle w:val="Hyperlink"/>
                <w:i/>
                <w:iCs/>
                <w:sz w:val="24"/>
                <w:szCs w:val="24"/>
              </w:rPr>
              <w:t>How can the modified model physics parameterizations alleviate spin-down?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_Toc21624001 \h </w:instrText>
            </w:r>
            <w:r w:rsidR="004C2DF6" w:rsidRPr="00EC68C2">
              <w:rPr>
                <w:webHidden/>
                <w:sz w:val="24"/>
                <w:szCs w:val="24"/>
              </w:rPr>
            </w:r>
            <w:r w:rsidR="004C2DF6" w:rsidRPr="00EC68C2">
              <w:rPr>
                <w:webHidden/>
                <w:sz w:val="24"/>
                <w:szCs w:val="24"/>
              </w:rPr>
              <w:fldChar w:fldCharType="separate"/>
            </w:r>
            <w:r>
              <w:rPr>
                <w:webHidden/>
                <w:sz w:val="24"/>
                <w:szCs w:val="24"/>
              </w:rPr>
              <w:t>78</w:t>
            </w:r>
            <w:r w:rsidR="004C2DF6" w:rsidRPr="00EC68C2">
              <w:rPr>
                <w:webHidden/>
                <w:sz w:val="24"/>
                <w:szCs w:val="24"/>
              </w:rPr>
              <w:fldChar w:fldCharType="end"/>
            </w:r>
          </w:hyperlink>
        </w:p>
        <w:p w14:paraId="72108FDA" w14:textId="279F11A6" w:rsidR="004C2DF6" w:rsidRPr="00EC68C2" w:rsidRDefault="00C350DE" w:rsidP="002069FE">
          <w:pPr>
            <w:pStyle w:val="TOC2"/>
            <w:tabs>
              <w:tab w:val="left" w:pos="880"/>
              <w:tab w:val="right" w:leader="dot" w:pos="9350"/>
            </w:tabs>
            <w:spacing w:after="0" w:line="240" w:lineRule="auto"/>
            <w:rPr>
              <w:noProof/>
              <w:sz w:val="24"/>
              <w:szCs w:val="24"/>
            </w:rPr>
          </w:pPr>
          <w:hyperlink w:anchor="_Toc21624002" w:history="1">
            <w:r w:rsidR="004C2DF6" w:rsidRPr="00EC68C2">
              <w:rPr>
                <w:rStyle w:val="Hyperlink"/>
                <w:rFonts w:ascii="Times New Roman" w:hAnsi="Times New Roman" w:cs="Times New Roman"/>
                <w:noProof/>
                <w:sz w:val="24"/>
                <w:szCs w:val="24"/>
              </w:rPr>
              <w:t>4.5</w:t>
            </w:r>
            <w:r w:rsidR="004C2DF6" w:rsidRPr="00EC68C2">
              <w:rPr>
                <w:noProof/>
                <w:sz w:val="24"/>
                <w:szCs w:val="24"/>
              </w:rPr>
              <w:tab/>
            </w:r>
            <w:r w:rsidR="004C2DF6" w:rsidRPr="00EC68C2">
              <w:rPr>
                <w:rStyle w:val="Hyperlink"/>
                <w:rFonts w:ascii="Times New Roman" w:hAnsi="Times New Roman" w:cs="Times New Roman"/>
                <w:noProof/>
                <w:sz w:val="24"/>
                <w:szCs w:val="24"/>
              </w:rPr>
              <w:t>How does model resolution impact on the TC intensity forecast?</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_Toc21624002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79</w:t>
            </w:r>
            <w:r w:rsidR="004C2DF6" w:rsidRPr="00EC68C2">
              <w:rPr>
                <w:noProof/>
                <w:webHidden/>
                <w:sz w:val="24"/>
                <w:szCs w:val="24"/>
              </w:rPr>
              <w:fldChar w:fldCharType="end"/>
            </w:r>
          </w:hyperlink>
        </w:p>
        <w:p w14:paraId="006B9E67" w14:textId="4A199C07" w:rsidR="004C2DF6" w:rsidRPr="00EC68C2" w:rsidRDefault="00C350DE" w:rsidP="002069FE">
          <w:pPr>
            <w:pStyle w:val="TOC2"/>
            <w:tabs>
              <w:tab w:val="left" w:pos="880"/>
              <w:tab w:val="right" w:leader="dot" w:pos="9350"/>
            </w:tabs>
            <w:spacing w:after="0" w:line="240" w:lineRule="auto"/>
            <w:rPr>
              <w:noProof/>
              <w:sz w:val="24"/>
              <w:szCs w:val="24"/>
            </w:rPr>
          </w:pPr>
          <w:hyperlink w:anchor="_Toc21624003" w:history="1">
            <w:r w:rsidR="004C2DF6" w:rsidRPr="00EC68C2">
              <w:rPr>
                <w:rStyle w:val="Hyperlink"/>
                <w:rFonts w:ascii="Times New Roman" w:hAnsi="Times New Roman" w:cs="Times New Roman"/>
                <w:noProof/>
                <w:sz w:val="24"/>
                <w:szCs w:val="24"/>
              </w:rPr>
              <w:t>4.6</w:t>
            </w:r>
            <w:r w:rsidR="004C2DF6" w:rsidRPr="00EC68C2">
              <w:rPr>
                <w:noProof/>
                <w:sz w:val="24"/>
                <w:szCs w:val="24"/>
              </w:rPr>
              <w:tab/>
            </w:r>
            <w:r w:rsidR="004C2DF6" w:rsidRPr="00EC68C2">
              <w:rPr>
                <w:rStyle w:val="Hyperlink"/>
                <w:rFonts w:ascii="Times New Roman" w:hAnsi="Times New Roman" w:cs="Times New Roman"/>
                <w:noProof/>
                <w:sz w:val="24"/>
                <w:szCs w:val="24"/>
              </w:rPr>
              <w:t>Summary and Discussions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_Toc21624003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81</w:t>
            </w:r>
            <w:r w:rsidR="004C2DF6" w:rsidRPr="00EC68C2">
              <w:rPr>
                <w:noProof/>
                <w:webHidden/>
                <w:sz w:val="24"/>
                <w:szCs w:val="24"/>
              </w:rPr>
              <w:fldChar w:fldCharType="end"/>
            </w:r>
          </w:hyperlink>
        </w:p>
        <w:p w14:paraId="3BA880CD" w14:textId="7CA16818" w:rsidR="004C2DF6" w:rsidRPr="00EC68C2" w:rsidRDefault="00C350DE" w:rsidP="002069FE">
          <w:pPr>
            <w:pStyle w:val="TOC1"/>
            <w:rPr>
              <w:noProof/>
              <w:sz w:val="24"/>
              <w:szCs w:val="24"/>
            </w:rPr>
          </w:pPr>
          <w:hyperlink w:anchor="_Toc21624004" w:history="1">
            <w:r w:rsidR="004C2DF6" w:rsidRPr="00EC68C2">
              <w:rPr>
                <w:rStyle w:val="Hyperlink"/>
                <w:rFonts w:ascii="Times New Roman" w:hAnsi="Times New Roman" w:cs="Times New Roman"/>
                <w:b/>
                <w:noProof/>
                <w:sz w:val="24"/>
                <w:szCs w:val="24"/>
              </w:rPr>
              <w:t>Chapter 5: Observation Impacts on the Analysis and Prediction of Patricia (2015)</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_Toc21624004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85</w:t>
            </w:r>
            <w:r w:rsidR="004C2DF6" w:rsidRPr="00EC68C2">
              <w:rPr>
                <w:noProof/>
                <w:webHidden/>
                <w:sz w:val="24"/>
                <w:szCs w:val="24"/>
              </w:rPr>
              <w:fldChar w:fldCharType="end"/>
            </w:r>
          </w:hyperlink>
        </w:p>
        <w:p w14:paraId="4A6218D5" w14:textId="01F6DEBF" w:rsidR="004C2DF6" w:rsidRPr="00EC68C2" w:rsidRDefault="00C350DE" w:rsidP="002069FE">
          <w:pPr>
            <w:pStyle w:val="TOC2"/>
            <w:tabs>
              <w:tab w:val="left" w:pos="880"/>
              <w:tab w:val="right" w:leader="dot" w:pos="9350"/>
            </w:tabs>
            <w:spacing w:after="0" w:line="240" w:lineRule="auto"/>
            <w:rPr>
              <w:noProof/>
              <w:sz w:val="24"/>
              <w:szCs w:val="24"/>
            </w:rPr>
          </w:pPr>
          <w:hyperlink w:anchor="_Toc21624005" w:history="1">
            <w:r w:rsidR="004C2DF6" w:rsidRPr="00EC68C2">
              <w:rPr>
                <w:rStyle w:val="Hyperlink"/>
                <w:rFonts w:ascii="Times New Roman" w:hAnsi="Times New Roman" w:cs="Times New Roman"/>
                <w:noProof/>
                <w:sz w:val="24"/>
                <w:szCs w:val="24"/>
              </w:rPr>
              <w:t>5.1</w:t>
            </w:r>
            <w:r w:rsidR="004C2DF6" w:rsidRPr="00EC68C2">
              <w:rPr>
                <w:noProof/>
                <w:sz w:val="24"/>
                <w:szCs w:val="24"/>
              </w:rPr>
              <w:tab/>
            </w:r>
            <w:r w:rsidR="004C2DF6" w:rsidRPr="00EC68C2">
              <w:rPr>
                <w:rStyle w:val="Hyperlink"/>
                <w:rFonts w:ascii="Times New Roman" w:hAnsi="Times New Roman" w:cs="Times New Roman"/>
                <w:noProof/>
                <w:sz w:val="24"/>
                <w:szCs w:val="24"/>
              </w:rPr>
              <w:t>Introduction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_Toc21624005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85</w:t>
            </w:r>
            <w:r w:rsidR="004C2DF6" w:rsidRPr="00EC68C2">
              <w:rPr>
                <w:noProof/>
                <w:webHidden/>
                <w:sz w:val="24"/>
                <w:szCs w:val="24"/>
              </w:rPr>
              <w:fldChar w:fldCharType="end"/>
            </w:r>
          </w:hyperlink>
        </w:p>
        <w:p w14:paraId="305F78F3" w14:textId="0933F22E" w:rsidR="004C2DF6" w:rsidRPr="00EC68C2" w:rsidRDefault="00C350DE" w:rsidP="002069FE">
          <w:pPr>
            <w:pStyle w:val="TOC2"/>
            <w:tabs>
              <w:tab w:val="left" w:pos="880"/>
              <w:tab w:val="right" w:leader="dot" w:pos="9350"/>
            </w:tabs>
            <w:spacing w:after="0" w:line="240" w:lineRule="auto"/>
            <w:rPr>
              <w:noProof/>
              <w:sz w:val="24"/>
              <w:szCs w:val="24"/>
            </w:rPr>
          </w:pPr>
          <w:hyperlink w:anchor="_Toc21624006" w:history="1">
            <w:r w:rsidR="004C2DF6" w:rsidRPr="00EC68C2">
              <w:rPr>
                <w:rStyle w:val="Hyperlink"/>
                <w:rFonts w:ascii="Times New Roman" w:hAnsi="Times New Roman" w:cs="Times New Roman"/>
                <w:noProof/>
                <w:sz w:val="24"/>
                <w:szCs w:val="24"/>
              </w:rPr>
              <w:t>5.2</w:t>
            </w:r>
            <w:r w:rsidR="004C2DF6" w:rsidRPr="00EC68C2">
              <w:rPr>
                <w:noProof/>
                <w:sz w:val="24"/>
                <w:szCs w:val="24"/>
              </w:rPr>
              <w:tab/>
            </w:r>
            <w:r w:rsidR="004C2DF6" w:rsidRPr="00EC68C2">
              <w:rPr>
                <w:rStyle w:val="Hyperlink"/>
                <w:rFonts w:ascii="Times New Roman" w:hAnsi="Times New Roman" w:cs="Times New Roman"/>
                <w:noProof/>
                <w:sz w:val="24"/>
                <w:szCs w:val="24"/>
              </w:rPr>
              <w:t>Model, Data and Experiment Design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_Toc21624006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89</w:t>
            </w:r>
            <w:r w:rsidR="004C2DF6" w:rsidRPr="00EC68C2">
              <w:rPr>
                <w:noProof/>
                <w:webHidden/>
                <w:sz w:val="24"/>
                <w:szCs w:val="24"/>
              </w:rPr>
              <w:fldChar w:fldCharType="end"/>
            </w:r>
          </w:hyperlink>
        </w:p>
        <w:p w14:paraId="59AFC663" w14:textId="7BA27831" w:rsidR="004C2DF6" w:rsidRPr="00EC68C2" w:rsidRDefault="00C350DE" w:rsidP="002069FE">
          <w:pPr>
            <w:pStyle w:val="TOC3"/>
            <w:spacing w:after="0" w:line="240" w:lineRule="auto"/>
            <w:rPr>
              <w:sz w:val="24"/>
              <w:szCs w:val="24"/>
            </w:rPr>
          </w:pPr>
          <w:hyperlink w:anchor="_Toc21624007" w:history="1">
            <w:r w:rsidR="004C2DF6" w:rsidRPr="00EC68C2">
              <w:rPr>
                <w:rStyle w:val="Hyperlink"/>
                <w:i/>
                <w:iCs/>
                <w:sz w:val="24"/>
                <w:szCs w:val="24"/>
              </w:rPr>
              <w:t>5.2.1</w:t>
            </w:r>
            <w:r w:rsidR="004C2DF6" w:rsidRPr="00EC68C2">
              <w:rPr>
                <w:sz w:val="24"/>
                <w:szCs w:val="24"/>
              </w:rPr>
              <w:tab/>
            </w:r>
            <w:r w:rsidR="004C2DF6" w:rsidRPr="00EC68C2">
              <w:rPr>
                <w:rStyle w:val="Hyperlink"/>
                <w:i/>
                <w:iCs/>
                <w:sz w:val="24"/>
                <w:szCs w:val="24"/>
              </w:rPr>
              <w:t>Model description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_Toc21624007 \h </w:instrText>
            </w:r>
            <w:r w:rsidR="004C2DF6" w:rsidRPr="00EC68C2">
              <w:rPr>
                <w:webHidden/>
                <w:sz w:val="24"/>
                <w:szCs w:val="24"/>
              </w:rPr>
            </w:r>
            <w:r w:rsidR="004C2DF6" w:rsidRPr="00EC68C2">
              <w:rPr>
                <w:webHidden/>
                <w:sz w:val="24"/>
                <w:szCs w:val="24"/>
              </w:rPr>
              <w:fldChar w:fldCharType="separate"/>
            </w:r>
            <w:r>
              <w:rPr>
                <w:webHidden/>
                <w:sz w:val="24"/>
                <w:szCs w:val="24"/>
              </w:rPr>
              <w:t>89</w:t>
            </w:r>
            <w:r w:rsidR="004C2DF6" w:rsidRPr="00EC68C2">
              <w:rPr>
                <w:webHidden/>
                <w:sz w:val="24"/>
                <w:szCs w:val="24"/>
              </w:rPr>
              <w:fldChar w:fldCharType="end"/>
            </w:r>
          </w:hyperlink>
        </w:p>
        <w:p w14:paraId="475AA213" w14:textId="031F2E52" w:rsidR="004C2DF6" w:rsidRPr="00EC68C2" w:rsidRDefault="00C350DE" w:rsidP="002069FE">
          <w:pPr>
            <w:pStyle w:val="TOC3"/>
            <w:spacing w:after="0" w:line="240" w:lineRule="auto"/>
            <w:rPr>
              <w:sz w:val="24"/>
              <w:szCs w:val="24"/>
            </w:rPr>
          </w:pPr>
          <w:hyperlink w:anchor="_Toc21624008" w:history="1">
            <w:r w:rsidR="004C2DF6" w:rsidRPr="00EC68C2">
              <w:rPr>
                <w:rStyle w:val="Hyperlink"/>
                <w:i/>
                <w:iCs/>
                <w:sz w:val="24"/>
                <w:szCs w:val="24"/>
              </w:rPr>
              <w:t>5.2.2</w:t>
            </w:r>
            <w:r w:rsidR="004C2DF6" w:rsidRPr="00EC68C2">
              <w:rPr>
                <w:sz w:val="24"/>
                <w:szCs w:val="24"/>
              </w:rPr>
              <w:tab/>
            </w:r>
            <w:r w:rsidR="004C2DF6" w:rsidRPr="00EC68C2">
              <w:rPr>
                <w:rStyle w:val="Hyperlink"/>
                <w:i/>
                <w:iCs/>
                <w:sz w:val="24"/>
                <w:szCs w:val="24"/>
              </w:rPr>
              <w:t>Observations and preprocessing</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_Toc21624008 \h </w:instrText>
            </w:r>
            <w:r w:rsidR="004C2DF6" w:rsidRPr="00EC68C2">
              <w:rPr>
                <w:webHidden/>
                <w:sz w:val="24"/>
                <w:szCs w:val="24"/>
              </w:rPr>
            </w:r>
            <w:r w:rsidR="004C2DF6" w:rsidRPr="00EC68C2">
              <w:rPr>
                <w:webHidden/>
                <w:sz w:val="24"/>
                <w:szCs w:val="24"/>
              </w:rPr>
              <w:fldChar w:fldCharType="separate"/>
            </w:r>
            <w:r>
              <w:rPr>
                <w:webHidden/>
                <w:sz w:val="24"/>
                <w:szCs w:val="24"/>
              </w:rPr>
              <w:t>91</w:t>
            </w:r>
            <w:r w:rsidR="004C2DF6" w:rsidRPr="00EC68C2">
              <w:rPr>
                <w:webHidden/>
                <w:sz w:val="24"/>
                <w:szCs w:val="24"/>
              </w:rPr>
              <w:fldChar w:fldCharType="end"/>
            </w:r>
          </w:hyperlink>
        </w:p>
        <w:p w14:paraId="7B089222" w14:textId="750A13C7" w:rsidR="004C2DF6" w:rsidRPr="00EC68C2" w:rsidRDefault="00C350DE" w:rsidP="002069FE">
          <w:pPr>
            <w:pStyle w:val="TOC3"/>
            <w:spacing w:after="0" w:line="240" w:lineRule="auto"/>
            <w:rPr>
              <w:sz w:val="24"/>
              <w:szCs w:val="24"/>
            </w:rPr>
          </w:pPr>
          <w:hyperlink w:anchor="_Toc21624009" w:history="1">
            <w:r w:rsidR="004C2DF6" w:rsidRPr="00EC68C2">
              <w:rPr>
                <w:rStyle w:val="Hyperlink"/>
                <w:i/>
                <w:iCs/>
                <w:sz w:val="24"/>
                <w:szCs w:val="24"/>
              </w:rPr>
              <w:t>5.2.3</w:t>
            </w:r>
            <w:r w:rsidR="004C2DF6" w:rsidRPr="00EC68C2">
              <w:rPr>
                <w:sz w:val="24"/>
                <w:szCs w:val="24"/>
              </w:rPr>
              <w:tab/>
            </w:r>
            <w:r w:rsidR="004C2DF6" w:rsidRPr="00EC68C2">
              <w:rPr>
                <w:rStyle w:val="Hyperlink"/>
                <w:i/>
                <w:iCs/>
                <w:sz w:val="24"/>
                <w:szCs w:val="24"/>
              </w:rPr>
              <w:t>Experiment Design</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_Toc21624009 \h </w:instrText>
            </w:r>
            <w:r w:rsidR="004C2DF6" w:rsidRPr="00EC68C2">
              <w:rPr>
                <w:webHidden/>
                <w:sz w:val="24"/>
                <w:szCs w:val="24"/>
              </w:rPr>
            </w:r>
            <w:r w:rsidR="004C2DF6" w:rsidRPr="00EC68C2">
              <w:rPr>
                <w:webHidden/>
                <w:sz w:val="24"/>
                <w:szCs w:val="24"/>
              </w:rPr>
              <w:fldChar w:fldCharType="separate"/>
            </w:r>
            <w:r>
              <w:rPr>
                <w:webHidden/>
                <w:sz w:val="24"/>
                <w:szCs w:val="24"/>
              </w:rPr>
              <w:t>93</w:t>
            </w:r>
            <w:r w:rsidR="004C2DF6" w:rsidRPr="00EC68C2">
              <w:rPr>
                <w:webHidden/>
                <w:sz w:val="24"/>
                <w:szCs w:val="24"/>
              </w:rPr>
              <w:fldChar w:fldCharType="end"/>
            </w:r>
          </w:hyperlink>
        </w:p>
        <w:p w14:paraId="12DB1D63" w14:textId="54C4A629" w:rsidR="004C2DF6" w:rsidRPr="00EC68C2" w:rsidRDefault="00C350DE" w:rsidP="002069FE">
          <w:pPr>
            <w:pStyle w:val="TOC2"/>
            <w:tabs>
              <w:tab w:val="left" w:pos="880"/>
              <w:tab w:val="right" w:leader="dot" w:pos="9350"/>
            </w:tabs>
            <w:spacing w:after="0" w:line="240" w:lineRule="auto"/>
            <w:rPr>
              <w:noProof/>
              <w:sz w:val="24"/>
              <w:szCs w:val="24"/>
            </w:rPr>
          </w:pPr>
          <w:hyperlink w:anchor="_Toc21624010" w:history="1">
            <w:r w:rsidR="004C2DF6" w:rsidRPr="00EC68C2">
              <w:rPr>
                <w:rStyle w:val="Hyperlink"/>
                <w:rFonts w:ascii="Times New Roman" w:hAnsi="Times New Roman" w:cs="Times New Roman"/>
                <w:noProof/>
                <w:sz w:val="24"/>
                <w:szCs w:val="24"/>
              </w:rPr>
              <w:t>5.3</w:t>
            </w:r>
            <w:r w:rsidR="004C2DF6" w:rsidRPr="00EC68C2">
              <w:rPr>
                <w:noProof/>
                <w:sz w:val="24"/>
                <w:szCs w:val="24"/>
              </w:rPr>
              <w:tab/>
            </w:r>
            <w:r w:rsidR="004C2DF6" w:rsidRPr="00EC68C2">
              <w:rPr>
                <w:rStyle w:val="Hyperlink"/>
                <w:rFonts w:ascii="Times New Roman" w:hAnsi="Times New Roman" w:cs="Times New Roman"/>
                <w:noProof/>
                <w:sz w:val="24"/>
                <w:szCs w:val="24"/>
              </w:rPr>
              <w:t>Results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_Toc21624010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95</w:t>
            </w:r>
            <w:r w:rsidR="004C2DF6" w:rsidRPr="00EC68C2">
              <w:rPr>
                <w:noProof/>
                <w:webHidden/>
                <w:sz w:val="24"/>
                <w:szCs w:val="24"/>
              </w:rPr>
              <w:fldChar w:fldCharType="end"/>
            </w:r>
          </w:hyperlink>
        </w:p>
        <w:p w14:paraId="7B031C54" w14:textId="5CA01879" w:rsidR="004C2DF6" w:rsidRPr="00EC68C2" w:rsidRDefault="00C350DE" w:rsidP="002069FE">
          <w:pPr>
            <w:pStyle w:val="TOC3"/>
            <w:spacing w:after="0" w:line="240" w:lineRule="auto"/>
            <w:rPr>
              <w:sz w:val="24"/>
              <w:szCs w:val="24"/>
            </w:rPr>
          </w:pPr>
          <w:hyperlink w:anchor="_Toc21624011" w:history="1">
            <w:r w:rsidR="004C2DF6" w:rsidRPr="00EC68C2">
              <w:rPr>
                <w:rStyle w:val="Hyperlink"/>
                <w:i/>
                <w:iCs/>
                <w:sz w:val="24"/>
                <w:szCs w:val="24"/>
              </w:rPr>
              <w:t>5.3.1</w:t>
            </w:r>
            <w:r w:rsidR="004C2DF6" w:rsidRPr="00EC68C2">
              <w:rPr>
                <w:sz w:val="24"/>
                <w:szCs w:val="24"/>
              </w:rPr>
              <w:tab/>
            </w:r>
            <w:r w:rsidR="004C2DF6" w:rsidRPr="00EC68C2">
              <w:rPr>
                <w:rStyle w:val="Hyperlink"/>
                <w:i/>
                <w:iCs/>
                <w:sz w:val="24"/>
                <w:szCs w:val="24"/>
              </w:rPr>
              <w:t>Evolution of Patricia observed from various platforms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_Toc21624011 \h </w:instrText>
            </w:r>
            <w:r w:rsidR="004C2DF6" w:rsidRPr="00EC68C2">
              <w:rPr>
                <w:webHidden/>
                <w:sz w:val="24"/>
                <w:szCs w:val="24"/>
              </w:rPr>
            </w:r>
            <w:r w:rsidR="004C2DF6" w:rsidRPr="00EC68C2">
              <w:rPr>
                <w:webHidden/>
                <w:sz w:val="24"/>
                <w:szCs w:val="24"/>
              </w:rPr>
              <w:fldChar w:fldCharType="separate"/>
            </w:r>
            <w:r>
              <w:rPr>
                <w:webHidden/>
                <w:sz w:val="24"/>
                <w:szCs w:val="24"/>
              </w:rPr>
              <w:t>95</w:t>
            </w:r>
            <w:r w:rsidR="004C2DF6" w:rsidRPr="00EC68C2">
              <w:rPr>
                <w:webHidden/>
                <w:sz w:val="24"/>
                <w:szCs w:val="24"/>
              </w:rPr>
              <w:fldChar w:fldCharType="end"/>
            </w:r>
          </w:hyperlink>
        </w:p>
        <w:p w14:paraId="4162B9A7" w14:textId="630DBFC9" w:rsidR="004C2DF6" w:rsidRPr="00EC68C2" w:rsidRDefault="00C350DE" w:rsidP="002069FE">
          <w:pPr>
            <w:pStyle w:val="TOC3"/>
            <w:spacing w:after="0" w:line="240" w:lineRule="auto"/>
            <w:rPr>
              <w:sz w:val="24"/>
              <w:szCs w:val="24"/>
            </w:rPr>
          </w:pPr>
          <w:hyperlink w:anchor="_Toc21624012" w:history="1">
            <w:r w:rsidR="004C2DF6" w:rsidRPr="00EC68C2">
              <w:rPr>
                <w:rStyle w:val="Hyperlink"/>
                <w:i/>
                <w:iCs/>
                <w:sz w:val="24"/>
                <w:szCs w:val="24"/>
              </w:rPr>
              <w:t>5.3.2</w:t>
            </w:r>
            <w:r w:rsidR="004C2DF6" w:rsidRPr="00EC68C2">
              <w:rPr>
                <w:sz w:val="24"/>
                <w:szCs w:val="24"/>
              </w:rPr>
              <w:tab/>
            </w:r>
            <w:r w:rsidR="004C2DF6" w:rsidRPr="00EC68C2">
              <w:rPr>
                <w:rStyle w:val="Hyperlink"/>
                <w:i/>
                <w:iCs/>
                <w:sz w:val="24"/>
                <w:szCs w:val="24"/>
              </w:rPr>
              <w:t>Analysis and forecast from NoDA</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_Toc21624012 \h </w:instrText>
            </w:r>
            <w:r w:rsidR="004C2DF6" w:rsidRPr="00EC68C2">
              <w:rPr>
                <w:webHidden/>
                <w:sz w:val="24"/>
                <w:szCs w:val="24"/>
              </w:rPr>
            </w:r>
            <w:r w:rsidR="004C2DF6" w:rsidRPr="00EC68C2">
              <w:rPr>
                <w:webHidden/>
                <w:sz w:val="24"/>
                <w:szCs w:val="24"/>
              </w:rPr>
              <w:fldChar w:fldCharType="separate"/>
            </w:r>
            <w:r>
              <w:rPr>
                <w:webHidden/>
                <w:sz w:val="24"/>
                <w:szCs w:val="24"/>
              </w:rPr>
              <w:t>105</w:t>
            </w:r>
            <w:r w:rsidR="004C2DF6" w:rsidRPr="00EC68C2">
              <w:rPr>
                <w:webHidden/>
                <w:sz w:val="24"/>
                <w:szCs w:val="24"/>
              </w:rPr>
              <w:fldChar w:fldCharType="end"/>
            </w:r>
          </w:hyperlink>
        </w:p>
        <w:p w14:paraId="03790E51" w14:textId="4C55BFD2" w:rsidR="004C2DF6" w:rsidRPr="00EC68C2" w:rsidRDefault="00C350DE" w:rsidP="002069FE">
          <w:pPr>
            <w:pStyle w:val="TOC3"/>
            <w:spacing w:after="0" w:line="240" w:lineRule="auto"/>
            <w:rPr>
              <w:sz w:val="24"/>
              <w:szCs w:val="24"/>
            </w:rPr>
          </w:pPr>
          <w:hyperlink w:anchor="_Toc21624013" w:history="1">
            <w:r w:rsidR="004C2DF6" w:rsidRPr="00EC68C2">
              <w:rPr>
                <w:rStyle w:val="Hyperlink"/>
                <w:i/>
                <w:iCs/>
                <w:sz w:val="24"/>
                <w:szCs w:val="24"/>
              </w:rPr>
              <w:t>5.3.3</w:t>
            </w:r>
            <w:r w:rsidR="004C2DF6" w:rsidRPr="00EC68C2">
              <w:rPr>
                <w:sz w:val="24"/>
                <w:szCs w:val="24"/>
              </w:rPr>
              <w:tab/>
            </w:r>
            <w:r w:rsidR="004C2DF6" w:rsidRPr="00EC68C2">
              <w:rPr>
                <w:rStyle w:val="Hyperlink"/>
                <w:i/>
                <w:iCs/>
                <w:sz w:val="24"/>
                <w:szCs w:val="24"/>
              </w:rPr>
              <w:t>Impact of the operational HWRF observations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_Toc21624013 \h </w:instrText>
            </w:r>
            <w:r w:rsidR="004C2DF6" w:rsidRPr="00EC68C2">
              <w:rPr>
                <w:webHidden/>
                <w:sz w:val="24"/>
                <w:szCs w:val="24"/>
              </w:rPr>
            </w:r>
            <w:r w:rsidR="004C2DF6" w:rsidRPr="00EC68C2">
              <w:rPr>
                <w:webHidden/>
                <w:sz w:val="24"/>
                <w:szCs w:val="24"/>
              </w:rPr>
              <w:fldChar w:fldCharType="separate"/>
            </w:r>
            <w:r>
              <w:rPr>
                <w:webHidden/>
                <w:sz w:val="24"/>
                <w:szCs w:val="24"/>
              </w:rPr>
              <w:t>108</w:t>
            </w:r>
            <w:r w:rsidR="004C2DF6" w:rsidRPr="00EC68C2">
              <w:rPr>
                <w:webHidden/>
                <w:sz w:val="24"/>
                <w:szCs w:val="24"/>
              </w:rPr>
              <w:fldChar w:fldCharType="end"/>
            </w:r>
          </w:hyperlink>
        </w:p>
        <w:p w14:paraId="5626FA50" w14:textId="4BB36FE9" w:rsidR="004C2DF6" w:rsidRPr="00EC68C2" w:rsidRDefault="00C350DE" w:rsidP="002069FE">
          <w:pPr>
            <w:pStyle w:val="TOC3"/>
            <w:spacing w:after="0" w:line="240" w:lineRule="auto"/>
            <w:rPr>
              <w:sz w:val="24"/>
              <w:szCs w:val="24"/>
            </w:rPr>
          </w:pPr>
          <w:hyperlink w:anchor="_Toc21624014" w:history="1">
            <w:r w:rsidR="004C2DF6" w:rsidRPr="00EC68C2">
              <w:rPr>
                <w:rStyle w:val="Hyperlink"/>
                <w:i/>
                <w:iCs/>
                <w:sz w:val="24"/>
                <w:szCs w:val="24"/>
              </w:rPr>
              <w:t>5.3.4</w:t>
            </w:r>
            <w:r w:rsidR="004C2DF6" w:rsidRPr="00EC68C2">
              <w:rPr>
                <w:sz w:val="24"/>
                <w:szCs w:val="24"/>
              </w:rPr>
              <w:tab/>
            </w:r>
            <w:r w:rsidR="004C2DF6" w:rsidRPr="00EC68C2">
              <w:rPr>
                <w:rStyle w:val="Hyperlink"/>
                <w:i/>
                <w:iCs/>
                <w:sz w:val="24"/>
                <w:szCs w:val="24"/>
              </w:rPr>
              <w:t>Impacts of CIMSS AMV observations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_Toc21624014 \h </w:instrText>
            </w:r>
            <w:r w:rsidR="004C2DF6" w:rsidRPr="00EC68C2">
              <w:rPr>
                <w:webHidden/>
                <w:sz w:val="24"/>
                <w:szCs w:val="24"/>
              </w:rPr>
            </w:r>
            <w:r w:rsidR="004C2DF6" w:rsidRPr="00EC68C2">
              <w:rPr>
                <w:webHidden/>
                <w:sz w:val="24"/>
                <w:szCs w:val="24"/>
              </w:rPr>
              <w:fldChar w:fldCharType="separate"/>
            </w:r>
            <w:r>
              <w:rPr>
                <w:webHidden/>
                <w:sz w:val="24"/>
                <w:szCs w:val="24"/>
              </w:rPr>
              <w:t>112</w:t>
            </w:r>
            <w:r w:rsidR="004C2DF6" w:rsidRPr="00EC68C2">
              <w:rPr>
                <w:webHidden/>
                <w:sz w:val="24"/>
                <w:szCs w:val="24"/>
              </w:rPr>
              <w:fldChar w:fldCharType="end"/>
            </w:r>
          </w:hyperlink>
        </w:p>
        <w:p w14:paraId="305DB471" w14:textId="4E524B9A" w:rsidR="004C2DF6" w:rsidRPr="00EC68C2" w:rsidRDefault="00C350DE" w:rsidP="002069FE">
          <w:pPr>
            <w:pStyle w:val="TOC3"/>
            <w:spacing w:after="0" w:line="240" w:lineRule="auto"/>
            <w:rPr>
              <w:sz w:val="24"/>
              <w:szCs w:val="24"/>
            </w:rPr>
          </w:pPr>
          <w:hyperlink w:anchor="_Toc21624015" w:history="1">
            <w:r w:rsidR="004C2DF6" w:rsidRPr="00EC68C2">
              <w:rPr>
                <w:rStyle w:val="Hyperlink"/>
                <w:i/>
                <w:iCs/>
                <w:sz w:val="24"/>
                <w:szCs w:val="24"/>
              </w:rPr>
              <w:t>5.3.5</w:t>
            </w:r>
            <w:r w:rsidR="004C2DF6" w:rsidRPr="00EC68C2">
              <w:rPr>
                <w:sz w:val="24"/>
                <w:szCs w:val="24"/>
              </w:rPr>
              <w:tab/>
            </w:r>
            <w:r w:rsidR="004C2DF6" w:rsidRPr="00EC68C2">
              <w:rPr>
                <w:rStyle w:val="Hyperlink"/>
                <w:i/>
                <w:iCs/>
                <w:sz w:val="24"/>
                <w:szCs w:val="24"/>
              </w:rPr>
              <w:t>Impact of SFMR observations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_Toc21624015 \h </w:instrText>
            </w:r>
            <w:r w:rsidR="004C2DF6" w:rsidRPr="00EC68C2">
              <w:rPr>
                <w:webHidden/>
                <w:sz w:val="24"/>
                <w:szCs w:val="24"/>
              </w:rPr>
            </w:r>
            <w:r w:rsidR="004C2DF6" w:rsidRPr="00EC68C2">
              <w:rPr>
                <w:webHidden/>
                <w:sz w:val="24"/>
                <w:szCs w:val="24"/>
              </w:rPr>
              <w:fldChar w:fldCharType="separate"/>
            </w:r>
            <w:r>
              <w:rPr>
                <w:webHidden/>
                <w:sz w:val="24"/>
                <w:szCs w:val="24"/>
              </w:rPr>
              <w:t>113</w:t>
            </w:r>
            <w:r w:rsidR="004C2DF6" w:rsidRPr="00EC68C2">
              <w:rPr>
                <w:webHidden/>
                <w:sz w:val="24"/>
                <w:szCs w:val="24"/>
              </w:rPr>
              <w:fldChar w:fldCharType="end"/>
            </w:r>
          </w:hyperlink>
        </w:p>
        <w:p w14:paraId="15E023AD" w14:textId="04F123B3" w:rsidR="004C2DF6" w:rsidRPr="00EC68C2" w:rsidRDefault="00C350DE" w:rsidP="002069FE">
          <w:pPr>
            <w:pStyle w:val="TOC3"/>
            <w:spacing w:after="0" w:line="240" w:lineRule="auto"/>
            <w:rPr>
              <w:sz w:val="24"/>
              <w:szCs w:val="24"/>
            </w:rPr>
          </w:pPr>
          <w:hyperlink w:anchor="_Toc21624016" w:history="1">
            <w:r w:rsidR="004C2DF6" w:rsidRPr="00EC68C2">
              <w:rPr>
                <w:rStyle w:val="Hyperlink"/>
                <w:i/>
                <w:iCs/>
                <w:sz w:val="24"/>
                <w:szCs w:val="24"/>
              </w:rPr>
              <w:t>5.3.6</w:t>
            </w:r>
            <w:r w:rsidR="004C2DF6" w:rsidRPr="00EC68C2">
              <w:rPr>
                <w:sz w:val="24"/>
                <w:szCs w:val="24"/>
              </w:rPr>
              <w:tab/>
            </w:r>
            <w:r w:rsidR="004C2DF6" w:rsidRPr="00EC68C2">
              <w:rPr>
                <w:rStyle w:val="Hyperlink"/>
                <w:i/>
                <w:iCs/>
                <w:sz w:val="24"/>
                <w:szCs w:val="24"/>
              </w:rPr>
              <w:t>Impact of FL observations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_Toc21624016 \h </w:instrText>
            </w:r>
            <w:r w:rsidR="004C2DF6" w:rsidRPr="00EC68C2">
              <w:rPr>
                <w:webHidden/>
                <w:sz w:val="24"/>
                <w:szCs w:val="24"/>
              </w:rPr>
            </w:r>
            <w:r w:rsidR="004C2DF6" w:rsidRPr="00EC68C2">
              <w:rPr>
                <w:webHidden/>
                <w:sz w:val="24"/>
                <w:szCs w:val="24"/>
              </w:rPr>
              <w:fldChar w:fldCharType="separate"/>
            </w:r>
            <w:r>
              <w:rPr>
                <w:webHidden/>
                <w:sz w:val="24"/>
                <w:szCs w:val="24"/>
              </w:rPr>
              <w:t>115</w:t>
            </w:r>
            <w:r w:rsidR="004C2DF6" w:rsidRPr="00EC68C2">
              <w:rPr>
                <w:webHidden/>
                <w:sz w:val="24"/>
                <w:szCs w:val="24"/>
              </w:rPr>
              <w:fldChar w:fldCharType="end"/>
            </w:r>
          </w:hyperlink>
        </w:p>
        <w:p w14:paraId="52C56868" w14:textId="5B2C73CD" w:rsidR="004C2DF6" w:rsidRPr="00EC68C2" w:rsidRDefault="00C350DE" w:rsidP="002069FE">
          <w:pPr>
            <w:pStyle w:val="TOC3"/>
            <w:spacing w:after="0" w:line="240" w:lineRule="auto"/>
            <w:rPr>
              <w:sz w:val="24"/>
              <w:szCs w:val="24"/>
            </w:rPr>
          </w:pPr>
          <w:hyperlink w:anchor="_Toc21624017" w:history="1">
            <w:r w:rsidR="004C2DF6" w:rsidRPr="00EC68C2">
              <w:rPr>
                <w:rStyle w:val="Hyperlink"/>
                <w:i/>
                <w:iCs/>
                <w:sz w:val="24"/>
                <w:szCs w:val="24"/>
              </w:rPr>
              <w:t>5.3.7</w:t>
            </w:r>
            <w:r w:rsidR="004C2DF6" w:rsidRPr="00EC68C2">
              <w:rPr>
                <w:sz w:val="24"/>
                <w:szCs w:val="24"/>
              </w:rPr>
              <w:tab/>
            </w:r>
            <w:r w:rsidR="004C2DF6" w:rsidRPr="00EC68C2">
              <w:rPr>
                <w:rStyle w:val="Hyperlink"/>
                <w:i/>
                <w:iCs/>
                <w:sz w:val="24"/>
                <w:szCs w:val="24"/>
              </w:rPr>
              <w:t>Impacts of TDR observations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_Toc21624017 \h </w:instrText>
            </w:r>
            <w:r w:rsidR="004C2DF6" w:rsidRPr="00EC68C2">
              <w:rPr>
                <w:webHidden/>
                <w:sz w:val="24"/>
                <w:szCs w:val="24"/>
              </w:rPr>
            </w:r>
            <w:r w:rsidR="004C2DF6" w:rsidRPr="00EC68C2">
              <w:rPr>
                <w:webHidden/>
                <w:sz w:val="24"/>
                <w:szCs w:val="24"/>
              </w:rPr>
              <w:fldChar w:fldCharType="separate"/>
            </w:r>
            <w:r>
              <w:rPr>
                <w:webHidden/>
                <w:sz w:val="24"/>
                <w:szCs w:val="24"/>
              </w:rPr>
              <w:t>116</w:t>
            </w:r>
            <w:r w:rsidR="004C2DF6" w:rsidRPr="00EC68C2">
              <w:rPr>
                <w:webHidden/>
                <w:sz w:val="24"/>
                <w:szCs w:val="24"/>
              </w:rPr>
              <w:fldChar w:fldCharType="end"/>
            </w:r>
          </w:hyperlink>
        </w:p>
        <w:p w14:paraId="7A433F56" w14:textId="2876E06E" w:rsidR="004C2DF6" w:rsidRPr="00EC68C2" w:rsidRDefault="00C350DE" w:rsidP="002069FE">
          <w:pPr>
            <w:pStyle w:val="TOC3"/>
            <w:spacing w:after="0" w:line="240" w:lineRule="auto"/>
            <w:rPr>
              <w:sz w:val="24"/>
              <w:szCs w:val="24"/>
            </w:rPr>
          </w:pPr>
          <w:hyperlink w:anchor="_Toc21624018" w:history="1">
            <w:r w:rsidR="004C2DF6" w:rsidRPr="00EC68C2">
              <w:rPr>
                <w:rStyle w:val="Hyperlink"/>
                <w:i/>
                <w:iCs/>
                <w:sz w:val="24"/>
                <w:szCs w:val="24"/>
              </w:rPr>
              <w:t>5.3.8</w:t>
            </w:r>
            <w:r w:rsidR="004C2DF6" w:rsidRPr="00EC68C2">
              <w:rPr>
                <w:sz w:val="24"/>
                <w:szCs w:val="24"/>
              </w:rPr>
              <w:tab/>
            </w:r>
            <w:r w:rsidR="004C2DF6" w:rsidRPr="00EC68C2">
              <w:rPr>
                <w:rStyle w:val="Hyperlink"/>
                <w:i/>
                <w:iCs/>
                <w:sz w:val="24"/>
                <w:szCs w:val="24"/>
              </w:rPr>
              <w:t>Impact of HDSS dropsonde observations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_Toc21624018 \h </w:instrText>
            </w:r>
            <w:r w:rsidR="004C2DF6" w:rsidRPr="00EC68C2">
              <w:rPr>
                <w:webHidden/>
                <w:sz w:val="24"/>
                <w:szCs w:val="24"/>
              </w:rPr>
            </w:r>
            <w:r w:rsidR="004C2DF6" w:rsidRPr="00EC68C2">
              <w:rPr>
                <w:webHidden/>
                <w:sz w:val="24"/>
                <w:szCs w:val="24"/>
              </w:rPr>
              <w:fldChar w:fldCharType="separate"/>
            </w:r>
            <w:r>
              <w:rPr>
                <w:webHidden/>
                <w:sz w:val="24"/>
                <w:szCs w:val="24"/>
              </w:rPr>
              <w:t>119</w:t>
            </w:r>
            <w:r w:rsidR="004C2DF6" w:rsidRPr="00EC68C2">
              <w:rPr>
                <w:webHidden/>
                <w:sz w:val="24"/>
                <w:szCs w:val="24"/>
              </w:rPr>
              <w:fldChar w:fldCharType="end"/>
            </w:r>
          </w:hyperlink>
        </w:p>
        <w:p w14:paraId="00E1B31E" w14:textId="76360184" w:rsidR="004C2DF6" w:rsidRPr="00EC68C2" w:rsidRDefault="00C350DE" w:rsidP="002069FE">
          <w:pPr>
            <w:pStyle w:val="TOC3"/>
            <w:spacing w:after="0" w:line="240" w:lineRule="auto"/>
            <w:rPr>
              <w:sz w:val="24"/>
              <w:szCs w:val="24"/>
            </w:rPr>
          </w:pPr>
          <w:hyperlink w:anchor="_Toc21624019" w:history="1">
            <w:r w:rsidR="004C2DF6" w:rsidRPr="00EC68C2">
              <w:rPr>
                <w:rStyle w:val="Hyperlink"/>
                <w:i/>
                <w:iCs/>
                <w:sz w:val="24"/>
                <w:szCs w:val="24"/>
              </w:rPr>
              <w:t>5.3.9</w:t>
            </w:r>
            <w:r w:rsidR="004C2DF6" w:rsidRPr="00EC68C2">
              <w:rPr>
                <w:sz w:val="24"/>
                <w:szCs w:val="24"/>
              </w:rPr>
              <w:tab/>
            </w:r>
            <w:r w:rsidR="004C2DF6" w:rsidRPr="00EC68C2">
              <w:rPr>
                <w:rStyle w:val="Hyperlink"/>
                <w:i/>
                <w:iCs/>
                <w:sz w:val="24"/>
                <w:szCs w:val="24"/>
              </w:rPr>
              <w:t>Impacts of all observations</w:t>
            </w:r>
            <w:r w:rsidR="004C2DF6" w:rsidRPr="00EC68C2">
              <w:rPr>
                <w:webHidden/>
                <w:sz w:val="24"/>
                <w:szCs w:val="24"/>
              </w:rPr>
              <w:tab/>
            </w:r>
            <w:r w:rsidR="004C2DF6" w:rsidRPr="00EC68C2">
              <w:rPr>
                <w:webHidden/>
                <w:sz w:val="24"/>
                <w:szCs w:val="24"/>
              </w:rPr>
              <w:fldChar w:fldCharType="begin"/>
            </w:r>
            <w:r w:rsidR="004C2DF6" w:rsidRPr="00EC68C2">
              <w:rPr>
                <w:webHidden/>
                <w:sz w:val="24"/>
                <w:szCs w:val="24"/>
              </w:rPr>
              <w:instrText xml:space="preserve"> PAGEREF _Toc21624019 \h </w:instrText>
            </w:r>
            <w:r w:rsidR="004C2DF6" w:rsidRPr="00EC68C2">
              <w:rPr>
                <w:webHidden/>
                <w:sz w:val="24"/>
                <w:szCs w:val="24"/>
              </w:rPr>
            </w:r>
            <w:r w:rsidR="004C2DF6" w:rsidRPr="00EC68C2">
              <w:rPr>
                <w:webHidden/>
                <w:sz w:val="24"/>
                <w:szCs w:val="24"/>
              </w:rPr>
              <w:fldChar w:fldCharType="separate"/>
            </w:r>
            <w:r>
              <w:rPr>
                <w:webHidden/>
                <w:sz w:val="24"/>
                <w:szCs w:val="24"/>
              </w:rPr>
              <w:t>121</w:t>
            </w:r>
            <w:r w:rsidR="004C2DF6" w:rsidRPr="00EC68C2">
              <w:rPr>
                <w:webHidden/>
                <w:sz w:val="24"/>
                <w:szCs w:val="24"/>
              </w:rPr>
              <w:fldChar w:fldCharType="end"/>
            </w:r>
          </w:hyperlink>
        </w:p>
        <w:p w14:paraId="6DA13686" w14:textId="3F5C9D79" w:rsidR="004C2DF6" w:rsidRPr="00EC68C2" w:rsidRDefault="00C350DE" w:rsidP="002069FE">
          <w:pPr>
            <w:pStyle w:val="TOC2"/>
            <w:tabs>
              <w:tab w:val="left" w:pos="880"/>
              <w:tab w:val="right" w:leader="dot" w:pos="9350"/>
            </w:tabs>
            <w:spacing w:after="0" w:line="240" w:lineRule="auto"/>
            <w:rPr>
              <w:noProof/>
              <w:sz w:val="24"/>
              <w:szCs w:val="24"/>
            </w:rPr>
          </w:pPr>
          <w:hyperlink w:anchor="_Toc21624020" w:history="1">
            <w:r w:rsidR="004C2DF6" w:rsidRPr="00EC68C2">
              <w:rPr>
                <w:rStyle w:val="Hyperlink"/>
                <w:rFonts w:ascii="Times New Roman" w:hAnsi="Times New Roman" w:cs="Times New Roman"/>
                <w:noProof/>
                <w:sz w:val="24"/>
                <w:szCs w:val="24"/>
              </w:rPr>
              <w:t>5.4</w:t>
            </w:r>
            <w:r w:rsidR="004C2DF6" w:rsidRPr="00EC68C2">
              <w:rPr>
                <w:noProof/>
                <w:sz w:val="24"/>
                <w:szCs w:val="24"/>
              </w:rPr>
              <w:tab/>
            </w:r>
            <w:r w:rsidR="004C2DF6" w:rsidRPr="00EC68C2">
              <w:rPr>
                <w:rStyle w:val="Hyperlink"/>
                <w:rFonts w:ascii="Times New Roman" w:hAnsi="Times New Roman" w:cs="Times New Roman"/>
                <w:noProof/>
                <w:sz w:val="24"/>
                <w:szCs w:val="24"/>
              </w:rPr>
              <w:t>Summary and Discussion</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_Toc21624020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123</w:t>
            </w:r>
            <w:r w:rsidR="004C2DF6" w:rsidRPr="00EC68C2">
              <w:rPr>
                <w:noProof/>
                <w:webHidden/>
                <w:sz w:val="24"/>
                <w:szCs w:val="24"/>
              </w:rPr>
              <w:fldChar w:fldCharType="end"/>
            </w:r>
          </w:hyperlink>
        </w:p>
        <w:p w14:paraId="5CB5AE76" w14:textId="4EF05312" w:rsidR="004C2DF6" w:rsidRPr="00EC68C2" w:rsidRDefault="00C350DE" w:rsidP="002069FE">
          <w:pPr>
            <w:pStyle w:val="TOC1"/>
            <w:rPr>
              <w:noProof/>
              <w:sz w:val="24"/>
              <w:szCs w:val="24"/>
            </w:rPr>
          </w:pPr>
          <w:hyperlink w:anchor="_Toc21624021" w:history="1">
            <w:r w:rsidR="004C2DF6" w:rsidRPr="00EC68C2">
              <w:rPr>
                <w:rStyle w:val="Hyperlink"/>
                <w:rFonts w:ascii="Times New Roman" w:hAnsi="Times New Roman" w:cs="Times New Roman"/>
                <w:b/>
                <w:noProof/>
                <w:sz w:val="24"/>
                <w:szCs w:val="24"/>
              </w:rPr>
              <w:t>Chapter 6: Summary and Future Plans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_Toc21624021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126</w:t>
            </w:r>
            <w:r w:rsidR="004C2DF6" w:rsidRPr="00EC68C2">
              <w:rPr>
                <w:noProof/>
                <w:webHidden/>
                <w:sz w:val="24"/>
                <w:szCs w:val="24"/>
              </w:rPr>
              <w:fldChar w:fldCharType="end"/>
            </w:r>
          </w:hyperlink>
        </w:p>
        <w:p w14:paraId="40F2CCF1" w14:textId="118498CE" w:rsidR="004C2DF6" w:rsidRPr="00EC68C2" w:rsidRDefault="00C350DE" w:rsidP="002069FE">
          <w:pPr>
            <w:pStyle w:val="TOC2"/>
            <w:tabs>
              <w:tab w:val="left" w:pos="880"/>
              <w:tab w:val="right" w:leader="dot" w:pos="9350"/>
            </w:tabs>
            <w:spacing w:after="0" w:line="240" w:lineRule="auto"/>
            <w:rPr>
              <w:noProof/>
              <w:sz w:val="24"/>
              <w:szCs w:val="24"/>
            </w:rPr>
          </w:pPr>
          <w:hyperlink w:anchor="_Toc21624022" w:history="1">
            <w:r w:rsidR="004C2DF6" w:rsidRPr="00EC68C2">
              <w:rPr>
                <w:rStyle w:val="Hyperlink"/>
                <w:rFonts w:ascii="Times New Roman" w:hAnsi="Times New Roman" w:cs="Times New Roman"/>
                <w:noProof/>
                <w:sz w:val="24"/>
                <w:szCs w:val="24"/>
              </w:rPr>
              <w:t>6.1</w:t>
            </w:r>
            <w:r w:rsidR="004C2DF6" w:rsidRPr="00EC68C2">
              <w:rPr>
                <w:noProof/>
                <w:sz w:val="24"/>
                <w:szCs w:val="24"/>
              </w:rPr>
              <w:tab/>
            </w:r>
            <w:r w:rsidR="004C2DF6" w:rsidRPr="00EC68C2">
              <w:rPr>
                <w:rStyle w:val="Hyperlink"/>
                <w:rFonts w:ascii="Times New Roman" w:hAnsi="Times New Roman" w:cs="Times New Roman"/>
                <w:noProof/>
                <w:sz w:val="24"/>
                <w:szCs w:val="24"/>
              </w:rPr>
              <w:t>General Summary</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_Toc21624022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126</w:t>
            </w:r>
            <w:r w:rsidR="004C2DF6" w:rsidRPr="00EC68C2">
              <w:rPr>
                <w:noProof/>
                <w:webHidden/>
                <w:sz w:val="24"/>
                <w:szCs w:val="24"/>
              </w:rPr>
              <w:fldChar w:fldCharType="end"/>
            </w:r>
          </w:hyperlink>
        </w:p>
        <w:p w14:paraId="3DAD1EDB" w14:textId="7EF1F079" w:rsidR="004C2DF6" w:rsidRPr="00EC68C2" w:rsidRDefault="00C350DE" w:rsidP="002069FE">
          <w:pPr>
            <w:pStyle w:val="TOC2"/>
            <w:tabs>
              <w:tab w:val="left" w:pos="880"/>
              <w:tab w:val="right" w:leader="dot" w:pos="9350"/>
            </w:tabs>
            <w:spacing w:after="0" w:line="240" w:lineRule="auto"/>
            <w:rPr>
              <w:noProof/>
              <w:sz w:val="24"/>
              <w:szCs w:val="24"/>
            </w:rPr>
          </w:pPr>
          <w:hyperlink w:anchor="_Toc21624023" w:history="1">
            <w:r w:rsidR="004C2DF6" w:rsidRPr="00EC68C2">
              <w:rPr>
                <w:rStyle w:val="Hyperlink"/>
                <w:rFonts w:ascii="Times New Roman" w:hAnsi="Times New Roman" w:cs="Times New Roman"/>
                <w:noProof/>
                <w:sz w:val="24"/>
                <w:szCs w:val="24"/>
              </w:rPr>
              <w:t>6.2</w:t>
            </w:r>
            <w:r w:rsidR="004C2DF6" w:rsidRPr="00EC68C2">
              <w:rPr>
                <w:noProof/>
                <w:sz w:val="24"/>
                <w:szCs w:val="24"/>
              </w:rPr>
              <w:tab/>
            </w:r>
            <w:r w:rsidR="004C2DF6" w:rsidRPr="00EC68C2">
              <w:rPr>
                <w:rStyle w:val="Hyperlink"/>
                <w:rFonts w:ascii="Times New Roman" w:hAnsi="Times New Roman" w:cs="Times New Roman"/>
                <w:noProof/>
                <w:sz w:val="24"/>
                <w:szCs w:val="24"/>
              </w:rPr>
              <w:t>Future Plans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_Toc21624023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128</w:t>
            </w:r>
            <w:r w:rsidR="004C2DF6" w:rsidRPr="00EC68C2">
              <w:rPr>
                <w:noProof/>
                <w:webHidden/>
                <w:sz w:val="24"/>
                <w:szCs w:val="24"/>
              </w:rPr>
              <w:fldChar w:fldCharType="end"/>
            </w:r>
          </w:hyperlink>
        </w:p>
        <w:p w14:paraId="7C37459F" w14:textId="6D464FA4" w:rsidR="00D0781C" w:rsidRPr="00723DA9" w:rsidRDefault="00C350DE" w:rsidP="002069FE">
          <w:pPr>
            <w:pStyle w:val="TOC1"/>
            <w:rPr>
              <w:rFonts w:ascii="Times New Roman" w:hAnsi="Times New Roman" w:cs="Times New Roman"/>
              <w:sz w:val="24"/>
              <w:szCs w:val="24"/>
            </w:rPr>
          </w:pPr>
          <w:hyperlink w:anchor="_Toc21624024" w:history="1">
            <w:r w:rsidR="004C2DF6" w:rsidRPr="00EC68C2">
              <w:rPr>
                <w:rStyle w:val="Hyperlink"/>
                <w:rFonts w:ascii="Times New Roman" w:hAnsi="Times New Roman" w:cs="Times New Roman"/>
                <w:b/>
                <w:noProof/>
                <w:sz w:val="24"/>
                <w:szCs w:val="24"/>
              </w:rPr>
              <w:t>References</w:t>
            </w:r>
            <w:r w:rsidR="004C2DF6" w:rsidRPr="00EC68C2">
              <w:rPr>
                <w:noProof/>
                <w:webHidden/>
                <w:sz w:val="24"/>
                <w:szCs w:val="24"/>
              </w:rPr>
              <w:tab/>
            </w:r>
            <w:r w:rsidR="004C2DF6" w:rsidRPr="00EC68C2">
              <w:rPr>
                <w:noProof/>
                <w:webHidden/>
                <w:sz w:val="24"/>
                <w:szCs w:val="24"/>
              </w:rPr>
              <w:fldChar w:fldCharType="begin"/>
            </w:r>
            <w:r w:rsidR="004C2DF6" w:rsidRPr="00EC68C2">
              <w:rPr>
                <w:noProof/>
                <w:webHidden/>
                <w:sz w:val="24"/>
                <w:szCs w:val="24"/>
              </w:rPr>
              <w:instrText xml:space="preserve"> PAGEREF _Toc21624024 \h </w:instrText>
            </w:r>
            <w:r w:rsidR="004C2DF6" w:rsidRPr="00EC68C2">
              <w:rPr>
                <w:noProof/>
                <w:webHidden/>
                <w:sz w:val="24"/>
                <w:szCs w:val="24"/>
              </w:rPr>
            </w:r>
            <w:r w:rsidR="004C2DF6" w:rsidRPr="00EC68C2">
              <w:rPr>
                <w:noProof/>
                <w:webHidden/>
                <w:sz w:val="24"/>
                <w:szCs w:val="24"/>
              </w:rPr>
              <w:fldChar w:fldCharType="separate"/>
            </w:r>
            <w:r>
              <w:rPr>
                <w:noProof/>
                <w:webHidden/>
                <w:sz w:val="24"/>
                <w:szCs w:val="24"/>
              </w:rPr>
              <w:t>130</w:t>
            </w:r>
            <w:r w:rsidR="004C2DF6" w:rsidRPr="00EC68C2">
              <w:rPr>
                <w:noProof/>
                <w:webHidden/>
                <w:sz w:val="24"/>
                <w:szCs w:val="24"/>
              </w:rPr>
              <w:fldChar w:fldCharType="end"/>
            </w:r>
          </w:hyperlink>
          <w:r w:rsidR="00D0781C" w:rsidRPr="00723DA9">
            <w:rPr>
              <w:rFonts w:ascii="Times New Roman" w:hAnsi="Times New Roman" w:cs="Times New Roman"/>
              <w:noProof/>
              <w:sz w:val="24"/>
              <w:szCs w:val="24"/>
            </w:rPr>
            <w:fldChar w:fldCharType="end"/>
          </w:r>
        </w:p>
      </w:sdtContent>
    </w:sdt>
    <w:p w14:paraId="415988B4" w14:textId="77777777" w:rsidR="004617F9" w:rsidRDefault="00823393" w:rsidP="004617F9">
      <w:pPr>
        <w:spacing w:after="0" w:line="480" w:lineRule="auto"/>
        <w:rPr>
          <w:noProof/>
        </w:rPr>
      </w:pPr>
      <w:r w:rsidRPr="00723DA9">
        <w:rPr>
          <w:rFonts w:ascii="Times New Roman" w:hAnsi="Times New Roman" w:cs="Times New Roman"/>
          <w:b/>
          <w:sz w:val="24"/>
          <w:szCs w:val="24"/>
        </w:rPr>
        <w:br w:type="page"/>
      </w:r>
      <w:bookmarkStart w:id="1" w:name="_Toc21623967"/>
      <w:r w:rsidRPr="00723DA9">
        <w:rPr>
          <w:rFonts w:ascii="Times New Roman" w:hAnsi="Times New Roman" w:cs="Times New Roman"/>
          <w:b/>
          <w:sz w:val="24"/>
          <w:szCs w:val="24"/>
        </w:rPr>
        <w:lastRenderedPageBreak/>
        <w:t>List of Tables</w:t>
      </w:r>
      <w:bookmarkEnd w:id="1"/>
      <w:r w:rsidR="008D1F39" w:rsidRPr="00723DA9">
        <w:rPr>
          <w:rFonts w:ascii="Times New Roman" w:hAnsi="Times New Roman" w:cs="Times New Roman"/>
          <w:b/>
          <w:sz w:val="24"/>
          <w:szCs w:val="24"/>
        </w:rPr>
        <w:tab/>
      </w:r>
      <w:r w:rsidR="004617F9">
        <w:rPr>
          <w:rFonts w:ascii="Times New Roman" w:hAnsi="Times New Roman" w:cs="Times New Roman"/>
          <w:b/>
          <w:sz w:val="24"/>
          <w:szCs w:val="24"/>
        </w:rPr>
        <w:fldChar w:fldCharType="begin"/>
      </w:r>
      <w:r w:rsidR="004617F9">
        <w:rPr>
          <w:rFonts w:ascii="Times New Roman" w:hAnsi="Times New Roman" w:cs="Times New Roman"/>
          <w:b/>
          <w:sz w:val="24"/>
          <w:szCs w:val="24"/>
        </w:rPr>
        <w:instrText xml:space="preserve"> TOC \h \z \c "Table" </w:instrText>
      </w:r>
      <w:r w:rsidR="004617F9">
        <w:rPr>
          <w:rFonts w:ascii="Times New Roman" w:hAnsi="Times New Roman" w:cs="Times New Roman"/>
          <w:b/>
          <w:sz w:val="24"/>
          <w:szCs w:val="24"/>
        </w:rPr>
        <w:fldChar w:fldCharType="separate"/>
      </w:r>
    </w:p>
    <w:p w14:paraId="22DE2700" w14:textId="426CA595" w:rsidR="004617F9" w:rsidRPr="004617F9" w:rsidRDefault="00C350DE" w:rsidP="004617F9">
      <w:pPr>
        <w:pStyle w:val="TableofFigures"/>
        <w:tabs>
          <w:tab w:val="right" w:leader="dot" w:pos="9350"/>
        </w:tabs>
        <w:spacing w:after="240" w:line="240" w:lineRule="auto"/>
        <w:rPr>
          <w:rFonts w:asciiTheme="minorHAnsi" w:hAnsiTheme="minorHAnsi"/>
          <w:b w:val="0"/>
          <w:noProof/>
          <w:sz w:val="24"/>
          <w:szCs w:val="24"/>
        </w:rPr>
      </w:pPr>
      <w:hyperlink w:anchor="_Toc21629868" w:history="1">
        <w:r w:rsidR="004617F9" w:rsidRPr="004617F9">
          <w:rPr>
            <w:rStyle w:val="Hyperlink"/>
            <w:rFonts w:cs="Times New Roman"/>
            <w:b w:val="0"/>
            <w:noProof/>
            <w:sz w:val="24"/>
            <w:szCs w:val="24"/>
          </w:rPr>
          <w:t>Table 3.1 List of experiments and their descriptions.</w:t>
        </w:r>
        <w:r w:rsidR="004617F9" w:rsidRPr="004617F9">
          <w:rPr>
            <w:b w:val="0"/>
            <w:noProof/>
            <w:webHidden/>
            <w:sz w:val="24"/>
            <w:szCs w:val="24"/>
          </w:rPr>
          <w:tab/>
        </w:r>
        <w:r w:rsidR="004617F9" w:rsidRPr="004617F9">
          <w:rPr>
            <w:b w:val="0"/>
            <w:noProof/>
            <w:webHidden/>
            <w:sz w:val="24"/>
            <w:szCs w:val="24"/>
          </w:rPr>
          <w:fldChar w:fldCharType="begin"/>
        </w:r>
        <w:r w:rsidR="004617F9" w:rsidRPr="004617F9">
          <w:rPr>
            <w:b w:val="0"/>
            <w:noProof/>
            <w:webHidden/>
            <w:sz w:val="24"/>
            <w:szCs w:val="24"/>
          </w:rPr>
          <w:instrText xml:space="preserve"> PAGEREF _Toc21629868 \h </w:instrText>
        </w:r>
        <w:r w:rsidR="004617F9" w:rsidRPr="004617F9">
          <w:rPr>
            <w:b w:val="0"/>
            <w:noProof/>
            <w:webHidden/>
            <w:sz w:val="24"/>
            <w:szCs w:val="24"/>
          </w:rPr>
        </w:r>
        <w:r w:rsidR="004617F9" w:rsidRPr="004617F9">
          <w:rPr>
            <w:b w:val="0"/>
            <w:noProof/>
            <w:webHidden/>
            <w:sz w:val="24"/>
            <w:szCs w:val="24"/>
          </w:rPr>
          <w:fldChar w:fldCharType="separate"/>
        </w:r>
        <w:r>
          <w:rPr>
            <w:b w:val="0"/>
            <w:noProof/>
            <w:webHidden/>
            <w:sz w:val="24"/>
            <w:szCs w:val="24"/>
          </w:rPr>
          <w:t>22</w:t>
        </w:r>
        <w:r w:rsidR="004617F9" w:rsidRPr="004617F9">
          <w:rPr>
            <w:b w:val="0"/>
            <w:noProof/>
            <w:webHidden/>
            <w:sz w:val="24"/>
            <w:szCs w:val="24"/>
          </w:rPr>
          <w:fldChar w:fldCharType="end"/>
        </w:r>
      </w:hyperlink>
    </w:p>
    <w:p w14:paraId="3F8AFB06" w14:textId="271689A8" w:rsidR="004617F9" w:rsidRPr="004617F9" w:rsidRDefault="00C350DE" w:rsidP="004617F9">
      <w:pPr>
        <w:pStyle w:val="TableofFigures"/>
        <w:tabs>
          <w:tab w:val="right" w:leader="dot" w:pos="9350"/>
        </w:tabs>
        <w:spacing w:after="240" w:line="240" w:lineRule="auto"/>
        <w:rPr>
          <w:rFonts w:asciiTheme="minorHAnsi" w:hAnsiTheme="minorHAnsi"/>
          <w:b w:val="0"/>
          <w:noProof/>
          <w:sz w:val="24"/>
          <w:szCs w:val="24"/>
        </w:rPr>
      </w:pPr>
      <w:hyperlink w:anchor="_Toc21629869" w:history="1">
        <w:r w:rsidR="004617F9" w:rsidRPr="004617F9">
          <w:rPr>
            <w:rStyle w:val="Hyperlink"/>
            <w:rFonts w:cs="Times New Roman"/>
            <w:b w:val="0"/>
            <w:noProof/>
            <w:sz w:val="24"/>
            <w:szCs w:val="24"/>
          </w:rPr>
          <w:t>Table 3.2 List of observations assimilated in each domain.</w:t>
        </w:r>
        <w:r w:rsidR="004617F9" w:rsidRPr="004617F9">
          <w:rPr>
            <w:b w:val="0"/>
            <w:noProof/>
            <w:webHidden/>
            <w:sz w:val="24"/>
            <w:szCs w:val="24"/>
          </w:rPr>
          <w:tab/>
        </w:r>
        <w:r w:rsidR="004617F9" w:rsidRPr="004617F9">
          <w:rPr>
            <w:b w:val="0"/>
            <w:noProof/>
            <w:webHidden/>
            <w:sz w:val="24"/>
            <w:szCs w:val="24"/>
          </w:rPr>
          <w:fldChar w:fldCharType="begin"/>
        </w:r>
        <w:r w:rsidR="004617F9" w:rsidRPr="004617F9">
          <w:rPr>
            <w:b w:val="0"/>
            <w:noProof/>
            <w:webHidden/>
            <w:sz w:val="24"/>
            <w:szCs w:val="24"/>
          </w:rPr>
          <w:instrText xml:space="preserve"> PAGEREF _Toc21629869 \h </w:instrText>
        </w:r>
        <w:r w:rsidR="004617F9" w:rsidRPr="004617F9">
          <w:rPr>
            <w:b w:val="0"/>
            <w:noProof/>
            <w:webHidden/>
            <w:sz w:val="24"/>
            <w:szCs w:val="24"/>
          </w:rPr>
        </w:r>
        <w:r w:rsidR="004617F9" w:rsidRPr="004617F9">
          <w:rPr>
            <w:b w:val="0"/>
            <w:noProof/>
            <w:webHidden/>
            <w:sz w:val="24"/>
            <w:szCs w:val="24"/>
          </w:rPr>
          <w:fldChar w:fldCharType="separate"/>
        </w:r>
        <w:r>
          <w:rPr>
            <w:b w:val="0"/>
            <w:noProof/>
            <w:webHidden/>
            <w:sz w:val="24"/>
            <w:szCs w:val="24"/>
          </w:rPr>
          <w:t>23</w:t>
        </w:r>
        <w:r w:rsidR="004617F9" w:rsidRPr="004617F9">
          <w:rPr>
            <w:b w:val="0"/>
            <w:noProof/>
            <w:webHidden/>
            <w:sz w:val="24"/>
            <w:szCs w:val="24"/>
          </w:rPr>
          <w:fldChar w:fldCharType="end"/>
        </w:r>
      </w:hyperlink>
    </w:p>
    <w:p w14:paraId="51CCEEB8" w14:textId="25157A14" w:rsidR="004617F9" w:rsidRPr="004617F9" w:rsidRDefault="00C350DE" w:rsidP="004617F9">
      <w:pPr>
        <w:pStyle w:val="TableofFigures"/>
        <w:tabs>
          <w:tab w:val="right" w:leader="dot" w:pos="9350"/>
        </w:tabs>
        <w:spacing w:after="240" w:line="240" w:lineRule="auto"/>
        <w:rPr>
          <w:rFonts w:asciiTheme="minorHAnsi" w:hAnsiTheme="minorHAnsi"/>
          <w:b w:val="0"/>
          <w:noProof/>
          <w:sz w:val="24"/>
          <w:szCs w:val="24"/>
        </w:rPr>
      </w:pPr>
      <w:hyperlink w:anchor="_Toc21629870" w:history="1">
        <w:r w:rsidR="004617F9" w:rsidRPr="004617F9">
          <w:rPr>
            <w:rStyle w:val="Hyperlink"/>
            <w:rFonts w:cs="Times New Roman"/>
            <w:b w:val="0"/>
            <w:noProof/>
            <w:sz w:val="24"/>
            <w:szCs w:val="24"/>
          </w:rPr>
          <w:t>Table 3.3 Percentage of absolute vorticity variance explained by each wavenumber averaged over 1.5 RMW radius during the intensifying period from 1200 UTC 13 September 2014 to 0600 UTC 15 September 2014.</w:t>
        </w:r>
        <w:r w:rsidR="004617F9" w:rsidRPr="004617F9">
          <w:rPr>
            <w:b w:val="0"/>
            <w:noProof/>
            <w:webHidden/>
            <w:sz w:val="24"/>
            <w:szCs w:val="24"/>
          </w:rPr>
          <w:tab/>
        </w:r>
        <w:r w:rsidR="004617F9" w:rsidRPr="004617F9">
          <w:rPr>
            <w:b w:val="0"/>
            <w:noProof/>
            <w:webHidden/>
            <w:sz w:val="24"/>
            <w:szCs w:val="24"/>
          </w:rPr>
          <w:fldChar w:fldCharType="begin"/>
        </w:r>
        <w:r w:rsidR="004617F9" w:rsidRPr="004617F9">
          <w:rPr>
            <w:b w:val="0"/>
            <w:noProof/>
            <w:webHidden/>
            <w:sz w:val="24"/>
            <w:szCs w:val="24"/>
          </w:rPr>
          <w:instrText xml:space="preserve"> PAGEREF _Toc21629870 \h </w:instrText>
        </w:r>
        <w:r w:rsidR="004617F9" w:rsidRPr="004617F9">
          <w:rPr>
            <w:b w:val="0"/>
            <w:noProof/>
            <w:webHidden/>
            <w:sz w:val="24"/>
            <w:szCs w:val="24"/>
          </w:rPr>
        </w:r>
        <w:r w:rsidR="004617F9" w:rsidRPr="004617F9">
          <w:rPr>
            <w:b w:val="0"/>
            <w:noProof/>
            <w:webHidden/>
            <w:sz w:val="24"/>
            <w:szCs w:val="24"/>
          </w:rPr>
          <w:fldChar w:fldCharType="separate"/>
        </w:r>
        <w:r>
          <w:rPr>
            <w:b w:val="0"/>
            <w:noProof/>
            <w:webHidden/>
            <w:sz w:val="24"/>
            <w:szCs w:val="24"/>
          </w:rPr>
          <w:t>43</w:t>
        </w:r>
        <w:r w:rsidR="004617F9" w:rsidRPr="004617F9">
          <w:rPr>
            <w:b w:val="0"/>
            <w:noProof/>
            <w:webHidden/>
            <w:sz w:val="24"/>
            <w:szCs w:val="24"/>
          </w:rPr>
          <w:fldChar w:fldCharType="end"/>
        </w:r>
      </w:hyperlink>
    </w:p>
    <w:p w14:paraId="3DEEE502" w14:textId="448DCF4E" w:rsidR="004617F9" w:rsidRPr="004617F9" w:rsidRDefault="00C350DE" w:rsidP="004617F9">
      <w:pPr>
        <w:pStyle w:val="TableofFigures"/>
        <w:tabs>
          <w:tab w:val="right" w:leader="dot" w:pos="9350"/>
        </w:tabs>
        <w:spacing w:after="240" w:line="240" w:lineRule="auto"/>
        <w:rPr>
          <w:rFonts w:asciiTheme="minorHAnsi" w:hAnsiTheme="minorHAnsi"/>
          <w:b w:val="0"/>
          <w:noProof/>
          <w:sz w:val="24"/>
          <w:szCs w:val="24"/>
        </w:rPr>
      </w:pPr>
      <w:hyperlink w:anchor="_Toc21629871" w:history="1">
        <w:r w:rsidR="004617F9" w:rsidRPr="004617F9">
          <w:rPr>
            <w:rStyle w:val="Hyperlink"/>
            <w:rFonts w:cs="Times New Roman"/>
            <w:b w:val="0"/>
            <w:noProof/>
            <w:sz w:val="24"/>
            <w:szCs w:val="24"/>
          </w:rPr>
          <w:t>Table 4.1 List of experiments and their descriptions.</w:t>
        </w:r>
        <w:r w:rsidR="004617F9" w:rsidRPr="004617F9">
          <w:rPr>
            <w:b w:val="0"/>
            <w:noProof/>
            <w:webHidden/>
            <w:sz w:val="24"/>
            <w:szCs w:val="24"/>
          </w:rPr>
          <w:tab/>
        </w:r>
        <w:r w:rsidR="004617F9" w:rsidRPr="004617F9">
          <w:rPr>
            <w:b w:val="0"/>
            <w:noProof/>
            <w:webHidden/>
            <w:sz w:val="24"/>
            <w:szCs w:val="24"/>
          </w:rPr>
          <w:fldChar w:fldCharType="begin"/>
        </w:r>
        <w:r w:rsidR="004617F9" w:rsidRPr="004617F9">
          <w:rPr>
            <w:b w:val="0"/>
            <w:noProof/>
            <w:webHidden/>
            <w:sz w:val="24"/>
            <w:szCs w:val="24"/>
          </w:rPr>
          <w:instrText xml:space="preserve"> PAGEREF _Toc21629871 \h </w:instrText>
        </w:r>
        <w:r w:rsidR="004617F9" w:rsidRPr="004617F9">
          <w:rPr>
            <w:b w:val="0"/>
            <w:noProof/>
            <w:webHidden/>
            <w:sz w:val="24"/>
            <w:szCs w:val="24"/>
          </w:rPr>
        </w:r>
        <w:r w:rsidR="004617F9" w:rsidRPr="004617F9">
          <w:rPr>
            <w:b w:val="0"/>
            <w:noProof/>
            <w:webHidden/>
            <w:sz w:val="24"/>
            <w:szCs w:val="24"/>
          </w:rPr>
          <w:fldChar w:fldCharType="separate"/>
        </w:r>
        <w:r>
          <w:rPr>
            <w:b w:val="0"/>
            <w:noProof/>
            <w:webHidden/>
            <w:sz w:val="24"/>
            <w:szCs w:val="24"/>
          </w:rPr>
          <w:t>56</w:t>
        </w:r>
        <w:r w:rsidR="004617F9" w:rsidRPr="004617F9">
          <w:rPr>
            <w:b w:val="0"/>
            <w:noProof/>
            <w:webHidden/>
            <w:sz w:val="24"/>
            <w:szCs w:val="24"/>
          </w:rPr>
          <w:fldChar w:fldCharType="end"/>
        </w:r>
      </w:hyperlink>
    </w:p>
    <w:p w14:paraId="10D4413D" w14:textId="0ED20B72" w:rsidR="004617F9" w:rsidRPr="004617F9" w:rsidRDefault="00C350DE" w:rsidP="004617F9">
      <w:pPr>
        <w:pStyle w:val="TableofFigures"/>
        <w:tabs>
          <w:tab w:val="right" w:leader="dot" w:pos="9350"/>
        </w:tabs>
        <w:spacing w:after="240" w:line="240" w:lineRule="auto"/>
        <w:rPr>
          <w:rFonts w:asciiTheme="minorHAnsi" w:hAnsiTheme="minorHAnsi"/>
          <w:b w:val="0"/>
          <w:noProof/>
          <w:sz w:val="24"/>
          <w:szCs w:val="24"/>
        </w:rPr>
      </w:pPr>
      <w:hyperlink w:anchor="_Toc21629872" w:history="1">
        <w:r w:rsidR="004617F9" w:rsidRPr="004617F9">
          <w:rPr>
            <w:rStyle w:val="Hyperlink"/>
            <w:rFonts w:cs="Times New Roman"/>
            <w:b w:val="0"/>
            <w:noProof/>
            <w:sz w:val="24"/>
            <w:szCs w:val="24"/>
          </w:rPr>
          <w:t>Table 5.1 List of experiments and their descriptions.</w:t>
        </w:r>
        <w:r w:rsidR="004617F9" w:rsidRPr="004617F9">
          <w:rPr>
            <w:b w:val="0"/>
            <w:noProof/>
            <w:webHidden/>
            <w:sz w:val="24"/>
            <w:szCs w:val="24"/>
          </w:rPr>
          <w:tab/>
        </w:r>
        <w:r w:rsidR="004617F9" w:rsidRPr="004617F9">
          <w:rPr>
            <w:b w:val="0"/>
            <w:noProof/>
            <w:webHidden/>
            <w:sz w:val="24"/>
            <w:szCs w:val="24"/>
          </w:rPr>
          <w:fldChar w:fldCharType="begin"/>
        </w:r>
        <w:r w:rsidR="004617F9" w:rsidRPr="004617F9">
          <w:rPr>
            <w:b w:val="0"/>
            <w:noProof/>
            <w:webHidden/>
            <w:sz w:val="24"/>
            <w:szCs w:val="24"/>
          </w:rPr>
          <w:instrText xml:space="preserve"> PAGEREF _Toc21629872 \h </w:instrText>
        </w:r>
        <w:r w:rsidR="004617F9" w:rsidRPr="004617F9">
          <w:rPr>
            <w:b w:val="0"/>
            <w:noProof/>
            <w:webHidden/>
            <w:sz w:val="24"/>
            <w:szCs w:val="24"/>
          </w:rPr>
        </w:r>
        <w:r w:rsidR="004617F9" w:rsidRPr="004617F9">
          <w:rPr>
            <w:b w:val="0"/>
            <w:noProof/>
            <w:webHidden/>
            <w:sz w:val="24"/>
            <w:szCs w:val="24"/>
          </w:rPr>
          <w:fldChar w:fldCharType="separate"/>
        </w:r>
        <w:r>
          <w:rPr>
            <w:b w:val="0"/>
            <w:noProof/>
            <w:webHidden/>
            <w:sz w:val="24"/>
            <w:szCs w:val="24"/>
          </w:rPr>
          <w:t>89</w:t>
        </w:r>
        <w:r w:rsidR="004617F9" w:rsidRPr="004617F9">
          <w:rPr>
            <w:b w:val="0"/>
            <w:noProof/>
            <w:webHidden/>
            <w:sz w:val="24"/>
            <w:szCs w:val="24"/>
          </w:rPr>
          <w:fldChar w:fldCharType="end"/>
        </w:r>
      </w:hyperlink>
    </w:p>
    <w:p w14:paraId="39D78DE3" w14:textId="490DFAC5" w:rsidR="004617F9" w:rsidRPr="004617F9" w:rsidRDefault="00C350DE" w:rsidP="004617F9">
      <w:pPr>
        <w:pStyle w:val="TableofFigures"/>
        <w:tabs>
          <w:tab w:val="right" w:leader="dot" w:pos="9350"/>
        </w:tabs>
        <w:spacing w:after="240" w:line="240" w:lineRule="auto"/>
        <w:rPr>
          <w:rFonts w:asciiTheme="minorHAnsi" w:hAnsiTheme="minorHAnsi"/>
          <w:b w:val="0"/>
          <w:noProof/>
          <w:sz w:val="24"/>
          <w:szCs w:val="24"/>
        </w:rPr>
      </w:pPr>
      <w:hyperlink w:anchor="_Toc21629873" w:history="1">
        <w:r w:rsidR="004617F9" w:rsidRPr="004617F9">
          <w:rPr>
            <w:rStyle w:val="Hyperlink"/>
            <w:rFonts w:cs="Times New Roman"/>
            <w:b w:val="0"/>
            <w:noProof/>
            <w:sz w:val="24"/>
            <w:szCs w:val="24"/>
          </w:rPr>
          <w:t>Table 5.2 Correlation coefficients calculated against the 3D HRD radar composite for the 24-hour forecasted storm structure from each experiment.</w:t>
        </w:r>
        <w:r w:rsidR="004617F9" w:rsidRPr="004617F9">
          <w:rPr>
            <w:b w:val="0"/>
            <w:noProof/>
            <w:webHidden/>
            <w:sz w:val="24"/>
            <w:szCs w:val="24"/>
          </w:rPr>
          <w:tab/>
        </w:r>
        <w:r w:rsidR="004617F9" w:rsidRPr="004617F9">
          <w:rPr>
            <w:b w:val="0"/>
            <w:noProof/>
            <w:webHidden/>
            <w:sz w:val="24"/>
            <w:szCs w:val="24"/>
          </w:rPr>
          <w:fldChar w:fldCharType="begin"/>
        </w:r>
        <w:r w:rsidR="004617F9" w:rsidRPr="004617F9">
          <w:rPr>
            <w:b w:val="0"/>
            <w:noProof/>
            <w:webHidden/>
            <w:sz w:val="24"/>
            <w:szCs w:val="24"/>
          </w:rPr>
          <w:instrText xml:space="preserve"> PAGEREF _Toc21629873 \h </w:instrText>
        </w:r>
        <w:r w:rsidR="004617F9" w:rsidRPr="004617F9">
          <w:rPr>
            <w:b w:val="0"/>
            <w:noProof/>
            <w:webHidden/>
            <w:sz w:val="24"/>
            <w:szCs w:val="24"/>
          </w:rPr>
        </w:r>
        <w:r w:rsidR="004617F9" w:rsidRPr="004617F9">
          <w:rPr>
            <w:b w:val="0"/>
            <w:noProof/>
            <w:webHidden/>
            <w:sz w:val="24"/>
            <w:szCs w:val="24"/>
          </w:rPr>
          <w:fldChar w:fldCharType="separate"/>
        </w:r>
        <w:r>
          <w:rPr>
            <w:b w:val="0"/>
            <w:noProof/>
            <w:webHidden/>
            <w:sz w:val="24"/>
            <w:szCs w:val="24"/>
          </w:rPr>
          <w:t>111</w:t>
        </w:r>
        <w:r w:rsidR="004617F9" w:rsidRPr="004617F9">
          <w:rPr>
            <w:b w:val="0"/>
            <w:noProof/>
            <w:webHidden/>
            <w:sz w:val="24"/>
            <w:szCs w:val="24"/>
          </w:rPr>
          <w:fldChar w:fldCharType="end"/>
        </w:r>
      </w:hyperlink>
    </w:p>
    <w:p w14:paraId="3078D525" w14:textId="710AAB46" w:rsidR="00305E16" w:rsidRPr="00723DA9" w:rsidRDefault="004617F9" w:rsidP="004617F9">
      <w:pPr>
        <w:spacing w:after="0" w:line="480" w:lineRule="auto"/>
        <w:rPr>
          <w:rFonts w:ascii="Times New Roman" w:hAnsi="Times New Roman" w:cs="Times New Roman"/>
          <w:b/>
          <w:sz w:val="24"/>
          <w:szCs w:val="24"/>
        </w:rPr>
      </w:pPr>
      <w:r>
        <w:rPr>
          <w:rFonts w:ascii="Times New Roman" w:hAnsi="Times New Roman" w:cs="Times New Roman"/>
          <w:b/>
          <w:sz w:val="24"/>
          <w:szCs w:val="24"/>
        </w:rPr>
        <w:fldChar w:fldCharType="end"/>
      </w:r>
    </w:p>
    <w:p w14:paraId="7036B788" w14:textId="77777777" w:rsidR="00305E16" w:rsidRPr="00723DA9" w:rsidRDefault="00305E16" w:rsidP="00771F99">
      <w:pPr>
        <w:spacing w:after="0" w:line="480" w:lineRule="auto"/>
        <w:rPr>
          <w:rFonts w:ascii="Times New Roman" w:hAnsi="Times New Roman" w:cs="Times New Roman"/>
          <w:b/>
          <w:sz w:val="24"/>
          <w:szCs w:val="24"/>
        </w:rPr>
      </w:pPr>
      <w:r w:rsidRPr="00723DA9">
        <w:rPr>
          <w:rFonts w:ascii="Times New Roman" w:hAnsi="Times New Roman" w:cs="Times New Roman"/>
          <w:b/>
          <w:sz w:val="24"/>
          <w:szCs w:val="24"/>
        </w:rPr>
        <w:br w:type="page"/>
      </w:r>
    </w:p>
    <w:p w14:paraId="44B2A63F" w14:textId="77777777" w:rsidR="00823393" w:rsidRPr="00723DA9" w:rsidRDefault="00823393" w:rsidP="00771F99">
      <w:pPr>
        <w:spacing w:after="0" w:line="480" w:lineRule="auto"/>
        <w:rPr>
          <w:rFonts w:ascii="Times New Roman" w:hAnsi="Times New Roman" w:cs="Times New Roman"/>
          <w:b/>
          <w:sz w:val="24"/>
          <w:szCs w:val="24"/>
        </w:rPr>
      </w:pPr>
    </w:p>
    <w:p w14:paraId="2AB9FC42" w14:textId="3B6C04DD" w:rsidR="00823393" w:rsidRPr="00723DA9" w:rsidRDefault="00823393" w:rsidP="00771F99">
      <w:pPr>
        <w:pStyle w:val="Heading1"/>
        <w:spacing w:before="0" w:line="480" w:lineRule="auto"/>
        <w:rPr>
          <w:rFonts w:ascii="Times New Roman" w:hAnsi="Times New Roman" w:cs="Times New Roman"/>
          <w:b/>
          <w:color w:val="auto"/>
          <w:sz w:val="24"/>
          <w:szCs w:val="24"/>
        </w:rPr>
      </w:pPr>
      <w:bookmarkStart w:id="2" w:name="_Toc21623968"/>
      <w:r w:rsidRPr="00723DA9">
        <w:rPr>
          <w:rFonts w:ascii="Times New Roman" w:hAnsi="Times New Roman" w:cs="Times New Roman"/>
          <w:b/>
          <w:color w:val="auto"/>
          <w:sz w:val="24"/>
          <w:szCs w:val="24"/>
        </w:rPr>
        <w:t>List of Figures</w:t>
      </w:r>
      <w:bookmarkEnd w:id="2"/>
    </w:p>
    <w:p w14:paraId="6B05F6FE" w14:textId="771D94D7" w:rsidR="004C2DF6" w:rsidRPr="002069FE" w:rsidRDefault="00BA7295" w:rsidP="002069FE">
      <w:pPr>
        <w:pStyle w:val="TableofFigures"/>
        <w:tabs>
          <w:tab w:val="right" w:leader="dot" w:pos="9350"/>
        </w:tabs>
        <w:spacing w:after="240" w:line="240" w:lineRule="auto"/>
        <w:rPr>
          <w:rFonts w:cs="Times New Roman"/>
          <w:b w:val="0"/>
          <w:noProof/>
          <w:sz w:val="24"/>
          <w:szCs w:val="24"/>
        </w:rPr>
      </w:pPr>
      <w:r w:rsidRPr="002069FE">
        <w:rPr>
          <w:rFonts w:cs="Times New Roman"/>
          <w:b w:val="0"/>
          <w:sz w:val="24"/>
          <w:szCs w:val="24"/>
        </w:rPr>
        <w:fldChar w:fldCharType="begin"/>
      </w:r>
      <w:r w:rsidRPr="002069FE">
        <w:rPr>
          <w:rFonts w:cs="Times New Roman"/>
          <w:b w:val="0"/>
          <w:sz w:val="24"/>
          <w:szCs w:val="24"/>
        </w:rPr>
        <w:instrText xml:space="preserve"> TOC \h \z \c "Figure" </w:instrText>
      </w:r>
      <w:r w:rsidRPr="002069FE">
        <w:rPr>
          <w:rFonts w:cs="Times New Roman"/>
          <w:b w:val="0"/>
          <w:sz w:val="24"/>
          <w:szCs w:val="24"/>
        </w:rPr>
        <w:fldChar w:fldCharType="separate"/>
      </w:r>
      <w:hyperlink w:anchor="_Toc21624031" w:history="1">
        <w:r w:rsidR="004C2DF6" w:rsidRPr="002069FE">
          <w:rPr>
            <w:rStyle w:val="Hyperlink"/>
            <w:rFonts w:cs="Times New Roman"/>
            <w:b w:val="0"/>
            <w:noProof/>
            <w:sz w:val="24"/>
            <w:szCs w:val="24"/>
          </w:rPr>
          <w:t>Figure 2.1 Flow chart of GSI based EnKF-Variational hybrid data assimilation system for HWRF (adapted from Wang et al. 2013).</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_Toc21624031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sidR="00C350DE">
          <w:rPr>
            <w:rFonts w:cs="Times New Roman"/>
            <w:b w:val="0"/>
            <w:noProof/>
            <w:webHidden/>
            <w:sz w:val="24"/>
            <w:szCs w:val="24"/>
          </w:rPr>
          <w:t>8</w:t>
        </w:r>
        <w:r w:rsidR="004C2DF6" w:rsidRPr="002069FE">
          <w:rPr>
            <w:rFonts w:cs="Times New Roman"/>
            <w:b w:val="0"/>
            <w:noProof/>
            <w:webHidden/>
            <w:sz w:val="24"/>
            <w:szCs w:val="24"/>
          </w:rPr>
          <w:fldChar w:fldCharType="end"/>
        </w:r>
      </w:hyperlink>
    </w:p>
    <w:p w14:paraId="5EE16FF9" w14:textId="755C822C"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2" w:history="1">
        <w:r w:rsidR="004C2DF6" w:rsidRPr="002069FE">
          <w:rPr>
            <w:rStyle w:val="Hyperlink"/>
            <w:rFonts w:cs="Times New Roman"/>
            <w:b w:val="0"/>
            <w:noProof/>
            <w:sz w:val="24"/>
            <w:szCs w:val="24"/>
          </w:rPr>
          <w:t>Figure 2.2 Sea-level pressure field at (a) +00:00, (b) +03:00, (c) +06:00 for the original HWRF moving strategy (dashed contour with thin box) and the directed moving strategy (solid contour with thick box) for ensemble member #1 (red &amp; orange) and #2 (blue &amp; cyan). Note that large areas of solid and dashed contours are overlain and indistinguishable due to the almost identical forecast fields.</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_Toc21624032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13</w:t>
        </w:r>
        <w:r w:rsidR="004C2DF6" w:rsidRPr="002069FE">
          <w:rPr>
            <w:rFonts w:cs="Times New Roman"/>
            <w:b w:val="0"/>
            <w:noProof/>
            <w:webHidden/>
            <w:sz w:val="24"/>
            <w:szCs w:val="24"/>
          </w:rPr>
          <w:fldChar w:fldCharType="end"/>
        </w:r>
      </w:hyperlink>
    </w:p>
    <w:p w14:paraId="09918D7C" w14:textId="452E1D7F"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3" w:history="1">
        <w:r w:rsidR="004C2DF6" w:rsidRPr="002069FE">
          <w:rPr>
            <w:rStyle w:val="Hyperlink"/>
            <w:rFonts w:cs="Times New Roman"/>
            <w:b w:val="0"/>
            <w:noProof/>
            <w:sz w:val="24"/>
            <w:szCs w:val="24"/>
          </w:rPr>
          <w:t>Figure 3.1 Domain configuration example for hurricane Edouard.</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_Toc21624033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22</w:t>
        </w:r>
        <w:r w:rsidR="004C2DF6" w:rsidRPr="002069FE">
          <w:rPr>
            <w:rFonts w:cs="Times New Roman"/>
            <w:b w:val="0"/>
            <w:noProof/>
            <w:webHidden/>
            <w:sz w:val="24"/>
            <w:szCs w:val="24"/>
          </w:rPr>
          <w:fldChar w:fldCharType="end"/>
        </w:r>
      </w:hyperlink>
    </w:p>
    <w:p w14:paraId="2FED8259" w14:textId="3337AE8F"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4" w:history="1">
        <w:r w:rsidR="004C2DF6" w:rsidRPr="002069FE">
          <w:rPr>
            <w:rStyle w:val="Hyperlink"/>
            <w:rFonts w:cs="Times New Roman"/>
            <w:b w:val="0"/>
            <w:noProof/>
            <w:sz w:val="24"/>
            <w:szCs w:val="24"/>
          </w:rPr>
          <w:t>Figure 3.2 Wind (shading and vectors) and pressure (contours) at 1km height for (a) HRD radar wind composite, (b) 3DEV analysis, (c) 3DEV-9kmS analysis, (d) 3DEV-NVRM analysis, and (e) 3DEV-NEVR analysis for the second TDR mission valid at 1800 UTC 15 September 2014.  Black dot is the best track position from NHC. Red line denotes the corresponding cross-sections to be presented in Figure 3.3.</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_Toc21624034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27</w:t>
        </w:r>
        <w:r w:rsidR="004C2DF6" w:rsidRPr="002069FE">
          <w:rPr>
            <w:rFonts w:cs="Times New Roman"/>
            <w:b w:val="0"/>
            <w:noProof/>
            <w:webHidden/>
            <w:sz w:val="24"/>
            <w:szCs w:val="24"/>
          </w:rPr>
          <w:fldChar w:fldCharType="end"/>
        </w:r>
      </w:hyperlink>
    </w:p>
    <w:p w14:paraId="45AE61EE" w14:textId="301A4E48"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5" w:history="1">
        <w:r w:rsidR="004C2DF6" w:rsidRPr="002069FE">
          <w:rPr>
            <w:rStyle w:val="Hyperlink"/>
            <w:rFonts w:cs="Times New Roman"/>
            <w:b w:val="0"/>
            <w:noProof/>
            <w:sz w:val="24"/>
            <w:szCs w:val="24"/>
          </w:rPr>
          <w:t>Figure 3.3 Wind speed (shading), potential temperature (black contours) and relative humidity (white contours) analysis of the south to north vertical section for (a) HRD radar wind analysis,  (b) 3DEV, (c) 3DEV-9kmS, (d) 3DEV-NVRM, and (e) 3DEV-NEVR for the second TDR mission valid at 1800 UTC 15 September 2014. The values in Fig. 5b-e are the spatial correlation coefficients between the analyzed three-dimensional wind speed field and the HRD radar wind composite.</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_Toc21624035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28</w:t>
        </w:r>
        <w:r w:rsidR="004C2DF6" w:rsidRPr="002069FE">
          <w:rPr>
            <w:rFonts w:cs="Times New Roman"/>
            <w:b w:val="0"/>
            <w:noProof/>
            <w:webHidden/>
            <w:sz w:val="24"/>
            <w:szCs w:val="24"/>
          </w:rPr>
          <w:fldChar w:fldCharType="end"/>
        </w:r>
      </w:hyperlink>
    </w:p>
    <w:p w14:paraId="4DEFB9E2" w14:textId="56190A3D"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6" w:history="1">
        <w:r w:rsidR="004C2DF6" w:rsidRPr="002069FE">
          <w:rPr>
            <w:rStyle w:val="Hyperlink"/>
            <w:rFonts w:cs="Times New Roman"/>
            <w:b w:val="0"/>
            <w:noProof/>
            <w:sz w:val="24"/>
            <w:szCs w:val="24"/>
          </w:rPr>
          <w:t>Figure 3.4 (a) Mean absolute track forecast error, (b) mean absolute RMW forecast error, (c) mean absolute MSLP forecast error and (d) mean absolute 10m Vmax forecast error for 32 missions of Edouard 2014 for 3DEV (turquoise), 3DEV-9kmS (green), 3DEV-NVRM (yellow) and 3DEV-NEVR (purple). The corresponding MSLP and Vmax forecast error bias, or mean error, are also given in (e) and (f). The green, yellow and purple histograms below (a), (b), (c) and (d) are the bootstrap significance levels where 3DEV is statistically different from 3DEV-9kmS (A: “3DEV” minus B: “3DEV-9kmS”), 3DEV-NVRM (A: “3DEV” minus B: “3DEV-NVRM”) and 3DEV-NEVR (A: “3DEV” minus B: “3DEV-NEVR”), respectively. The black histograms denote the bootstrap significance levels where 3DEV-NEVR is statistically different from 3DEV-NVRM (A: “3DEV-NEVR” minus B: “3DEV-NVRM”). The significance levels of 80% (solid) and 20% (dotted) for each pair are given as red lines in the histograms to indicate where A is significantly better or worse than B, respectively. The significance levels between 20% and 80% indicate that there is no statistically significant difference between A and B. The significance level of 50% is also shown with red dashed lines to indicate if A is better (&gt;50%) or worse (&lt;50%) than B. The numbers in the brackets under x-axis are the number of cases at each lead time.</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_Toc21624036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30</w:t>
        </w:r>
        <w:r w:rsidR="004C2DF6" w:rsidRPr="002069FE">
          <w:rPr>
            <w:rFonts w:cs="Times New Roman"/>
            <w:b w:val="0"/>
            <w:noProof/>
            <w:webHidden/>
            <w:sz w:val="24"/>
            <w:szCs w:val="24"/>
          </w:rPr>
          <w:fldChar w:fldCharType="end"/>
        </w:r>
      </w:hyperlink>
    </w:p>
    <w:p w14:paraId="00BAE574" w14:textId="4601C10C"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7" w:history="1">
        <w:r w:rsidR="004C2DF6" w:rsidRPr="002069FE">
          <w:rPr>
            <w:rStyle w:val="Hyperlink"/>
            <w:rFonts w:cs="Times New Roman"/>
            <w:b w:val="0"/>
            <w:noProof/>
            <w:sz w:val="24"/>
            <w:szCs w:val="24"/>
          </w:rPr>
          <w:t xml:space="preserve">Figure 3.5 Horizontal plots of (a~c) wind (shading and vectors) and pressure (contours) at 1km height as well as west to east cross-sections of (d~f) wind speed (shading), potential temperature </w:t>
        </w:r>
        <w:r w:rsidR="004C2DF6" w:rsidRPr="002069FE">
          <w:rPr>
            <w:rStyle w:val="Hyperlink"/>
            <w:rFonts w:cs="Times New Roman"/>
            <w:b w:val="0"/>
            <w:noProof/>
            <w:sz w:val="24"/>
            <w:szCs w:val="24"/>
          </w:rPr>
          <w:lastRenderedPageBreak/>
          <w:t xml:space="preserve">(black contours) and relative humidity (white contours) for the HRD radar wind composite (first column), 3DEV (second column), and 4DEVTR (third column) for the fourth TDR-involved cycle valid at 1200 UTC 17 September 2014.  The west to east vertical cross-sections in (d~f) are denoted by the corresponding red lines in (a~c).  The blue line in (a~c) denotes the flight track when TDR data was available between </w:t>
        </w:r>
        <w:r w:rsidR="004C2DF6" w:rsidRPr="002069FE">
          <w:rPr>
            <w:rStyle w:val="Hyperlink"/>
            <w:rFonts w:eastAsia="宋体" w:cs="Times New Roman"/>
            <w:b w:val="0"/>
            <w:noProof/>
            <w:sz w:val="24"/>
            <w:szCs w:val="24"/>
          </w:rPr>
          <w:t xml:space="preserve">1258-1417 UTC, and the turquoise line in (a) denotes the flight track when TDR data is available between 1617-1708 UTC. Due to the data distribution, the HRD radar composite is valid at 1500 UTC 17 </w:t>
        </w:r>
        <w:r w:rsidR="004C2DF6" w:rsidRPr="002069FE">
          <w:rPr>
            <w:rStyle w:val="Hyperlink"/>
            <w:rFonts w:cs="Times New Roman"/>
            <w:b w:val="0"/>
            <w:noProof/>
            <w:sz w:val="24"/>
            <w:szCs w:val="24"/>
          </w:rPr>
          <w:t>September 2014.</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_Toc21624037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35</w:t>
        </w:r>
        <w:r w:rsidR="004C2DF6" w:rsidRPr="002069FE">
          <w:rPr>
            <w:rFonts w:cs="Times New Roman"/>
            <w:b w:val="0"/>
            <w:noProof/>
            <w:webHidden/>
            <w:sz w:val="24"/>
            <w:szCs w:val="24"/>
          </w:rPr>
          <w:fldChar w:fldCharType="end"/>
        </w:r>
      </w:hyperlink>
    </w:p>
    <w:p w14:paraId="1D013828" w14:textId="5B9827D7"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8" w:history="1">
        <w:r w:rsidR="004C2DF6" w:rsidRPr="002069FE">
          <w:rPr>
            <w:rStyle w:val="Hyperlink"/>
            <w:rFonts w:cs="Times New Roman"/>
            <w:b w:val="0"/>
            <w:noProof/>
            <w:sz w:val="24"/>
            <w:szCs w:val="24"/>
          </w:rPr>
          <w:t>Figure 3.6 As in Figure 3.4 but for 3DEV (turquoise), 4DEVTR (blue) and the operational HWRF (red).  The orange histograms below (a), (b), (c) and (d) are the bootstrap significance levels where 3DEV is statistically different from the operational HWRF (A: "3DEV” minus B: “Oper.HWRF”).  The red and blue histograms denote the bootstrap significance levels where 4DEVTR is statistically different from the operational HWRF (A: "4DEVTR” minus B: “Oper.HWRF”) and 3DEV (A: "4DEVTR” minus B: “3DEV”).</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_Toc21624038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38</w:t>
        </w:r>
        <w:r w:rsidR="004C2DF6" w:rsidRPr="002069FE">
          <w:rPr>
            <w:rFonts w:cs="Times New Roman"/>
            <w:b w:val="0"/>
            <w:noProof/>
            <w:webHidden/>
            <w:sz w:val="24"/>
            <w:szCs w:val="24"/>
          </w:rPr>
          <w:fldChar w:fldCharType="end"/>
        </w:r>
      </w:hyperlink>
    </w:p>
    <w:p w14:paraId="52D42608" w14:textId="040459D5"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39" w:history="1">
        <w:r w:rsidR="004C2DF6" w:rsidRPr="002069FE">
          <w:rPr>
            <w:rStyle w:val="Hyperlink"/>
            <w:rFonts w:cs="Times New Roman"/>
            <w:b w:val="0"/>
            <w:noProof/>
            <w:sz w:val="24"/>
            <w:szCs w:val="24"/>
          </w:rPr>
          <w:t>Figure 3.7 (a) MSLP and (b) Vmax forecasts for all missions during Edouard for the operational HWRF (red), 4DEVTR (blue) and best track (black).  The dashed lines denote the forecasts initialized from each DA cycle and the solid lines denote the multi-forecast average valid at the same time.  The (c) MSLP and (d) Vmax forecast error bias during the intensifying period (Vmax change &gt; 20kt 24h</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between 1200 UTC 13 September 2014 to 0600 UTC 15 September 2014 are given. The (e), (g) MSLP and (f), (h) Vmax forecast for 10</w:t>
        </w:r>
        <w:r w:rsidR="004C2DF6" w:rsidRPr="002069FE">
          <w:rPr>
            <w:rStyle w:val="Hyperlink"/>
            <w:rFonts w:cs="Times New Roman"/>
            <w:b w:val="0"/>
            <w:noProof/>
            <w:sz w:val="24"/>
            <w:szCs w:val="24"/>
            <w:vertAlign w:val="superscript"/>
          </w:rPr>
          <w:t>th</w:t>
        </w:r>
        <w:r w:rsidR="004C2DF6" w:rsidRPr="002069FE">
          <w:rPr>
            <w:rStyle w:val="Hyperlink"/>
            <w:rFonts w:cs="Times New Roman"/>
            <w:b w:val="0"/>
            <w:noProof/>
            <w:sz w:val="24"/>
            <w:szCs w:val="24"/>
          </w:rPr>
          <w:t xml:space="preserve"> cycle at 0000 UTC (third row) and 11</w:t>
        </w:r>
        <w:r w:rsidR="004C2DF6" w:rsidRPr="002069FE">
          <w:rPr>
            <w:rStyle w:val="Hyperlink"/>
            <w:rFonts w:cs="Times New Roman"/>
            <w:b w:val="0"/>
            <w:noProof/>
            <w:sz w:val="24"/>
            <w:szCs w:val="24"/>
            <w:vertAlign w:val="superscript"/>
          </w:rPr>
          <w:t>th</w:t>
        </w:r>
        <w:r w:rsidR="004C2DF6" w:rsidRPr="002069FE">
          <w:rPr>
            <w:rStyle w:val="Hyperlink"/>
            <w:rFonts w:cs="Times New Roman"/>
            <w:b w:val="0"/>
            <w:noProof/>
            <w:sz w:val="24"/>
            <w:szCs w:val="24"/>
          </w:rPr>
          <w:t xml:space="preserve"> cycle at 0600 UTC (fourth row) 14 September 2014 are also given.</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_Toc21624039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40</w:t>
        </w:r>
        <w:r w:rsidR="004C2DF6" w:rsidRPr="002069FE">
          <w:rPr>
            <w:rFonts w:cs="Times New Roman"/>
            <w:b w:val="0"/>
            <w:noProof/>
            <w:webHidden/>
            <w:sz w:val="24"/>
            <w:szCs w:val="24"/>
          </w:rPr>
          <w:fldChar w:fldCharType="end"/>
        </w:r>
      </w:hyperlink>
    </w:p>
    <w:p w14:paraId="2FC3DB89" w14:textId="5B5B083C"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0" w:history="1">
        <w:r w:rsidR="004C2DF6" w:rsidRPr="002069FE">
          <w:rPr>
            <w:rStyle w:val="Hyperlink"/>
            <w:rFonts w:cs="Times New Roman"/>
            <w:b w:val="0"/>
            <w:noProof/>
            <w:sz w:val="24"/>
            <w:szCs w:val="24"/>
          </w:rPr>
          <w:t xml:space="preserve">Figure 3.8 Mean azimuth mean inertial stability (shading; </w:t>
        </w:r>
        <m:oMath>
          <m:sSup>
            <m:sSupPr>
              <m:ctrlPr>
                <w:rPr>
                  <w:rStyle w:val="Hyperlink"/>
                  <w:rFonts w:ascii="Cambria Math" w:hAnsi="Cambria Math" w:cs="Times New Roman"/>
                  <w:b w:val="0"/>
                  <w:bCs/>
                  <w:i/>
                  <w:noProof/>
                  <w:sz w:val="24"/>
                  <w:szCs w:val="24"/>
                </w:rPr>
              </m:ctrlPr>
            </m:sSupPr>
            <m:e>
              <m:r>
                <m:rPr>
                  <m:sty m:val="bi"/>
                </m:rPr>
                <w:rPr>
                  <w:rStyle w:val="Hyperlink"/>
                  <w:rFonts w:ascii="Cambria Math" w:hAnsi="Cambria Math" w:cs="Times New Roman"/>
                  <w:noProof/>
                  <w:sz w:val="24"/>
                  <w:szCs w:val="24"/>
                </w:rPr>
                <m:t>10</m:t>
              </m:r>
            </m:e>
            <m:sup>
              <m:r>
                <m:rPr>
                  <m:sty m:val="bi"/>
                </m:rPr>
                <w:rPr>
                  <w:rStyle w:val="Hyperlink"/>
                  <w:rFonts w:ascii="Cambria Math" w:hAnsi="Cambria Math" w:cs="Times New Roman"/>
                  <w:noProof/>
                  <w:sz w:val="24"/>
                  <w:szCs w:val="24"/>
                </w:rPr>
                <m:t>-6</m:t>
              </m:r>
            </m:sup>
          </m:sSup>
          <m:sSup>
            <m:sSupPr>
              <m:ctrlPr>
                <w:rPr>
                  <w:rStyle w:val="Hyperlink"/>
                  <w:rFonts w:ascii="Cambria Math" w:hAnsi="Cambria Math" w:cs="Times New Roman"/>
                  <w:b w:val="0"/>
                  <w:bCs/>
                  <w:i/>
                  <w:noProof/>
                  <w:sz w:val="24"/>
                  <w:szCs w:val="24"/>
                </w:rPr>
              </m:ctrlPr>
            </m:sSupPr>
            <m:e>
              <m:r>
                <m:rPr>
                  <m:sty m:val="bi"/>
                </m:rPr>
                <w:rPr>
                  <w:rStyle w:val="Hyperlink"/>
                  <w:rFonts w:ascii="Cambria Math" w:hAnsi="Cambria Math" w:cs="Times New Roman"/>
                  <w:noProof/>
                  <w:sz w:val="24"/>
                  <w:szCs w:val="24"/>
                </w:rPr>
                <m:t>s</m:t>
              </m:r>
            </m:e>
            <m:sup>
              <m:r>
                <m:rPr>
                  <m:sty m:val="bi"/>
                </m:rPr>
                <w:rPr>
                  <w:rStyle w:val="Hyperlink"/>
                  <w:rFonts w:ascii="Cambria Math" w:hAnsi="Cambria Math" w:cs="Times New Roman"/>
                  <w:noProof/>
                  <w:sz w:val="24"/>
                  <w:szCs w:val="24"/>
                </w:rPr>
                <m:t>-2</m:t>
              </m:r>
            </m:sup>
          </m:sSup>
        </m:oMath>
        <w:r w:rsidR="004C2DF6" w:rsidRPr="002069FE">
          <w:rPr>
            <w:rStyle w:val="Hyperlink"/>
            <w:rFonts w:cs="Times New Roman"/>
            <w:b w:val="0"/>
            <w:noProof/>
            <w:sz w:val="24"/>
            <w:szCs w:val="24"/>
          </w:rPr>
          <w:t xml:space="preserve">), radial wind (purple contours; dashed for inflow, solid for outflow; </w:t>
        </w:r>
        <m:oMath>
          <m:sSup>
            <m:sSupPr>
              <m:ctrlPr>
                <w:rPr>
                  <w:rStyle w:val="Hyperlink"/>
                  <w:rFonts w:ascii="Cambria Math" w:hAnsi="Cambria Math" w:cs="Times New Roman"/>
                  <w:b w:val="0"/>
                  <w:bCs/>
                  <w:i/>
                  <w:noProof/>
                  <w:sz w:val="24"/>
                  <w:szCs w:val="24"/>
                </w:rPr>
              </m:ctrlPr>
            </m:sSupPr>
            <m:e>
              <m:r>
                <m:rPr>
                  <m:sty m:val="bi"/>
                </m:rPr>
                <w:rPr>
                  <w:rStyle w:val="Hyperlink"/>
                  <w:rFonts w:ascii="Cambria Math" w:hAnsi="Cambria Math" w:cs="Times New Roman" w:hint="eastAsia"/>
                  <w:noProof/>
                  <w:sz w:val="24"/>
                  <w:szCs w:val="24"/>
                </w:rPr>
                <m:t>ms</m:t>
              </m:r>
            </m:e>
            <m:sup>
              <m:r>
                <m:rPr>
                  <m:sty m:val="bi"/>
                </m:rPr>
                <w:rPr>
                  <w:rStyle w:val="Hyperlink"/>
                  <w:rFonts w:ascii="Cambria Math" w:eastAsia="微软雅黑" w:hAnsi="Cambria Math" w:cs="微软雅黑" w:hint="eastAsia"/>
                  <w:noProof/>
                  <w:sz w:val="24"/>
                  <w:szCs w:val="24"/>
                </w:rPr>
                <m:t>-</m:t>
              </m:r>
              <m:r>
                <m:rPr>
                  <m:sty m:val="bi"/>
                </m:rPr>
                <w:rPr>
                  <w:rStyle w:val="Hyperlink"/>
                  <w:rFonts w:ascii="Cambria Math" w:hAnsi="Cambria Math" w:cs="Times New Roman" w:hint="eastAsia"/>
                  <w:noProof/>
                  <w:sz w:val="24"/>
                  <w:szCs w:val="24"/>
                </w:rPr>
                <m:t>1</m:t>
              </m:r>
            </m:sup>
          </m:sSup>
        </m:oMath>
        <w:r w:rsidR="004C2DF6" w:rsidRPr="002069FE">
          <w:rPr>
            <w:rStyle w:val="Hyperlink"/>
            <w:rFonts w:cs="Times New Roman"/>
            <w:b w:val="0"/>
            <w:noProof/>
            <w:sz w:val="24"/>
            <w:szCs w:val="24"/>
          </w:rPr>
          <w:t>) and tangential wind (black contours;</w:t>
        </w:r>
        <m:oMath>
          <m:r>
            <m:rPr>
              <m:sty m:val="bi"/>
            </m:rPr>
            <w:rPr>
              <w:rStyle w:val="Hyperlink"/>
              <w:rFonts w:ascii="Cambria Math" w:hAnsi="Cambria Math" w:cs="Times New Roman"/>
              <w:noProof/>
              <w:sz w:val="24"/>
              <w:szCs w:val="24"/>
            </w:rPr>
            <m:t xml:space="preserve"> </m:t>
          </m:r>
          <m:sSup>
            <m:sSupPr>
              <m:ctrlPr>
                <w:rPr>
                  <w:rStyle w:val="Hyperlink"/>
                  <w:rFonts w:ascii="Cambria Math" w:hAnsi="Cambria Math" w:cs="Times New Roman"/>
                  <w:b w:val="0"/>
                  <w:bCs/>
                  <w:i/>
                  <w:noProof/>
                  <w:sz w:val="24"/>
                  <w:szCs w:val="24"/>
                </w:rPr>
              </m:ctrlPr>
            </m:sSupPr>
            <m:e>
              <m:r>
                <m:rPr>
                  <m:sty m:val="bi"/>
                </m:rPr>
                <w:rPr>
                  <w:rStyle w:val="Hyperlink"/>
                  <w:rFonts w:ascii="Cambria Math" w:hAnsi="Cambria Math" w:cs="Times New Roman" w:hint="eastAsia"/>
                  <w:noProof/>
                  <w:sz w:val="24"/>
                  <w:szCs w:val="24"/>
                </w:rPr>
                <m:t>ms</m:t>
              </m:r>
            </m:e>
            <m:sup>
              <m:r>
                <m:rPr>
                  <m:sty m:val="bi"/>
                </m:rPr>
                <w:rPr>
                  <w:rStyle w:val="Hyperlink"/>
                  <w:rFonts w:ascii="Cambria Math" w:eastAsia="微软雅黑" w:hAnsi="Cambria Math" w:cs="微软雅黑" w:hint="eastAsia"/>
                  <w:noProof/>
                  <w:sz w:val="24"/>
                  <w:szCs w:val="24"/>
                </w:rPr>
                <m:t>-</m:t>
              </m:r>
              <m:r>
                <m:rPr>
                  <m:sty m:val="bi"/>
                </m:rPr>
                <w:rPr>
                  <w:rStyle w:val="Hyperlink"/>
                  <w:rFonts w:ascii="Cambria Math" w:hAnsi="Cambria Math" w:cs="Times New Roman" w:hint="eastAsia"/>
                  <w:noProof/>
                  <w:sz w:val="24"/>
                  <w:szCs w:val="24"/>
                </w:rPr>
                <m:t>1</m:t>
              </m:r>
            </m:sup>
          </m:sSup>
        </m:oMath>
        <w:r w:rsidR="004C2DF6" w:rsidRPr="002069FE">
          <w:rPr>
            <w:rStyle w:val="Hyperlink"/>
            <w:rFonts w:cs="Times New Roman"/>
            <w:b w:val="0"/>
            <w:noProof/>
            <w:sz w:val="24"/>
            <w:szCs w:val="24"/>
          </w:rPr>
          <w:t>) averaged over intensifying period (8 cycles in total from 1200 UTC 13 September 2014 to 0600 UTC 15 September 2014) for 4DEVTR (first row) and the Operational HWRF (second row) and valid at 00h (first column), 06h (second column), and 12h (third column).</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_Toc21624040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42</w:t>
        </w:r>
        <w:r w:rsidR="004C2DF6" w:rsidRPr="002069FE">
          <w:rPr>
            <w:rFonts w:cs="Times New Roman"/>
            <w:b w:val="0"/>
            <w:noProof/>
            <w:webHidden/>
            <w:sz w:val="24"/>
            <w:szCs w:val="24"/>
          </w:rPr>
          <w:fldChar w:fldCharType="end"/>
        </w:r>
      </w:hyperlink>
    </w:p>
    <w:p w14:paraId="07C9D1AB" w14:textId="16DB67D7"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1" w:history="1">
        <w:r w:rsidR="004C2DF6" w:rsidRPr="002069FE">
          <w:rPr>
            <w:rStyle w:val="Hyperlink"/>
            <w:rFonts w:cs="Times New Roman"/>
            <w:b w:val="0"/>
            <w:noProof/>
            <w:sz w:val="24"/>
            <w:szCs w:val="24"/>
          </w:rPr>
          <w:t>Figure 4.1 An example of the normalized vertical diffusivity profile for the original HWRF (blue) and modified turbulent mixing (red) PBL parameterization scheme.  These profiles are for the eyewall.</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_Toc21624041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52</w:t>
        </w:r>
        <w:r w:rsidR="004C2DF6" w:rsidRPr="002069FE">
          <w:rPr>
            <w:rFonts w:cs="Times New Roman"/>
            <w:b w:val="0"/>
            <w:noProof/>
            <w:webHidden/>
            <w:sz w:val="24"/>
            <w:szCs w:val="24"/>
          </w:rPr>
          <w:fldChar w:fldCharType="end"/>
        </w:r>
      </w:hyperlink>
    </w:p>
    <w:p w14:paraId="647D37C1" w14:textId="6B3DE874"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2" w:history="1">
        <w:r w:rsidR="004C2DF6" w:rsidRPr="002069FE">
          <w:rPr>
            <w:rStyle w:val="Hyperlink"/>
            <w:rFonts w:cs="Times New Roman"/>
            <w:b w:val="0"/>
            <w:noProof/>
            <w:sz w:val="24"/>
            <w:szCs w:val="24"/>
          </w:rPr>
          <w:t>Figure 4.2 Flowchart of the GSI-based EnVar hybrid DA system for HWRF [adapted and upgraded from Fig. 2.1]. VI is a combination of VM and VR.</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_Toc21624042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54</w:t>
        </w:r>
        <w:r w:rsidR="004C2DF6" w:rsidRPr="002069FE">
          <w:rPr>
            <w:rFonts w:cs="Times New Roman"/>
            <w:b w:val="0"/>
            <w:noProof/>
            <w:webHidden/>
            <w:sz w:val="24"/>
            <w:szCs w:val="24"/>
          </w:rPr>
          <w:fldChar w:fldCharType="end"/>
        </w:r>
      </w:hyperlink>
    </w:p>
    <w:p w14:paraId="32D0CE84" w14:textId="76C3CD06"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3" w:history="1">
        <w:r w:rsidR="004C2DF6" w:rsidRPr="002069FE">
          <w:rPr>
            <w:rStyle w:val="Hyperlink"/>
            <w:rFonts w:cs="Times New Roman"/>
            <w:b w:val="0"/>
            <w:noProof/>
            <w:sz w:val="24"/>
            <w:szCs w:val="24"/>
          </w:rPr>
          <w:t>Figure 4.3 (a)~(f) Wind (shading and vectors, ms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and pressure (contours, hPa) at 10-m height for (a) SFMR observations, (b) NoDA analysis, (c) VM analysis, (d) DA analysis, (e) DA-HD analysis and (f) DA-HDVD analysis for the third TCI mission valid at 1800 UTC, 22 Oct 2015. The black dot is the best track position from NHC. (g)~(l) is the corresponding wind (shading and vectors) at 3-km height for (g) HRD radar composite, (h) NoDA analysis, (i) VM analysis, (j) DA analysis, (k) DA-HD analysis and (l) DA-HDVD analysis.  Note, the SFMR and HRD radar composite are centered around 1739 UTC, 22 Oct 2015.  There are no wind vectors in (a) SFMR observations and there are no pressure contours in both (a) SFMR and (g) TDR observations.</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_Toc21624043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61</w:t>
        </w:r>
        <w:r w:rsidR="004C2DF6" w:rsidRPr="002069FE">
          <w:rPr>
            <w:rFonts w:cs="Times New Roman"/>
            <w:b w:val="0"/>
            <w:noProof/>
            <w:webHidden/>
            <w:sz w:val="24"/>
            <w:szCs w:val="24"/>
          </w:rPr>
          <w:fldChar w:fldCharType="end"/>
        </w:r>
      </w:hyperlink>
    </w:p>
    <w:p w14:paraId="0F8F6AE8" w14:textId="3FD42AC3"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4" w:history="1">
        <w:r w:rsidR="004C2DF6" w:rsidRPr="002069FE">
          <w:rPr>
            <w:rStyle w:val="Hyperlink"/>
            <w:rFonts w:cs="Times New Roman"/>
            <w:b w:val="0"/>
            <w:noProof/>
            <w:sz w:val="24"/>
            <w:szCs w:val="24"/>
          </w:rPr>
          <w:t>Figure 4.4 Radius-height cross-section of the isopleths of the azimuthal mean NRF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xml:space="preserve">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for (a), (d) NoDA, (b), (e) VM and (c), (f) DA analysis at 1800 UTC 22 Oct 2015. (a)~(c) is a zoom-in plot for (d)~(f) below 700 hPa and within 90 km radii.  The sum of Centrifugal Force and Coriolis Force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xml:space="preserve">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at 1-km height are also given for (g) NoDA, (h) VM, (i) DA, and (j) HRD radar composite.</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_Toc21624044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63</w:t>
        </w:r>
        <w:r w:rsidR="004C2DF6" w:rsidRPr="002069FE">
          <w:rPr>
            <w:rFonts w:cs="Times New Roman"/>
            <w:b w:val="0"/>
            <w:noProof/>
            <w:webHidden/>
            <w:sz w:val="24"/>
            <w:szCs w:val="24"/>
          </w:rPr>
          <w:fldChar w:fldCharType="end"/>
        </w:r>
      </w:hyperlink>
    </w:p>
    <w:p w14:paraId="0C050EAA" w14:textId="4C7C225C"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5" w:history="1">
        <w:r w:rsidR="004C2DF6" w:rsidRPr="002069FE">
          <w:rPr>
            <w:rStyle w:val="Hyperlink"/>
            <w:rFonts w:cs="Times New Roman"/>
            <w:b w:val="0"/>
            <w:noProof/>
            <w:sz w:val="24"/>
            <w:szCs w:val="24"/>
          </w:rPr>
          <w:t>Figure 4.5 (a) 10-m Vmax forecast, (b) MSLP forecast, (c) track forecast and (d) track forecast error for NoDA (dotted navy), VM (dashed blue), DA (solid cyan) and best track (solid black) during Patricia initialized from 1800 UTC 22 Oct 2015. The numbers in (c) indicates the corresponding forecast lead time for each track forecast.</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_Toc21624045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65</w:t>
        </w:r>
        <w:r w:rsidR="004C2DF6" w:rsidRPr="002069FE">
          <w:rPr>
            <w:rFonts w:cs="Times New Roman"/>
            <w:b w:val="0"/>
            <w:noProof/>
            <w:webHidden/>
            <w:sz w:val="24"/>
            <w:szCs w:val="24"/>
          </w:rPr>
          <w:fldChar w:fldCharType="end"/>
        </w:r>
      </w:hyperlink>
    </w:p>
    <w:p w14:paraId="39105511" w14:textId="79641B0D"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6" w:history="1">
        <w:r w:rsidR="004C2DF6" w:rsidRPr="002069FE">
          <w:rPr>
            <w:rStyle w:val="Hyperlink"/>
            <w:rFonts w:cs="Times New Roman"/>
            <w:b w:val="0"/>
            <w:noProof/>
            <w:sz w:val="24"/>
            <w:szCs w:val="24"/>
          </w:rPr>
          <w:t>Figure 4.6 2-hour evolution of (a) 10-m Vmax, (b) MSLP and (c) NMASPT for NoDA (black), VM (green), DA (cyan) and DA-HDVD (red) initialized from 1800 UTC 22 Oct 2015. The output are plotted every 2 minutes.</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_Toc21624046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67</w:t>
        </w:r>
        <w:r w:rsidR="004C2DF6" w:rsidRPr="002069FE">
          <w:rPr>
            <w:rFonts w:cs="Times New Roman"/>
            <w:b w:val="0"/>
            <w:noProof/>
            <w:webHidden/>
            <w:sz w:val="24"/>
            <w:szCs w:val="24"/>
          </w:rPr>
          <w:fldChar w:fldCharType="end"/>
        </w:r>
      </w:hyperlink>
    </w:p>
    <w:p w14:paraId="429C47B0" w14:textId="0271A5AD"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7" w:history="1">
        <w:r w:rsidR="004C2DF6" w:rsidRPr="002069FE">
          <w:rPr>
            <w:rStyle w:val="Hyperlink"/>
            <w:rFonts w:cs="Times New Roman"/>
            <w:b w:val="0"/>
            <w:noProof/>
            <w:sz w:val="24"/>
            <w:szCs w:val="24"/>
          </w:rPr>
          <w:t>Figure 4.7 Time evolution of the azimuthal mean radial wind (shading,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and secondary circulation (vectors,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for (a)~(e) NoDA-warm, (f)~(j) NoDA, (k)~(o) VM, (p)~(t) DA and (u)~(y) DA-HDVD for the (a), (f), (k), (p), (u) initial analysis; (b), (g), (l), (q), (v) 2-min forecast; (c), (h), (m), (r), (w) 4-min forecast; (d), (i), (n), (s), (x) 30-min forecast; and (e), (j), (o), (t), (y) 60-min forecast. Red arrows are added to illustrate the evolution of secondary circulations.</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_Toc21624047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68</w:t>
        </w:r>
        <w:r w:rsidR="004C2DF6" w:rsidRPr="002069FE">
          <w:rPr>
            <w:rFonts w:cs="Times New Roman"/>
            <w:b w:val="0"/>
            <w:noProof/>
            <w:webHidden/>
            <w:sz w:val="24"/>
            <w:szCs w:val="24"/>
          </w:rPr>
          <w:fldChar w:fldCharType="end"/>
        </w:r>
      </w:hyperlink>
    </w:p>
    <w:p w14:paraId="007714F7" w14:textId="2082939D"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8" w:history="1">
        <w:r w:rsidR="004C2DF6" w:rsidRPr="002069FE">
          <w:rPr>
            <w:rStyle w:val="Hyperlink"/>
            <w:rFonts w:cs="Times New Roman"/>
            <w:b w:val="0"/>
            <w:noProof/>
            <w:sz w:val="24"/>
            <w:szCs w:val="24"/>
          </w:rPr>
          <w:t>Figure 4.8 Radius-time Hovmoller plots of the 500 hPa azimuthal mean vertical velocity (shading,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and 900 hPa tangential wind (contour,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4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xml:space="preserve"> interval) for (a) NoDA-warm, (b) NoDA, (c) VM, (d) DA and (e) DA-HDVD for the first 6 hours. The RMW from the best track is given as solid black line.</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_Toc21624048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70</w:t>
        </w:r>
        <w:r w:rsidR="004C2DF6" w:rsidRPr="002069FE">
          <w:rPr>
            <w:rFonts w:cs="Times New Roman"/>
            <w:b w:val="0"/>
            <w:noProof/>
            <w:webHidden/>
            <w:sz w:val="24"/>
            <w:szCs w:val="24"/>
          </w:rPr>
          <w:fldChar w:fldCharType="end"/>
        </w:r>
      </w:hyperlink>
    </w:p>
    <w:p w14:paraId="736BFC07" w14:textId="752DCB03"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49" w:history="1">
        <w:r w:rsidR="004C2DF6" w:rsidRPr="002069FE">
          <w:rPr>
            <w:rStyle w:val="Hyperlink"/>
            <w:rFonts w:cs="Times New Roman"/>
            <w:b w:val="0"/>
            <w:noProof/>
            <w:sz w:val="24"/>
            <w:szCs w:val="24"/>
          </w:rPr>
          <w:t>Figure 4.9 Same as Fig. 4.7 except the shading for azimuthal mean total condensate (kg kg</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for (a)~(e) NoDA, (f)~(j) VM, (k)~(o) DA and (p)~(t) DA-HDVD for the (a), (f), (k), (p) initial analysis; (b), (g), (l), (q) 2-min forecast; (c), (h), (m), (r) 4-min forecast; (d), (i), (n), (s) 30-min forecast; and (e), (j), (o), (t) 60-min forecast.</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_Toc21624049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73</w:t>
        </w:r>
        <w:r w:rsidR="004C2DF6" w:rsidRPr="002069FE">
          <w:rPr>
            <w:rFonts w:cs="Times New Roman"/>
            <w:b w:val="0"/>
            <w:noProof/>
            <w:webHidden/>
            <w:sz w:val="24"/>
            <w:szCs w:val="24"/>
          </w:rPr>
          <w:fldChar w:fldCharType="end"/>
        </w:r>
      </w:hyperlink>
    </w:p>
    <w:p w14:paraId="10B09082" w14:textId="332AF5A2"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0" w:history="1">
        <w:r w:rsidR="004C2DF6" w:rsidRPr="002069FE">
          <w:rPr>
            <w:rStyle w:val="Hyperlink"/>
            <w:rFonts w:cs="Times New Roman"/>
            <w:b w:val="0"/>
            <w:noProof/>
            <w:sz w:val="24"/>
            <w:szCs w:val="24"/>
          </w:rPr>
          <w:t>Figure 4.10 Same as Fig. 4.5 except for DA (cyan), DA-HD (purple), DA-HDVD (red) and best track (black).</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_Toc21624050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77</w:t>
        </w:r>
        <w:r w:rsidR="004C2DF6" w:rsidRPr="002069FE">
          <w:rPr>
            <w:rFonts w:cs="Times New Roman"/>
            <w:b w:val="0"/>
            <w:noProof/>
            <w:webHidden/>
            <w:sz w:val="24"/>
            <w:szCs w:val="24"/>
          </w:rPr>
          <w:fldChar w:fldCharType="end"/>
        </w:r>
      </w:hyperlink>
    </w:p>
    <w:p w14:paraId="60A482E6" w14:textId="256D3E1A"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1" w:history="1">
        <w:r w:rsidR="004C2DF6" w:rsidRPr="002069FE">
          <w:rPr>
            <w:rStyle w:val="Hyperlink"/>
            <w:rFonts w:cs="Times New Roman"/>
            <w:b w:val="0"/>
            <w:noProof/>
            <w:sz w:val="24"/>
            <w:szCs w:val="24"/>
          </w:rPr>
          <w:t>Figure 4.11 Same as Fig. 4.5 except for DA (solid cyan), DA-Hi (dashed blue), DA-HDVD (solid red), DA-HDVDHi (dashed orange) and best track (solid black).</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_Toc21624051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81</w:t>
        </w:r>
        <w:r w:rsidR="004C2DF6" w:rsidRPr="002069FE">
          <w:rPr>
            <w:rFonts w:cs="Times New Roman"/>
            <w:b w:val="0"/>
            <w:noProof/>
            <w:webHidden/>
            <w:sz w:val="24"/>
            <w:szCs w:val="24"/>
          </w:rPr>
          <w:fldChar w:fldCharType="end"/>
        </w:r>
      </w:hyperlink>
    </w:p>
    <w:p w14:paraId="223E89D3" w14:textId="332D8B94"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2" w:history="1">
        <w:r w:rsidR="004C2DF6" w:rsidRPr="002069FE">
          <w:rPr>
            <w:rStyle w:val="Hyperlink"/>
            <w:rFonts w:cs="Times New Roman"/>
            <w:b w:val="0"/>
            <w:noProof/>
            <w:sz w:val="24"/>
            <w:szCs w:val="24"/>
          </w:rPr>
          <w:t>Figure 5.1 An example of the (a) Temporal, (b) horizontal and (c) vertical distribution of the observations. (b) and (c) are the wind observations assimilated in the innermost domain valid at 1800 UTC 22 Oct 2015 during Patricia.  Best is short for the best track data form NHC.  Note, the x-axis in Fig. 5.1c is in log space.</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_Toc21624052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86</w:t>
        </w:r>
        <w:r w:rsidR="004C2DF6" w:rsidRPr="002069FE">
          <w:rPr>
            <w:rFonts w:cs="Times New Roman"/>
            <w:b w:val="0"/>
            <w:noProof/>
            <w:webHidden/>
            <w:sz w:val="24"/>
            <w:szCs w:val="24"/>
          </w:rPr>
          <w:fldChar w:fldCharType="end"/>
        </w:r>
      </w:hyperlink>
    </w:p>
    <w:p w14:paraId="543A1614" w14:textId="2C4BC55D"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3" w:history="1">
        <w:r w:rsidR="004C2DF6" w:rsidRPr="002069FE">
          <w:rPr>
            <w:rStyle w:val="Hyperlink"/>
            <w:rFonts w:cs="Times New Roman"/>
            <w:b w:val="0"/>
            <w:noProof/>
            <w:sz w:val="24"/>
            <w:szCs w:val="24"/>
          </w:rPr>
          <w:t xml:space="preserve">Figure 5.2 Wind (shading and vectors, m s-1) and pressure (contours, hPa) at 10-m height for (a) SFMR observations onboard NOAA P-3 aircraft centered around 1739 UTC 22 Oct 2015, (b) NoDA analysis, (c) OperH analysis, (d) CIMSS_Only analysis, (e) SFMR_Only analysis, (f) FL_Only analysis, (g) TDR_Only analysis, (h) HDSS_Only analysis and (i) All analysis valid at </w:t>
        </w:r>
        <w:r w:rsidR="004C2DF6" w:rsidRPr="002069FE">
          <w:rPr>
            <w:rStyle w:val="Hyperlink"/>
            <w:rFonts w:cs="Times New Roman"/>
            <w:b w:val="0"/>
            <w:noProof/>
            <w:sz w:val="24"/>
            <w:szCs w:val="24"/>
          </w:rPr>
          <w:lastRenderedPageBreak/>
          <w:t>1800 UTC 22 Oct 2015 during Patricia.  The black dots denote the best track position valid at 1800 UTC 22 Oct 2015.</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_Toc21624053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97</w:t>
        </w:r>
        <w:r w:rsidR="004C2DF6" w:rsidRPr="002069FE">
          <w:rPr>
            <w:rFonts w:cs="Times New Roman"/>
            <w:b w:val="0"/>
            <w:noProof/>
            <w:webHidden/>
            <w:sz w:val="24"/>
            <w:szCs w:val="24"/>
          </w:rPr>
          <w:fldChar w:fldCharType="end"/>
        </w:r>
      </w:hyperlink>
    </w:p>
    <w:p w14:paraId="536DE078" w14:textId="1D742287"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4" w:history="1">
        <w:r w:rsidR="004C2DF6" w:rsidRPr="002069FE">
          <w:rPr>
            <w:rStyle w:val="Hyperlink"/>
            <w:rFonts w:cs="Times New Roman"/>
            <w:b w:val="0"/>
            <w:noProof/>
            <w:sz w:val="24"/>
            <w:szCs w:val="24"/>
          </w:rPr>
          <w:t>Figure 5.3 Same as Fig. 5.2 except for the 3-km horizontal wind (shading and vectors,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in verification with (a) the HRD radar composite.  The blue lines in (a) denote the flight track of WB-57 and the blue lines in (b)~(i) denote corresponding southeast to northwest cross-section to be plotted in Fig. 5.4 and Fig. 5.6.</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_Toc21624054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98</w:t>
        </w:r>
        <w:r w:rsidR="004C2DF6" w:rsidRPr="002069FE">
          <w:rPr>
            <w:rFonts w:cs="Times New Roman"/>
            <w:b w:val="0"/>
            <w:noProof/>
            <w:webHidden/>
            <w:sz w:val="24"/>
            <w:szCs w:val="24"/>
          </w:rPr>
          <w:fldChar w:fldCharType="end"/>
        </w:r>
      </w:hyperlink>
    </w:p>
    <w:p w14:paraId="39494851" w14:textId="1793C6E2"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5" w:history="1">
        <w:r w:rsidR="004C2DF6" w:rsidRPr="002069FE">
          <w:rPr>
            <w:rStyle w:val="Hyperlink"/>
            <w:rFonts w:cs="Times New Roman"/>
            <w:b w:val="0"/>
            <w:noProof/>
            <w:sz w:val="24"/>
            <w:szCs w:val="24"/>
          </w:rPr>
          <w:t>Figure 5.4 Same as Fig. 5.2 except for the Radial wind (shading, m s-1) analysis of the southeast to northwest vertical section in verification with (a) the HDSS dropsonde observations centered around 1820 UTC 22 October 2015. Positive (warm color) indicates outflow and negative (cold color) indicates inflow.</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_Toc21624055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99</w:t>
        </w:r>
        <w:r w:rsidR="004C2DF6" w:rsidRPr="002069FE">
          <w:rPr>
            <w:rFonts w:cs="Times New Roman"/>
            <w:b w:val="0"/>
            <w:noProof/>
            <w:webHidden/>
            <w:sz w:val="24"/>
            <w:szCs w:val="24"/>
          </w:rPr>
          <w:fldChar w:fldCharType="end"/>
        </w:r>
      </w:hyperlink>
    </w:p>
    <w:p w14:paraId="4B681468" w14:textId="3D96C21B"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6" w:history="1">
        <w:r w:rsidR="004C2DF6" w:rsidRPr="002069FE">
          <w:rPr>
            <w:rStyle w:val="Hyperlink"/>
            <w:rFonts w:cs="Times New Roman"/>
            <w:b w:val="0"/>
            <w:noProof/>
            <w:sz w:val="24"/>
            <w:szCs w:val="24"/>
          </w:rPr>
          <w:t>Figure 5.5 Same as Fig. 5.2 except for 150 hPa radial wind (shading, m s-1) and horizontal wind (vectors, m s-1) in verification with (a) the CIMSS AMV observations. The red star in (a) and the black dots in (b)~(i) denote the best track position and the blue dots in (b)~(i) denote the analyzed storm center at the surface.  Note, the black and blue dots are very close to each other for each experiment due to the vortex relocation.</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_Toc21624056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100</w:t>
        </w:r>
        <w:r w:rsidR="004C2DF6" w:rsidRPr="002069FE">
          <w:rPr>
            <w:rFonts w:cs="Times New Roman"/>
            <w:b w:val="0"/>
            <w:noProof/>
            <w:webHidden/>
            <w:sz w:val="24"/>
            <w:szCs w:val="24"/>
          </w:rPr>
          <w:fldChar w:fldCharType="end"/>
        </w:r>
      </w:hyperlink>
    </w:p>
    <w:p w14:paraId="72E3B078" w14:textId="59A2AC2E"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7" w:history="1">
        <w:r w:rsidR="004C2DF6" w:rsidRPr="002069FE">
          <w:rPr>
            <w:rStyle w:val="Hyperlink"/>
            <w:rFonts w:cs="Times New Roman"/>
            <w:b w:val="0"/>
            <w:noProof/>
            <w:sz w:val="24"/>
            <w:szCs w:val="24"/>
          </w:rPr>
          <w:t>Figure 5.6 Same as Fig. 5.4 except for the warm-core anomaly analysis of the southeast to northwest vertical section in verification with (a) the HDSS dropsonde observations centered around 1820 UTC 22 October 2015.  The Jordan annual mean profile is used as the environmental sounding for all experiments for consistency.</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_Toc21624057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101</w:t>
        </w:r>
        <w:r w:rsidR="004C2DF6" w:rsidRPr="002069FE">
          <w:rPr>
            <w:rFonts w:cs="Times New Roman"/>
            <w:b w:val="0"/>
            <w:noProof/>
            <w:webHidden/>
            <w:sz w:val="24"/>
            <w:szCs w:val="24"/>
          </w:rPr>
          <w:fldChar w:fldCharType="end"/>
        </w:r>
      </w:hyperlink>
    </w:p>
    <w:p w14:paraId="23F5F1DE" w14:textId="312517A2"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8" w:history="1">
        <w:r w:rsidR="004C2DF6" w:rsidRPr="002069FE">
          <w:rPr>
            <w:rStyle w:val="Hyperlink"/>
            <w:rFonts w:cs="Times New Roman"/>
            <w:b w:val="0"/>
            <w:noProof/>
            <w:sz w:val="24"/>
            <w:szCs w:val="24"/>
          </w:rPr>
          <w:t>Figure 5.7 Same as Fig. 5.2 except for the 4-hour forecasted brightness temperature (K) in verification with (a) GOES-13 band 4 valid at 2200 UTC 22 Oct 2015 during Patricia.  The red dots denote the satellite-derived storm position at this time.</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_Toc21624058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102</w:t>
        </w:r>
        <w:r w:rsidR="004C2DF6" w:rsidRPr="002069FE">
          <w:rPr>
            <w:rFonts w:cs="Times New Roman"/>
            <w:b w:val="0"/>
            <w:noProof/>
            <w:webHidden/>
            <w:sz w:val="24"/>
            <w:szCs w:val="24"/>
          </w:rPr>
          <w:fldChar w:fldCharType="end"/>
        </w:r>
      </w:hyperlink>
    </w:p>
    <w:p w14:paraId="2D4C984F" w14:textId="17FD2F53"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59" w:history="1">
        <w:r w:rsidR="004C2DF6" w:rsidRPr="002069FE">
          <w:rPr>
            <w:rStyle w:val="Hyperlink"/>
            <w:rFonts w:cs="Times New Roman"/>
            <w:b w:val="0"/>
            <w:noProof/>
            <w:sz w:val="24"/>
            <w:szCs w:val="24"/>
          </w:rPr>
          <w:t>Figure 5.8 Same as Fig. 5.6 except for the 8-hour forecasted brightness temperature (K) valid at 0200 UTC 23 Oct 2015 during Patricia.</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_Toc21624059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103</w:t>
        </w:r>
        <w:r w:rsidR="004C2DF6" w:rsidRPr="002069FE">
          <w:rPr>
            <w:rFonts w:cs="Times New Roman"/>
            <w:b w:val="0"/>
            <w:noProof/>
            <w:webHidden/>
            <w:sz w:val="24"/>
            <w:szCs w:val="24"/>
          </w:rPr>
          <w:fldChar w:fldCharType="end"/>
        </w:r>
      </w:hyperlink>
    </w:p>
    <w:p w14:paraId="6E7BCD30" w14:textId="03E0EE8A"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60" w:history="1">
        <w:r w:rsidR="004C2DF6" w:rsidRPr="002069FE">
          <w:rPr>
            <w:rStyle w:val="Hyperlink"/>
            <w:rFonts w:cs="Times New Roman"/>
            <w:b w:val="0"/>
            <w:noProof/>
            <w:sz w:val="24"/>
            <w:szCs w:val="24"/>
          </w:rPr>
          <w:t>Figure 5.9  Same as Fig. 5.2 except for the 24-hour forecasted surface wind (shading and vectors,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valid at 1800 UTC 23 Oct 2015 in verification with (a) HIRAD (Hurricane Imaging Radiometer) observations centered at 2000 UTC 23 Oct 2015 during Patricia.  The domain size is the same in (a)-(i).  The black dots denote the best track position at 1800 UTC 23 Oct 2015.</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_Toc21624060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104</w:t>
        </w:r>
        <w:r w:rsidR="004C2DF6" w:rsidRPr="002069FE">
          <w:rPr>
            <w:rFonts w:cs="Times New Roman"/>
            <w:b w:val="0"/>
            <w:noProof/>
            <w:webHidden/>
            <w:sz w:val="24"/>
            <w:szCs w:val="24"/>
          </w:rPr>
          <w:fldChar w:fldCharType="end"/>
        </w:r>
      </w:hyperlink>
    </w:p>
    <w:p w14:paraId="1E7B9703" w14:textId="18518977"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61" w:history="1">
        <w:r w:rsidR="004C2DF6" w:rsidRPr="002069FE">
          <w:rPr>
            <w:rStyle w:val="Hyperlink"/>
            <w:rFonts w:cs="Times New Roman"/>
            <w:b w:val="0"/>
            <w:noProof/>
            <w:sz w:val="24"/>
            <w:szCs w:val="24"/>
          </w:rPr>
          <w:t>Figure 5.10  Same as Fig. 5.2 except for the 24-hour forecasted 3-km wind (shading and vectors,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in verification with (a) HRD radar composite valid at 1733 UTC 23 Oct 2015 during Patricia.  The black dots denote the best track position valid at 1800 UTC 23 Oct 2015.</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_Toc21624061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105</w:t>
        </w:r>
        <w:r w:rsidR="004C2DF6" w:rsidRPr="002069FE">
          <w:rPr>
            <w:rFonts w:cs="Times New Roman"/>
            <w:b w:val="0"/>
            <w:noProof/>
            <w:webHidden/>
            <w:sz w:val="24"/>
            <w:szCs w:val="24"/>
          </w:rPr>
          <w:fldChar w:fldCharType="end"/>
        </w:r>
      </w:hyperlink>
    </w:p>
    <w:p w14:paraId="065D0936" w14:textId="02FFB7BC"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62" w:history="1">
        <w:r w:rsidR="004C2DF6" w:rsidRPr="002069FE">
          <w:rPr>
            <w:rStyle w:val="Hyperlink"/>
            <w:rFonts w:cs="Times New Roman"/>
            <w:b w:val="0"/>
            <w:noProof/>
            <w:sz w:val="24"/>
            <w:szCs w:val="24"/>
          </w:rPr>
          <w:t>Figure 5.11 (a), (e), (i) MSLP forecast, (b), (f), (j) Vmax forecast, (c), (g), (k) track forecast and (d), (h), (l) track forecast errors for NoDA (blue), OperH (green), CIMSS_Only (yellow), SFMR_Only (purple), FL_Only (red), TDR_Only (orange), HDSS_Only (gold), All (cyan) and best track (black) initialized from 1800 UTC 22 Oct 2015 during Patricia.</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_Toc21624062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107</w:t>
        </w:r>
        <w:r w:rsidR="004C2DF6" w:rsidRPr="002069FE">
          <w:rPr>
            <w:rFonts w:cs="Times New Roman"/>
            <w:b w:val="0"/>
            <w:noProof/>
            <w:webHidden/>
            <w:sz w:val="24"/>
            <w:szCs w:val="24"/>
          </w:rPr>
          <w:fldChar w:fldCharType="end"/>
        </w:r>
      </w:hyperlink>
    </w:p>
    <w:p w14:paraId="3A371C28" w14:textId="374CF79F"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63" w:history="1">
        <w:r w:rsidR="004C2DF6" w:rsidRPr="002069FE">
          <w:rPr>
            <w:rStyle w:val="Hyperlink"/>
            <w:rFonts w:cs="Times New Roman"/>
            <w:b w:val="0"/>
            <w:noProof/>
            <w:sz w:val="24"/>
            <w:szCs w:val="24"/>
          </w:rPr>
          <w:t>Figure 5.12 The co-located 150 hPa radial wind increment (shading, m s</w:t>
        </w:r>
        <w:r w:rsidR="004C2DF6" w:rsidRPr="002069FE">
          <w:rPr>
            <w:rStyle w:val="Hyperlink"/>
            <w:rFonts w:cs="Times New Roman"/>
            <w:b w:val="0"/>
            <w:noProof/>
            <w:sz w:val="24"/>
            <w:szCs w:val="24"/>
            <w:vertAlign w:val="superscript"/>
          </w:rPr>
          <w:t>-1</w:t>
        </w:r>
        <w:r w:rsidR="004C2DF6" w:rsidRPr="002069FE">
          <w:rPr>
            <w:rStyle w:val="Hyperlink"/>
            <w:rFonts w:cs="Times New Roman"/>
            <w:b w:val="0"/>
            <w:noProof/>
            <w:sz w:val="24"/>
            <w:szCs w:val="24"/>
          </w:rPr>
          <w:t>) by subtracting NoDA from (a) OperH analysis, (b) CIMSS</w:t>
        </w:r>
        <w:r w:rsidR="004C2DF6" w:rsidRPr="002069FE">
          <w:rPr>
            <w:rStyle w:val="Hyperlink"/>
            <w:rFonts w:eastAsia="Times New Roman" w:cs="Times New Roman"/>
            <w:b w:val="0"/>
            <w:noProof/>
            <w:sz w:val="24"/>
            <w:szCs w:val="24"/>
          </w:rPr>
          <w:t>_Only</w:t>
        </w:r>
        <w:r w:rsidR="004C2DF6" w:rsidRPr="002069FE">
          <w:rPr>
            <w:rStyle w:val="Hyperlink"/>
            <w:rFonts w:cs="Times New Roman"/>
            <w:b w:val="0"/>
            <w:noProof/>
            <w:sz w:val="24"/>
            <w:szCs w:val="24"/>
          </w:rPr>
          <w:t xml:space="preserve"> analysis, (c) SFMR</w:t>
        </w:r>
        <w:r w:rsidR="004C2DF6" w:rsidRPr="002069FE">
          <w:rPr>
            <w:rStyle w:val="Hyperlink"/>
            <w:rFonts w:eastAsia="Times New Roman" w:cs="Times New Roman"/>
            <w:b w:val="0"/>
            <w:noProof/>
            <w:sz w:val="24"/>
            <w:szCs w:val="24"/>
          </w:rPr>
          <w:t>_Only</w:t>
        </w:r>
        <w:r w:rsidR="004C2DF6" w:rsidRPr="002069FE">
          <w:rPr>
            <w:rStyle w:val="Hyperlink"/>
            <w:rFonts w:cs="Times New Roman"/>
            <w:b w:val="0"/>
            <w:noProof/>
            <w:sz w:val="24"/>
            <w:szCs w:val="24"/>
          </w:rPr>
          <w:t xml:space="preserve"> analysis, (d) FL</w:t>
        </w:r>
        <w:r w:rsidR="004C2DF6" w:rsidRPr="002069FE">
          <w:rPr>
            <w:rStyle w:val="Hyperlink"/>
            <w:rFonts w:eastAsia="Times New Roman" w:cs="Times New Roman"/>
            <w:b w:val="0"/>
            <w:noProof/>
            <w:sz w:val="24"/>
            <w:szCs w:val="24"/>
          </w:rPr>
          <w:t>_Only</w:t>
        </w:r>
        <w:r w:rsidR="004C2DF6" w:rsidRPr="002069FE">
          <w:rPr>
            <w:rStyle w:val="Hyperlink"/>
            <w:rFonts w:cs="Times New Roman"/>
            <w:b w:val="0"/>
            <w:noProof/>
            <w:sz w:val="24"/>
            <w:szCs w:val="24"/>
          </w:rPr>
          <w:t xml:space="preserve"> </w:t>
        </w:r>
        <w:r w:rsidR="004C2DF6" w:rsidRPr="002069FE">
          <w:rPr>
            <w:rStyle w:val="Hyperlink"/>
            <w:rFonts w:cs="Times New Roman"/>
            <w:b w:val="0"/>
            <w:noProof/>
            <w:sz w:val="24"/>
            <w:szCs w:val="24"/>
          </w:rPr>
          <w:lastRenderedPageBreak/>
          <w:t>analysis, (e) TDR</w:t>
        </w:r>
        <w:r w:rsidR="004C2DF6" w:rsidRPr="002069FE">
          <w:rPr>
            <w:rStyle w:val="Hyperlink"/>
            <w:rFonts w:eastAsia="Times New Roman" w:cs="Times New Roman"/>
            <w:b w:val="0"/>
            <w:noProof/>
            <w:sz w:val="24"/>
            <w:szCs w:val="24"/>
          </w:rPr>
          <w:t>_Only</w:t>
        </w:r>
        <w:r w:rsidR="004C2DF6" w:rsidRPr="002069FE">
          <w:rPr>
            <w:rStyle w:val="Hyperlink"/>
            <w:rFonts w:cs="Times New Roman"/>
            <w:b w:val="0"/>
            <w:noProof/>
            <w:sz w:val="24"/>
            <w:szCs w:val="24"/>
          </w:rPr>
          <w:t xml:space="preserve"> analysis, (f) HDSS</w:t>
        </w:r>
        <w:r w:rsidR="004C2DF6" w:rsidRPr="002069FE">
          <w:rPr>
            <w:rStyle w:val="Hyperlink"/>
            <w:rFonts w:eastAsia="Times New Roman" w:cs="Times New Roman"/>
            <w:b w:val="0"/>
            <w:noProof/>
            <w:sz w:val="24"/>
            <w:szCs w:val="24"/>
          </w:rPr>
          <w:t>_Only</w:t>
        </w:r>
        <w:r w:rsidR="004C2DF6" w:rsidRPr="002069FE">
          <w:rPr>
            <w:rStyle w:val="Hyperlink"/>
            <w:rFonts w:cs="Times New Roman"/>
            <w:b w:val="0"/>
            <w:noProof/>
            <w:sz w:val="24"/>
            <w:szCs w:val="24"/>
          </w:rPr>
          <w:t xml:space="preserve"> analysis and (g) All analysis valid at 1800 UTC 22 Oct 2015 during Patricia. The vectors are the 150 hPa horizontal wind from NoDA as a reference.</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_Toc21624063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109</w:t>
        </w:r>
        <w:r w:rsidR="004C2DF6" w:rsidRPr="002069FE">
          <w:rPr>
            <w:rFonts w:cs="Times New Roman"/>
            <w:b w:val="0"/>
            <w:noProof/>
            <w:webHidden/>
            <w:sz w:val="24"/>
            <w:szCs w:val="24"/>
          </w:rPr>
          <w:fldChar w:fldCharType="end"/>
        </w:r>
      </w:hyperlink>
    </w:p>
    <w:p w14:paraId="6F400591" w14:textId="715ABD31" w:rsidR="004C2DF6" w:rsidRPr="002069FE" w:rsidRDefault="00C350DE" w:rsidP="002069FE">
      <w:pPr>
        <w:pStyle w:val="TableofFigures"/>
        <w:tabs>
          <w:tab w:val="right" w:leader="dot" w:pos="9350"/>
        </w:tabs>
        <w:spacing w:after="240" w:line="240" w:lineRule="auto"/>
        <w:rPr>
          <w:rFonts w:cs="Times New Roman"/>
          <w:b w:val="0"/>
          <w:noProof/>
          <w:sz w:val="24"/>
          <w:szCs w:val="24"/>
        </w:rPr>
      </w:pPr>
      <w:hyperlink w:anchor="_Toc21624064" w:history="1">
        <w:r w:rsidR="004C2DF6" w:rsidRPr="002069FE">
          <w:rPr>
            <w:rStyle w:val="Hyperlink"/>
            <w:rFonts w:cs="Times New Roman"/>
            <w:b w:val="0"/>
            <w:noProof/>
            <w:sz w:val="24"/>
            <w:szCs w:val="24"/>
          </w:rPr>
          <w:t>Figure 5.13 Root-Mean-Square-Fit (RMSF) of different types of observation verifications for each experiment. The colors denote the percentage of RMSF changes relative to NoDA for the independent verifications. The warmer the colors, the larger the relative RMSF.</w:t>
        </w:r>
        <w:r w:rsidR="004C2DF6" w:rsidRPr="002069FE">
          <w:rPr>
            <w:rFonts w:cs="Times New Roman"/>
            <w:b w:val="0"/>
            <w:noProof/>
            <w:webHidden/>
            <w:sz w:val="24"/>
            <w:szCs w:val="24"/>
          </w:rPr>
          <w:tab/>
        </w:r>
        <w:r w:rsidR="004C2DF6" w:rsidRPr="002069FE">
          <w:rPr>
            <w:rFonts w:cs="Times New Roman"/>
            <w:b w:val="0"/>
            <w:noProof/>
            <w:webHidden/>
            <w:sz w:val="24"/>
            <w:szCs w:val="24"/>
          </w:rPr>
          <w:fldChar w:fldCharType="begin"/>
        </w:r>
        <w:r w:rsidR="004C2DF6" w:rsidRPr="002069FE">
          <w:rPr>
            <w:rFonts w:cs="Times New Roman"/>
            <w:b w:val="0"/>
            <w:noProof/>
            <w:webHidden/>
            <w:sz w:val="24"/>
            <w:szCs w:val="24"/>
          </w:rPr>
          <w:instrText xml:space="preserve"> PAGEREF _Toc21624064 \h </w:instrText>
        </w:r>
        <w:r w:rsidR="004C2DF6" w:rsidRPr="002069FE">
          <w:rPr>
            <w:rFonts w:cs="Times New Roman"/>
            <w:b w:val="0"/>
            <w:noProof/>
            <w:webHidden/>
            <w:sz w:val="24"/>
            <w:szCs w:val="24"/>
          </w:rPr>
        </w:r>
        <w:r w:rsidR="004C2DF6" w:rsidRPr="002069FE">
          <w:rPr>
            <w:rFonts w:cs="Times New Roman"/>
            <w:b w:val="0"/>
            <w:noProof/>
            <w:webHidden/>
            <w:sz w:val="24"/>
            <w:szCs w:val="24"/>
          </w:rPr>
          <w:fldChar w:fldCharType="separate"/>
        </w:r>
        <w:r>
          <w:rPr>
            <w:rFonts w:cs="Times New Roman"/>
            <w:b w:val="0"/>
            <w:noProof/>
            <w:webHidden/>
            <w:sz w:val="24"/>
            <w:szCs w:val="24"/>
          </w:rPr>
          <w:t>110</w:t>
        </w:r>
        <w:r w:rsidR="004C2DF6" w:rsidRPr="002069FE">
          <w:rPr>
            <w:rFonts w:cs="Times New Roman"/>
            <w:b w:val="0"/>
            <w:noProof/>
            <w:webHidden/>
            <w:sz w:val="24"/>
            <w:szCs w:val="24"/>
          </w:rPr>
          <w:fldChar w:fldCharType="end"/>
        </w:r>
      </w:hyperlink>
    </w:p>
    <w:p w14:paraId="3A036263" w14:textId="67DED7B4" w:rsidR="00823393" w:rsidRPr="00723DA9" w:rsidRDefault="00BA7295" w:rsidP="002069FE">
      <w:pPr>
        <w:pStyle w:val="TOC1"/>
      </w:pPr>
      <w:r w:rsidRPr="002069FE">
        <w:rPr>
          <w:rFonts w:ascii="Times New Roman" w:hAnsi="Times New Roman" w:cs="Times New Roman"/>
          <w:sz w:val="24"/>
          <w:szCs w:val="24"/>
        </w:rPr>
        <w:fldChar w:fldCharType="end"/>
      </w:r>
      <w:r w:rsidR="00823393" w:rsidRPr="00723DA9">
        <w:br w:type="page"/>
      </w:r>
    </w:p>
    <w:p w14:paraId="030D9724" w14:textId="348DC59E" w:rsidR="00823393" w:rsidRPr="00723DA9" w:rsidRDefault="5B4C3D29" w:rsidP="004D6806">
      <w:pPr>
        <w:pStyle w:val="Heading1"/>
        <w:spacing w:before="0" w:after="160" w:line="480" w:lineRule="auto"/>
        <w:rPr>
          <w:rFonts w:ascii="Times New Roman" w:hAnsi="Times New Roman" w:cs="Times New Roman"/>
          <w:b/>
          <w:bCs/>
          <w:color w:val="auto"/>
          <w:sz w:val="24"/>
          <w:szCs w:val="24"/>
        </w:rPr>
      </w:pPr>
      <w:bookmarkStart w:id="3" w:name="_Toc21623969"/>
      <w:r w:rsidRPr="00723DA9">
        <w:rPr>
          <w:rFonts w:ascii="Times New Roman" w:hAnsi="Times New Roman" w:cs="Times New Roman"/>
          <w:b/>
          <w:bCs/>
          <w:color w:val="auto"/>
          <w:sz w:val="24"/>
          <w:szCs w:val="24"/>
        </w:rPr>
        <w:lastRenderedPageBreak/>
        <w:t>Abstract</w:t>
      </w:r>
      <w:bookmarkEnd w:id="3"/>
    </w:p>
    <w:p w14:paraId="64233E3F" w14:textId="0A0B100A" w:rsidR="0040554A" w:rsidRPr="00723DA9" w:rsidRDefault="00C76219"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A </w:t>
      </w:r>
      <w:proofErr w:type="spellStart"/>
      <w:r w:rsidRPr="00723DA9">
        <w:rPr>
          <w:rFonts w:ascii="Times New Roman" w:hAnsi="Times New Roman" w:cs="Times New Roman"/>
          <w:sz w:val="24"/>
          <w:szCs w:val="24"/>
        </w:rPr>
        <w:t>Gridpoint</w:t>
      </w:r>
      <w:proofErr w:type="spellEnd"/>
      <w:r w:rsidRPr="00723DA9">
        <w:rPr>
          <w:rFonts w:ascii="Times New Roman" w:hAnsi="Times New Roman" w:cs="Times New Roman"/>
          <w:sz w:val="24"/>
          <w:szCs w:val="24"/>
        </w:rPr>
        <w:t xml:space="preserve"> Statistical Interpolation analysis system (GSI)-based, continuously cycled, dual-resolution hybrid ensemble</w:t>
      </w:r>
      <w:r w:rsidR="00A91D43">
        <w:rPr>
          <w:rFonts w:ascii="Times New Roman" w:hAnsi="Times New Roman" w:cs="Times New Roman"/>
          <w:sz w:val="24"/>
          <w:szCs w:val="24"/>
        </w:rPr>
        <w:t>-</w:t>
      </w:r>
      <w:r w:rsidRPr="00723DA9">
        <w:rPr>
          <w:rFonts w:ascii="Times New Roman" w:hAnsi="Times New Roman" w:cs="Times New Roman"/>
          <w:sz w:val="24"/>
          <w:szCs w:val="24"/>
        </w:rPr>
        <w:t>variational (</w:t>
      </w:r>
      <w:proofErr w:type="spellStart"/>
      <w:r w:rsidR="00A91D43">
        <w:rPr>
          <w:rFonts w:ascii="Times New Roman" w:hAnsi="Times New Roman" w:cs="Times New Roman"/>
          <w:sz w:val="24"/>
          <w:szCs w:val="24"/>
        </w:rPr>
        <w:t>En</w:t>
      </w:r>
      <w:r w:rsidRPr="00723DA9">
        <w:rPr>
          <w:rFonts w:ascii="Times New Roman" w:hAnsi="Times New Roman" w:cs="Times New Roman"/>
          <w:sz w:val="24"/>
          <w:szCs w:val="24"/>
        </w:rPr>
        <w:t>Var</w:t>
      </w:r>
      <w:proofErr w:type="spellEnd"/>
      <w:r w:rsidRPr="00723DA9">
        <w:rPr>
          <w:rFonts w:ascii="Times New Roman" w:hAnsi="Times New Roman" w:cs="Times New Roman"/>
          <w:sz w:val="24"/>
          <w:szCs w:val="24"/>
        </w:rPr>
        <w:t xml:space="preserve">) data assimilation (DA) system is developed for the Hurricane Weather Research and Forecasting (HWRF) Model. </w:t>
      </w:r>
      <w:r w:rsidR="00D54407" w:rsidRPr="00723DA9">
        <w:rPr>
          <w:rFonts w:ascii="Times New Roman" w:hAnsi="Times New Roman" w:cs="Times New Roman"/>
          <w:sz w:val="24"/>
          <w:szCs w:val="24"/>
        </w:rPr>
        <w:t xml:space="preserve"> </w:t>
      </w:r>
      <w:r w:rsidR="00CE7644" w:rsidRPr="00723DA9">
        <w:rPr>
          <w:rFonts w:ascii="Times New Roman" w:hAnsi="Times New Roman" w:cs="Times New Roman"/>
          <w:sz w:val="24"/>
          <w:szCs w:val="24"/>
        </w:rPr>
        <w:t xml:space="preserve">The newly developed DA system </w:t>
      </w:r>
      <w:r w:rsidR="0035198A" w:rsidRPr="00723DA9">
        <w:rPr>
          <w:rFonts w:ascii="Times New Roman" w:hAnsi="Times New Roman" w:cs="Times New Roman"/>
          <w:sz w:val="24"/>
          <w:szCs w:val="24"/>
        </w:rPr>
        <w:t>is</w:t>
      </w:r>
      <w:r w:rsidR="007236D5" w:rsidRPr="00723DA9">
        <w:rPr>
          <w:rFonts w:ascii="Times New Roman" w:hAnsi="Times New Roman" w:cs="Times New Roman"/>
          <w:sz w:val="24"/>
          <w:szCs w:val="24"/>
        </w:rPr>
        <w:t xml:space="preserve"> then</w:t>
      </w:r>
      <w:r w:rsidR="0035198A" w:rsidRPr="00723DA9">
        <w:rPr>
          <w:rFonts w:ascii="Times New Roman" w:hAnsi="Times New Roman" w:cs="Times New Roman"/>
          <w:sz w:val="24"/>
          <w:szCs w:val="24"/>
        </w:rPr>
        <w:t xml:space="preserve"> used in this dissertation to</w:t>
      </w:r>
      <w:r w:rsidR="0040554A" w:rsidRPr="00723DA9">
        <w:rPr>
          <w:rFonts w:ascii="Times New Roman" w:hAnsi="Times New Roman" w:cs="Times New Roman"/>
          <w:sz w:val="24"/>
          <w:szCs w:val="24"/>
        </w:rPr>
        <w:t xml:space="preserve"> </w:t>
      </w:r>
      <w:r w:rsidR="00CE7644" w:rsidRPr="00723DA9">
        <w:rPr>
          <w:rFonts w:ascii="Times New Roman" w:hAnsi="Times New Roman" w:cs="Times New Roman"/>
          <w:sz w:val="24"/>
          <w:szCs w:val="24"/>
        </w:rPr>
        <w:t xml:space="preserve">address </w:t>
      </w:r>
      <w:r w:rsidR="00613F6D">
        <w:rPr>
          <w:rFonts w:ascii="Times New Roman" w:hAnsi="Times New Roman" w:cs="Times New Roman"/>
          <w:sz w:val="24"/>
          <w:szCs w:val="24"/>
        </w:rPr>
        <w:t>a few</w:t>
      </w:r>
      <w:r w:rsidR="00CE7644" w:rsidRPr="00723DA9">
        <w:rPr>
          <w:rFonts w:ascii="Times New Roman" w:hAnsi="Times New Roman" w:cs="Times New Roman"/>
          <w:sz w:val="24"/>
          <w:szCs w:val="24"/>
        </w:rPr>
        <w:t xml:space="preserve"> scientific and technical challenges in assimilating the vortex-scale observations </w:t>
      </w:r>
      <w:r w:rsidR="00613F6D">
        <w:rPr>
          <w:rFonts w:ascii="Times New Roman" w:hAnsi="Times New Roman" w:cs="Times New Roman"/>
          <w:sz w:val="24"/>
          <w:szCs w:val="24"/>
        </w:rPr>
        <w:t xml:space="preserve">to improve the numerical prediction </w:t>
      </w:r>
      <w:r w:rsidR="00CE7644" w:rsidRPr="00723DA9">
        <w:rPr>
          <w:rFonts w:ascii="Times New Roman" w:hAnsi="Times New Roman" w:cs="Times New Roman"/>
          <w:sz w:val="24"/>
          <w:szCs w:val="24"/>
        </w:rPr>
        <w:t>of TCs</w:t>
      </w:r>
      <w:r w:rsidR="0035198A" w:rsidRPr="00723DA9">
        <w:rPr>
          <w:rFonts w:ascii="Times New Roman" w:hAnsi="Times New Roman" w:cs="Times New Roman"/>
          <w:sz w:val="24"/>
          <w:szCs w:val="24"/>
        </w:rPr>
        <w:t>.</w:t>
      </w:r>
      <w:r w:rsidR="007637ED" w:rsidRPr="00723DA9">
        <w:rPr>
          <w:rFonts w:ascii="Times New Roman" w:hAnsi="Times New Roman" w:cs="Times New Roman"/>
          <w:sz w:val="24"/>
          <w:szCs w:val="24"/>
        </w:rPr>
        <w:t xml:space="preserve">  </w:t>
      </w:r>
    </w:p>
    <w:p w14:paraId="4D85105D" w14:textId="441605BB" w:rsidR="00C30F9C" w:rsidRDefault="00C66973" w:rsidP="00771F99">
      <w:pPr>
        <w:spacing w:after="0" w:line="480" w:lineRule="auto"/>
        <w:ind w:firstLine="432"/>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In the dissertation, </w:t>
      </w:r>
      <w:r w:rsidR="00C30F9C">
        <w:rPr>
          <w:rFonts w:ascii="Times New Roman" w:eastAsia="Times New Roman" w:hAnsi="Times New Roman" w:cs="Times New Roman"/>
          <w:color w:val="000000"/>
          <w:sz w:val="24"/>
          <w:szCs w:val="24"/>
        </w:rPr>
        <w:t xml:space="preserve">the newly developed </w:t>
      </w:r>
      <w:r w:rsidR="00994D21">
        <w:rPr>
          <w:rFonts w:ascii="Times New Roman" w:eastAsia="Times New Roman" w:hAnsi="Times New Roman" w:cs="Times New Roman"/>
          <w:color w:val="000000"/>
          <w:sz w:val="24"/>
          <w:szCs w:val="24"/>
        </w:rPr>
        <w:t>DA</w:t>
      </w:r>
      <w:r w:rsidR="00C30F9C">
        <w:rPr>
          <w:rFonts w:ascii="Times New Roman" w:eastAsia="Times New Roman" w:hAnsi="Times New Roman" w:cs="Times New Roman"/>
          <w:color w:val="000000"/>
          <w:sz w:val="24"/>
          <w:szCs w:val="24"/>
        </w:rPr>
        <w:t xml:space="preserve"> system</w:t>
      </w:r>
      <w:r w:rsidR="006410AB">
        <w:rPr>
          <w:rFonts w:ascii="Times New Roman" w:eastAsia="Times New Roman" w:hAnsi="Times New Roman" w:cs="Times New Roman"/>
          <w:color w:val="000000"/>
          <w:sz w:val="24"/>
          <w:szCs w:val="24"/>
        </w:rPr>
        <w:t xml:space="preserve"> is described </w:t>
      </w:r>
      <w:r w:rsidR="00363D2D">
        <w:rPr>
          <w:rFonts w:ascii="Times New Roman" w:eastAsia="Times New Roman" w:hAnsi="Times New Roman" w:cs="Times New Roman"/>
          <w:color w:val="000000"/>
          <w:sz w:val="24"/>
          <w:szCs w:val="24"/>
        </w:rPr>
        <w:t>first</w:t>
      </w:r>
      <w:r w:rsidR="006410AB">
        <w:rPr>
          <w:rFonts w:ascii="Times New Roman" w:eastAsia="Times New Roman" w:hAnsi="Times New Roman" w:cs="Times New Roman"/>
          <w:color w:val="000000"/>
          <w:sz w:val="24"/>
          <w:szCs w:val="24"/>
        </w:rPr>
        <w:t>.  T</w:t>
      </w:r>
      <w:r w:rsidR="00C30F9C">
        <w:rPr>
          <w:rFonts w:ascii="Times New Roman" w:eastAsia="Times New Roman" w:hAnsi="Times New Roman" w:cs="Times New Roman"/>
          <w:color w:val="000000"/>
          <w:sz w:val="24"/>
          <w:szCs w:val="24"/>
        </w:rPr>
        <w:t>hen</w:t>
      </w:r>
      <w:r w:rsidR="00CF2881">
        <w:rPr>
          <w:rFonts w:ascii="Times New Roman" w:eastAsia="Times New Roman" w:hAnsi="Times New Roman" w:cs="Times New Roman"/>
          <w:color w:val="000000"/>
          <w:sz w:val="24"/>
          <w:szCs w:val="24"/>
        </w:rPr>
        <w:t>,</w:t>
      </w:r>
      <w:r w:rsidR="00994D21">
        <w:rPr>
          <w:rFonts w:ascii="Times New Roman" w:eastAsia="Times New Roman" w:hAnsi="Times New Roman" w:cs="Times New Roman"/>
          <w:color w:val="000000"/>
          <w:sz w:val="24"/>
          <w:szCs w:val="24"/>
        </w:rPr>
        <w:t xml:space="preserve"> the </w:t>
      </w:r>
      <w:r w:rsidR="007F7224">
        <w:rPr>
          <w:rFonts w:ascii="Times New Roman" w:eastAsia="Times New Roman" w:hAnsi="Times New Roman" w:cs="Times New Roman"/>
          <w:color w:val="000000"/>
          <w:sz w:val="24"/>
          <w:szCs w:val="24"/>
        </w:rPr>
        <w:t>next</w:t>
      </w:r>
      <w:r w:rsidR="00994D21">
        <w:rPr>
          <w:rFonts w:ascii="Times New Roman" w:eastAsia="Times New Roman" w:hAnsi="Times New Roman" w:cs="Times New Roman"/>
          <w:color w:val="000000"/>
          <w:sz w:val="24"/>
          <w:szCs w:val="24"/>
        </w:rPr>
        <w:t xml:space="preserve"> part</w:t>
      </w:r>
      <w:r w:rsidR="00C30F9C">
        <w:rPr>
          <w:rFonts w:ascii="Times New Roman" w:eastAsia="Times New Roman" w:hAnsi="Times New Roman" w:cs="Times New Roman"/>
          <w:color w:val="000000"/>
          <w:sz w:val="24"/>
          <w:szCs w:val="24"/>
        </w:rPr>
        <w:t xml:space="preserve"> </w:t>
      </w:r>
      <w:r w:rsidR="00C30F9C" w:rsidRPr="009D5989">
        <w:rPr>
          <w:rFonts w:ascii="Times New Roman" w:eastAsia="Times New Roman" w:hAnsi="Times New Roman" w:cs="Times New Roman"/>
          <w:color w:val="000000"/>
          <w:sz w:val="24"/>
          <w:szCs w:val="24"/>
        </w:rPr>
        <w:t xml:space="preserve">addresses </w:t>
      </w:r>
      <w:r w:rsidR="00C30F9C">
        <w:rPr>
          <w:rFonts w:ascii="Times New Roman" w:eastAsia="Times New Roman" w:hAnsi="Times New Roman" w:cs="Times New Roman"/>
          <w:color w:val="000000"/>
          <w:sz w:val="24"/>
          <w:szCs w:val="24"/>
        </w:rPr>
        <w:t>how various data assimilation configurations impact the vortex scale observation assimilation and the subsequent prediction</w:t>
      </w:r>
      <w:r w:rsidR="00994D21">
        <w:rPr>
          <w:rFonts w:ascii="Times New Roman" w:eastAsia="Times New Roman" w:hAnsi="Times New Roman" w:cs="Times New Roman"/>
          <w:color w:val="000000"/>
          <w:sz w:val="24"/>
          <w:szCs w:val="24"/>
        </w:rPr>
        <w:t xml:space="preserve"> using the DA system</w:t>
      </w:r>
      <w:r w:rsidR="00C30F9C">
        <w:rPr>
          <w:rFonts w:ascii="Times New Roman" w:eastAsia="Times New Roman" w:hAnsi="Times New Roman" w:cs="Times New Roman"/>
          <w:color w:val="000000"/>
          <w:sz w:val="24"/>
          <w:szCs w:val="24"/>
        </w:rPr>
        <w:t>.</w:t>
      </w:r>
      <w:r w:rsidR="00A711EE" w:rsidRPr="00723DA9">
        <w:rPr>
          <w:rFonts w:ascii="Times New Roman" w:hAnsi="Times New Roman" w:cs="Times New Roman"/>
          <w:sz w:val="24"/>
          <w:szCs w:val="24"/>
        </w:rPr>
        <w:t xml:space="preserve">  </w:t>
      </w:r>
      <w:r w:rsidR="00C76219" w:rsidRPr="00723DA9">
        <w:rPr>
          <w:rFonts w:ascii="Times New Roman" w:hAnsi="Times New Roman" w:cs="Times New Roman"/>
          <w:sz w:val="24"/>
          <w:szCs w:val="24"/>
        </w:rPr>
        <w:t xml:space="preserve">It is found that </w:t>
      </w:r>
      <w:r w:rsidR="00D97DE6">
        <w:rPr>
          <w:rFonts w:ascii="Times New Roman" w:hAnsi="Times New Roman" w:cs="Times New Roman"/>
          <w:sz w:val="24"/>
          <w:szCs w:val="24"/>
        </w:rPr>
        <w:t xml:space="preserve">(1) </w:t>
      </w:r>
      <w:r w:rsidR="00C76219" w:rsidRPr="00723DA9">
        <w:rPr>
          <w:rFonts w:ascii="Times New Roman" w:hAnsi="Times New Roman" w:cs="Times New Roman"/>
          <w:sz w:val="24"/>
          <w:szCs w:val="24"/>
        </w:rPr>
        <w:t xml:space="preserve">dual-resolution </w:t>
      </w:r>
      <w:proofErr w:type="spellStart"/>
      <w:r w:rsidR="0034377C">
        <w:rPr>
          <w:rFonts w:ascii="Times New Roman" w:hAnsi="Times New Roman" w:cs="Times New Roman"/>
          <w:sz w:val="24"/>
          <w:szCs w:val="24"/>
        </w:rPr>
        <w:t>EnVar</w:t>
      </w:r>
      <w:proofErr w:type="spellEnd"/>
      <w:r w:rsidR="00C76219" w:rsidRPr="00723DA9">
        <w:rPr>
          <w:rFonts w:ascii="Times New Roman" w:hAnsi="Times New Roman" w:cs="Times New Roman"/>
          <w:sz w:val="24"/>
          <w:szCs w:val="24"/>
        </w:rPr>
        <w:t xml:space="preserve"> DA improves the analyzed storm structure and short-term maximum wind speed (Vmax) and minimum sea level pressure (MSLP) forecasts compared to coarser, single-resolution </w:t>
      </w:r>
      <w:proofErr w:type="spellStart"/>
      <w:r w:rsidR="0034377C">
        <w:rPr>
          <w:rFonts w:ascii="Times New Roman" w:hAnsi="Times New Roman" w:cs="Times New Roman"/>
          <w:sz w:val="24"/>
          <w:szCs w:val="24"/>
        </w:rPr>
        <w:t>EnVar</w:t>
      </w:r>
      <w:proofErr w:type="spellEnd"/>
      <w:r w:rsidR="0034377C" w:rsidRPr="00723DA9">
        <w:rPr>
          <w:rFonts w:ascii="Times New Roman" w:hAnsi="Times New Roman" w:cs="Times New Roman"/>
          <w:sz w:val="24"/>
          <w:szCs w:val="24"/>
        </w:rPr>
        <w:t xml:space="preserve"> </w:t>
      </w:r>
      <w:r w:rsidR="00C76219" w:rsidRPr="00723DA9">
        <w:rPr>
          <w:rFonts w:ascii="Times New Roman" w:hAnsi="Times New Roman" w:cs="Times New Roman"/>
          <w:sz w:val="24"/>
          <w:szCs w:val="24"/>
        </w:rPr>
        <w:t xml:space="preserve">DA, but track and radius of maximum wind (RMW) forecasts do not improve. </w:t>
      </w:r>
      <w:r w:rsidR="0040554A" w:rsidRPr="00723DA9">
        <w:rPr>
          <w:rFonts w:ascii="Times New Roman" w:hAnsi="Times New Roman" w:cs="Times New Roman"/>
          <w:sz w:val="24"/>
          <w:szCs w:val="24"/>
        </w:rPr>
        <w:t xml:space="preserve"> </w:t>
      </w:r>
      <w:r w:rsidR="00D97DE6">
        <w:rPr>
          <w:rFonts w:ascii="Times New Roman" w:hAnsi="Times New Roman" w:cs="Times New Roman"/>
          <w:sz w:val="24"/>
          <w:szCs w:val="24"/>
        </w:rPr>
        <w:t xml:space="preserve">(2) </w:t>
      </w:r>
      <w:r w:rsidR="00C76219" w:rsidRPr="00723DA9">
        <w:rPr>
          <w:rFonts w:ascii="Times New Roman" w:hAnsi="Times New Roman" w:cs="Times New Roman"/>
          <w:sz w:val="24"/>
          <w:szCs w:val="24"/>
        </w:rPr>
        <w:t xml:space="preserve">Additionally, applying </w:t>
      </w:r>
      <w:r w:rsidR="00477BB3">
        <w:rPr>
          <w:rFonts w:ascii="Times New Roman" w:hAnsi="Times New Roman" w:cs="Times New Roman"/>
          <w:sz w:val="24"/>
          <w:szCs w:val="24"/>
        </w:rPr>
        <w:t>vortex relocation (</w:t>
      </w:r>
      <w:r w:rsidR="00C76219" w:rsidRPr="00723DA9">
        <w:rPr>
          <w:rFonts w:ascii="Times New Roman" w:hAnsi="Times New Roman" w:cs="Times New Roman"/>
          <w:sz w:val="24"/>
          <w:szCs w:val="24"/>
        </w:rPr>
        <w:t>VR</w:t>
      </w:r>
      <w:r w:rsidR="00477BB3">
        <w:rPr>
          <w:rFonts w:ascii="Times New Roman" w:hAnsi="Times New Roman" w:cs="Times New Roman"/>
          <w:sz w:val="24"/>
          <w:szCs w:val="24"/>
        </w:rPr>
        <w:t>)</w:t>
      </w:r>
      <w:r w:rsidR="00C76219" w:rsidRPr="00723DA9">
        <w:rPr>
          <w:rFonts w:ascii="Times New Roman" w:hAnsi="Times New Roman" w:cs="Times New Roman"/>
          <w:sz w:val="24"/>
          <w:szCs w:val="24"/>
        </w:rPr>
        <w:t xml:space="preserve"> and</w:t>
      </w:r>
      <w:r w:rsidR="00477BB3">
        <w:rPr>
          <w:rFonts w:ascii="Times New Roman" w:hAnsi="Times New Roman" w:cs="Times New Roman"/>
          <w:sz w:val="24"/>
          <w:szCs w:val="24"/>
        </w:rPr>
        <w:t xml:space="preserve"> vortex modification</w:t>
      </w:r>
      <w:r w:rsidR="00C76219" w:rsidRPr="00723DA9">
        <w:rPr>
          <w:rFonts w:ascii="Times New Roman" w:hAnsi="Times New Roman" w:cs="Times New Roman"/>
          <w:sz w:val="24"/>
          <w:szCs w:val="24"/>
        </w:rPr>
        <w:t xml:space="preserve"> </w:t>
      </w:r>
      <w:r w:rsidR="00477BB3">
        <w:rPr>
          <w:rFonts w:ascii="Times New Roman" w:hAnsi="Times New Roman" w:cs="Times New Roman"/>
          <w:sz w:val="24"/>
          <w:szCs w:val="24"/>
        </w:rPr>
        <w:t>(</w:t>
      </w:r>
      <w:r w:rsidR="00C76219" w:rsidRPr="00723DA9">
        <w:rPr>
          <w:rFonts w:ascii="Times New Roman" w:hAnsi="Times New Roman" w:cs="Times New Roman"/>
          <w:sz w:val="24"/>
          <w:szCs w:val="24"/>
        </w:rPr>
        <w:t>VM</w:t>
      </w:r>
      <w:r w:rsidR="00477BB3">
        <w:rPr>
          <w:rFonts w:ascii="Times New Roman" w:hAnsi="Times New Roman" w:cs="Times New Roman"/>
          <w:sz w:val="24"/>
          <w:szCs w:val="24"/>
        </w:rPr>
        <w:t>)</w:t>
      </w:r>
      <w:r w:rsidR="00C76219" w:rsidRPr="00723DA9">
        <w:rPr>
          <w:rFonts w:ascii="Times New Roman" w:hAnsi="Times New Roman" w:cs="Times New Roman"/>
          <w:sz w:val="24"/>
          <w:szCs w:val="24"/>
        </w:rPr>
        <w:t xml:space="preserve"> on the control background before DA improves the analyzed storm, overall track, RMW, MSLP, and Vmax forecasts.</w:t>
      </w:r>
      <w:r w:rsidR="00F63979">
        <w:rPr>
          <w:rFonts w:ascii="Times New Roman" w:hAnsi="Times New Roman" w:cs="Times New Roman"/>
          <w:sz w:val="24"/>
          <w:szCs w:val="24"/>
        </w:rPr>
        <w:t xml:space="preserve"> </w:t>
      </w:r>
      <w:r w:rsidR="00C76219" w:rsidRPr="00723DA9">
        <w:rPr>
          <w:rFonts w:ascii="Times New Roman" w:hAnsi="Times New Roman" w:cs="Times New Roman"/>
          <w:sz w:val="24"/>
          <w:szCs w:val="24"/>
        </w:rPr>
        <w:t xml:space="preserve"> Further applying VR on the ensemble background improves the analyzed storm and forecast biases for MSLP and Vmax. </w:t>
      </w:r>
      <w:r w:rsidR="00ED62FE" w:rsidRPr="00723DA9">
        <w:rPr>
          <w:rFonts w:ascii="Times New Roman" w:hAnsi="Times New Roman" w:cs="Times New Roman"/>
          <w:sz w:val="24"/>
          <w:szCs w:val="24"/>
        </w:rPr>
        <w:t xml:space="preserve"> </w:t>
      </w:r>
      <w:r w:rsidR="00D97DE6">
        <w:rPr>
          <w:rFonts w:ascii="Times New Roman" w:hAnsi="Times New Roman" w:cs="Times New Roman"/>
          <w:sz w:val="24"/>
          <w:szCs w:val="24"/>
        </w:rPr>
        <w:t>(</w:t>
      </w:r>
      <w:r w:rsidR="00CF6445">
        <w:rPr>
          <w:rFonts w:ascii="Times New Roman" w:hAnsi="Times New Roman" w:cs="Times New Roman"/>
          <w:sz w:val="24"/>
          <w:szCs w:val="24"/>
        </w:rPr>
        <w:t>3</w:t>
      </w:r>
      <w:r w:rsidR="00D97DE6">
        <w:rPr>
          <w:rFonts w:ascii="Times New Roman" w:hAnsi="Times New Roman" w:cs="Times New Roman"/>
          <w:sz w:val="24"/>
          <w:szCs w:val="24"/>
        </w:rPr>
        <w:t xml:space="preserve">) </w:t>
      </w:r>
      <w:r w:rsidR="00C76219" w:rsidRPr="00723DA9">
        <w:rPr>
          <w:rFonts w:ascii="Times New Roman" w:hAnsi="Times New Roman" w:cs="Times New Roman"/>
          <w:sz w:val="24"/>
          <w:szCs w:val="24"/>
        </w:rPr>
        <w:t xml:space="preserve">Also, using </w:t>
      </w:r>
      <w:r w:rsidR="00CF6445">
        <w:rPr>
          <w:rFonts w:ascii="Times New Roman" w:hAnsi="Times New Roman" w:cs="Times New Roman"/>
          <w:sz w:val="24"/>
          <w:szCs w:val="24"/>
        </w:rPr>
        <w:t>four</w:t>
      </w:r>
      <w:r w:rsidR="00CF6445" w:rsidRPr="00723DA9">
        <w:rPr>
          <w:rFonts w:ascii="Times New Roman" w:hAnsi="Times New Roman" w:cs="Times New Roman"/>
          <w:sz w:val="24"/>
          <w:szCs w:val="24"/>
        </w:rPr>
        <w:t xml:space="preserve">-dimensional </w:t>
      </w:r>
      <w:r w:rsidR="00CF6445">
        <w:rPr>
          <w:rFonts w:ascii="Times New Roman" w:hAnsi="Times New Roman" w:cs="Times New Roman"/>
          <w:sz w:val="24"/>
          <w:szCs w:val="24"/>
        </w:rPr>
        <w:t>(</w:t>
      </w:r>
      <w:r w:rsidR="00C76219" w:rsidRPr="00723DA9">
        <w:rPr>
          <w:rFonts w:ascii="Times New Roman" w:hAnsi="Times New Roman" w:cs="Times New Roman"/>
          <w:sz w:val="24"/>
          <w:szCs w:val="24"/>
        </w:rPr>
        <w:t>4D</w:t>
      </w:r>
      <w:r w:rsidR="00CF6445">
        <w:rPr>
          <w:rFonts w:ascii="Times New Roman" w:hAnsi="Times New Roman" w:cs="Times New Roman"/>
          <w:sz w:val="24"/>
          <w:szCs w:val="24"/>
        </w:rPr>
        <w:t xml:space="preserve">) </w:t>
      </w:r>
      <w:proofErr w:type="spellStart"/>
      <w:r w:rsidR="00C76219" w:rsidRPr="00723DA9">
        <w:rPr>
          <w:rFonts w:ascii="Times New Roman" w:hAnsi="Times New Roman" w:cs="Times New Roman"/>
          <w:sz w:val="24"/>
          <w:szCs w:val="24"/>
        </w:rPr>
        <w:t>EnVar</w:t>
      </w:r>
      <w:proofErr w:type="spellEnd"/>
      <w:r w:rsidR="00C76219" w:rsidRPr="00723DA9">
        <w:rPr>
          <w:rFonts w:ascii="Times New Roman" w:hAnsi="Times New Roman" w:cs="Times New Roman"/>
          <w:sz w:val="24"/>
          <w:szCs w:val="24"/>
        </w:rPr>
        <w:t xml:space="preserve"> to assimilate tail Doppler radar (TDR) data improves the analyzed storm and short-term MSLP and Vmax forecasts compared to three-dimensional </w:t>
      </w:r>
      <w:r w:rsidR="00F45644">
        <w:rPr>
          <w:rFonts w:ascii="Times New Roman" w:hAnsi="Times New Roman" w:cs="Times New Roman"/>
          <w:sz w:val="24"/>
          <w:szCs w:val="24"/>
        </w:rPr>
        <w:t xml:space="preserve">(3D) </w:t>
      </w:r>
      <w:proofErr w:type="spellStart"/>
      <w:r w:rsidR="00C76219" w:rsidRPr="00723DA9">
        <w:rPr>
          <w:rFonts w:ascii="Times New Roman" w:hAnsi="Times New Roman" w:cs="Times New Roman"/>
          <w:sz w:val="24"/>
          <w:szCs w:val="24"/>
        </w:rPr>
        <w:t>EnVar</w:t>
      </w:r>
      <w:proofErr w:type="spellEnd"/>
      <w:r w:rsidR="00C76219" w:rsidRPr="00723DA9">
        <w:rPr>
          <w:rFonts w:ascii="Times New Roman" w:hAnsi="Times New Roman" w:cs="Times New Roman"/>
          <w:sz w:val="24"/>
          <w:szCs w:val="24"/>
        </w:rPr>
        <w:t xml:space="preserve"> although 4DEnVar slightly degrades the track forecast. </w:t>
      </w:r>
      <w:r w:rsidR="00ED62FE" w:rsidRPr="00723DA9">
        <w:rPr>
          <w:rFonts w:ascii="Times New Roman" w:hAnsi="Times New Roman" w:cs="Times New Roman"/>
          <w:sz w:val="24"/>
          <w:szCs w:val="24"/>
        </w:rPr>
        <w:t xml:space="preserve"> </w:t>
      </w:r>
      <w:r w:rsidR="00D97DE6">
        <w:rPr>
          <w:rFonts w:ascii="Times New Roman" w:hAnsi="Times New Roman" w:cs="Times New Roman"/>
          <w:sz w:val="24"/>
          <w:szCs w:val="24"/>
        </w:rPr>
        <w:t>(</w:t>
      </w:r>
      <w:r w:rsidR="00CF6445">
        <w:rPr>
          <w:rFonts w:ascii="Times New Roman" w:hAnsi="Times New Roman" w:cs="Times New Roman"/>
          <w:sz w:val="24"/>
          <w:szCs w:val="24"/>
        </w:rPr>
        <w:t>4</w:t>
      </w:r>
      <w:r w:rsidR="00D97DE6">
        <w:rPr>
          <w:rFonts w:ascii="Times New Roman" w:hAnsi="Times New Roman" w:cs="Times New Roman"/>
          <w:sz w:val="24"/>
          <w:szCs w:val="24"/>
        </w:rPr>
        <w:t xml:space="preserve">) </w:t>
      </w:r>
      <w:r w:rsidR="00C76219" w:rsidRPr="00723DA9">
        <w:rPr>
          <w:rFonts w:ascii="Times New Roman" w:hAnsi="Times New Roman" w:cs="Times New Roman"/>
          <w:sz w:val="24"/>
          <w:szCs w:val="24"/>
        </w:rPr>
        <w:t xml:space="preserve">Finally, </w:t>
      </w:r>
      <w:r w:rsidR="00C30F9C">
        <w:rPr>
          <w:rFonts w:ascii="Times New Roman" w:eastAsia="Times New Roman" w:hAnsi="Times New Roman" w:cs="Times New Roman"/>
          <w:color w:val="000000"/>
          <w:sz w:val="24"/>
          <w:szCs w:val="24"/>
        </w:rPr>
        <w:t>a diagnostic on why advanced DA can improve the TC intensity forecast for Edouard (2014) is provided.</w:t>
      </w:r>
      <w:r w:rsidR="00C30F9C" w:rsidRPr="009D5989">
        <w:rPr>
          <w:rFonts w:ascii="Times New Roman" w:eastAsia="Times New Roman" w:hAnsi="Times New Roman" w:cs="Times New Roman"/>
          <w:color w:val="000000"/>
          <w:sz w:val="24"/>
          <w:szCs w:val="24"/>
        </w:rPr>
        <w:t xml:space="preserve">  </w:t>
      </w:r>
    </w:p>
    <w:p w14:paraId="2595775D" w14:textId="4DF6E308" w:rsidR="00F72130" w:rsidRDefault="00F72130" w:rsidP="00771F99">
      <w:pPr>
        <w:spacing w:after="0" w:line="480" w:lineRule="auto"/>
        <w:ind w:firstLine="432"/>
        <w:rPr>
          <w:rFonts w:ascii="Times New Roman" w:hAnsi="Times New Roman" w:cs="Times New Roman"/>
          <w:sz w:val="24"/>
          <w:szCs w:val="24"/>
        </w:rPr>
      </w:pPr>
      <w:r w:rsidRPr="00F72130">
        <w:rPr>
          <w:rFonts w:ascii="Times New Roman" w:hAnsi="Times New Roman" w:cs="Times New Roman"/>
          <w:sz w:val="24"/>
          <w:szCs w:val="24"/>
        </w:rPr>
        <w:t xml:space="preserve">In the </w:t>
      </w:r>
      <w:r w:rsidR="006410AB">
        <w:rPr>
          <w:rFonts w:ascii="Times New Roman" w:hAnsi="Times New Roman" w:cs="Times New Roman"/>
          <w:sz w:val="24"/>
          <w:szCs w:val="24"/>
        </w:rPr>
        <w:t>third</w:t>
      </w:r>
      <w:r w:rsidRPr="00F72130">
        <w:rPr>
          <w:rFonts w:ascii="Times New Roman" w:hAnsi="Times New Roman" w:cs="Times New Roman"/>
          <w:sz w:val="24"/>
          <w:szCs w:val="24"/>
        </w:rPr>
        <w:t xml:space="preserve"> part, using the </w:t>
      </w:r>
      <w:r w:rsidR="00994D21">
        <w:rPr>
          <w:rFonts w:ascii="Times New Roman" w:hAnsi="Times New Roman" w:cs="Times New Roman"/>
          <w:sz w:val="24"/>
          <w:szCs w:val="24"/>
        </w:rPr>
        <w:t>further upgraded</w:t>
      </w:r>
      <w:r w:rsidRPr="00F72130">
        <w:rPr>
          <w:rFonts w:ascii="Times New Roman" w:hAnsi="Times New Roman" w:cs="Times New Roman"/>
          <w:sz w:val="24"/>
          <w:szCs w:val="24"/>
        </w:rPr>
        <w:t xml:space="preserve"> DA system, the deficiency of the numerical model physics was discussed.  Although the DA produces realistic 3D analyses to initialize the model, persistent Vmax spin-down is found during the rapid intensification of hurricane Patricia </w:t>
      </w:r>
      <w:r w:rsidRPr="00F72130">
        <w:rPr>
          <w:rFonts w:ascii="Times New Roman" w:hAnsi="Times New Roman" w:cs="Times New Roman"/>
          <w:sz w:val="24"/>
          <w:szCs w:val="24"/>
        </w:rPr>
        <w:lastRenderedPageBreak/>
        <w:t xml:space="preserve">(2015).  Diagnostics reveal that the spin-down issue is likely attributed to the deficient HWRF model physics which are unable to maintain the realistic 3D structures from the DA analysis.  The horizontal diffusion is too strong to maintain the realistically observed vertical oscillation of radial wind near the eyewall region.  The vertical diffusion profile cannot produce a sufficiently strong secondary circulation connecting the realistically elevated upper-level outflow produced in the DA analysis.  Further investigations with different model physics parameterizations demonstrate that spin-down can be alleviated by modifying model physics.  In particular, a modified turbulent mixing parameterization scheme together with a reduced horizontal diffusion is found to significantly alleviate the spin-down issue and to improve the intensity forecast.  Additional experiments show that the peak simulated intensity and </w:t>
      </w:r>
      <w:r w:rsidR="00477BB3">
        <w:rPr>
          <w:rFonts w:ascii="Times New Roman" w:hAnsi="Times New Roman" w:cs="Times New Roman"/>
          <w:sz w:val="24"/>
          <w:szCs w:val="24"/>
        </w:rPr>
        <w:t xml:space="preserve">rapid intensification (RI) </w:t>
      </w:r>
      <w:r w:rsidRPr="00F72130">
        <w:rPr>
          <w:rFonts w:ascii="Times New Roman" w:hAnsi="Times New Roman" w:cs="Times New Roman"/>
          <w:sz w:val="24"/>
          <w:szCs w:val="24"/>
        </w:rPr>
        <w:t>rate can be further improved by increasing the model resolution.  But the model resolution is not as important as model physics in the spin-down alleviation.</w:t>
      </w:r>
    </w:p>
    <w:p w14:paraId="496BDF6C" w14:textId="678BEDF9" w:rsidR="00C32955" w:rsidRPr="00723DA9" w:rsidRDefault="00AC7602" w:rsidP="00257E13">
      <w:pPr>
        <w:spacing w:after="0" w:line="480" w:lineRule="auto"/>
        <w:ind w:firstLine="432"/>
        <w:rPr>
          <w:rFonts w:ascii="Times New Roman" w:hAnsi="Times New Roman" w:cs="Times New Roman"/>
          <w:b/>
          <w:bCs/>
          <w:sz w:val="24"/>
          <w:szCs w:val="24"/>
        </w:rPr>
        <w:sectPr w:rsidR="00C32955" w:rsidRPr="00723DA9" w:rsidSect="009A59CF">
          <w:footerReference w:type="default" r:id="rId9"/>
          <w:pgSz w:w="12240" w:h="15840"/>
          <w:pgMar w:top="1440" w:right="1440" w:bottom="1440" w:left="1440" w:header="720" w:footer="720" w:gutter="0"/>
          <w:pgNumType w:fmt="lowerRoman"/>
          <w:cols w:space="720"/>
          <w:docGrid w:linePitch="360"/>
        </w:sectPr>
      </w:pPr>
      <w:r w:rsidRPr="00AC7602">
        <w:rPr>
          <w:rFonts w:ascii="Times New Roman" w:eastAsia="MS Mincho" w:hAnsi="Times New Roman" w:cs="Times New Roman"/>
          <w:bCs/>
          <w:sz w:val="24"/>
          <w:szCs w:val="24"/>
          <w:lang w:eastAsia="en-US"/>
        </w:rPr>
        <w:t xml:space="preserve">The last part of the </w:t>
      </w:r>
      <w:r>
        <w:rPr>
          <w:rFonts w:ascii="Times New Roman" w:eastAsia="MS Mincho" w:hAnsi="Times New Roman" w:cs="Times New Roman"/>
          <w:bCs/>
          <w:sz w:val="24"/>
          <w:szCs w:val="24"/>
          <w:lang w:eastAsia="en-US"/>
        </w:rPr>
        <w:t>dissertation</w:t>
      </w:r>
      <w:r w:rsidRPr="00AC7602">
        <w:rPr>
          <w:rFonts w:ascii="Times New Roman" w:eastAsia="MS Mincho" w:hAnsi="Times New Roman" w:cs="Times New Roman"/>
          <w:bCs/>
          <w:sz w:val="24"/>
          <w:szCs w:val="24"/>
          <w:lang w:eastAsia="en-US"/>
        </w:rPr>
        <w:t xml:space="preserve"> explores the</w:t>
      </w:r>
      <w:r w:rsidR="00F05331">
        <w:rPr>
          <w:rFonts w:ascii="Times New Roman" w:eastAsia="MS Mincho" w:hAnsi="Times New Roman" w:cs="Times New Roman"/>
          <w:bCs/>
          <w:sz w:val="24"/>
          <w:szCs w:val="24"/>
          <w:lang w:eastAsia="en-US"/>
        </w:rPr>
        <w:t xml:space="preserve"> relative</w:t>
      </w:r>
      <w:r w:rsidRPr="00AC7602">
        <w:rPr>
          <w:rFonts w:ascii="Times New Roman" w:eastAsia="MS Mincho" w:hAnsi="Times New Roman" w:cs="Times New Roman"/>
          <w:bCs/>
          <w:sz w:val="24"/>
          <w:szCs w:val="24"/>
          <w:lang w:eastAsia="en-US"/>
        </w:rPr>
        <w:t xml:space="preserve"> impact of various vortex scale observations on the analysis and prediction of hurricane Patricia (2015).  </w:t>
      </w:r>
      <w:r w:rsidR="000E24EB">
        <w:rPr>
          <w:rFonts w:ascii="Times New Roman" w:eastAsia="MS Mincho" w:hAnsi="Times New Roman" w:cs="Times New Roman"/>
          <w:bCs/>
          <w:sz w:val="24"/>
          <w:szCs w:val="24"/>
          <w:lang w:eastAsia="en-US"/>
        </w:rPr>
        <w:t>In comparing the impacts of assimilating each dataset individually, results suggest that: (</w:t>
      </w:r>
      <w:r w:rsidR="000E24EB" w:rsidRPr="00723DA9">
        <w:rPr>
          <w:rFonts w:ascii="Times New Roman" w:hAnsi="Times New Roman" w:cs="Times New Roman"/>
          <w:color w:val="000000" w:themeColor="text1"/>
          <w:sz w:val="24"/>
          <w:szCs w:val="24"/>
        </w:rPr>
        <w:t xml:space="preserve">1) </w:t>
      </w:r>
      <w:r w:rsidR="000E24EB">
        <w:rPr>
          <w:rFonts w:ascii="Times New Roman" w:hAnsi="Times New Roman" w:cs="Times New Roman"/>
          <w:color w:val="000000" w:themeColor="text1"/>
          <w:sz w:val="24"/>
          <w:szCs w:val="24"/>
        </w:rPr>
        <w:t>T</w:t>
      </w:r>
      <w:r w:rsidR="000E24EB" w:rsidRPr="00723DA9">
        <w:rPr>
          <w:rFonts w:ascii="Times New Roman" w:hAnsi="Times New Roman" w:cs="Times New Roman"/>
          <w:color w:val="000000" w:themeColor="text1"/>
          <w:sz w:val="24"/>
          <w:szCs w:val="24"/>
        </w:rPr>
        <w:t xml:space="preserve">he assimilation of </w:t>
      </w:r>
      <w:r w:rsidR="000E24EB">
        <w:rPr>
          <w:rFonts w:ascii="Times New Roman" w:hAnsi="Times New Roman" w:cs="Times New Roman"/>
          <w:color w:val="000000" w:themeColor="text1"/>
          <w:sz w:val="24"/>
          <w:szCs w:val="24"/>
        </w:rPr>
        <w:t>3</w:t>
      </w:r>
      <w:r w:rsidR="000E24EB" w:rsidRPr="00723DA9">
        <w:rPr>
          <w:rFonts w:ascii="Times New Roman" w:hAnsi="Times New Roman" w:cs="Times New Roman"/>
          <w:color w:val="000000" w:themeColor="text1"/>
          <w:sz w:val="24"/>
          <w:szCs w:val="24"/>
        </w:rPr>
        <w:t xml:space="preserve">D observations produces better TC structure analysis than the assimilation of </w:t>
      </w:r>
      <w:r w:rsidR="00BF246B">
        <w:rPr>
          <w:rFonts w:ascii="Times New Roman" w:eastAsia="宋体" w:hAnsi="Times New Roman" w:cs="Times New Roman"/>
          <w:sz w:val="24"/>
          <w:szCs w:val="24"/>
        </w:rPr>
        <w:t>two-dimensional (</w:t>
      </w:r>
      <w:r w:rsidR="000E24EB">
        <w:rPr>
          <w:rFonts w:ascii="Times New Roman" w:hAnsi="Times New Roman" w:cs="Times New Roman"/>
          <w:color w:val="000000" w:themeColor="text1"/>
          <w:sz w:val="24"/>
          <w:szCs w:val="24"/>
        </w:rPr>
        <w:t>2</w:t>
      </w:r>
      <w:r w:rsidR="000E24EB" w:rsidRPr="00723DA9">
        <w:rPr>
          <w:rFonts w:ascii="Times New Roman" w:hAnsi="Times New Roman" w:cs="Times New Roman"/>
          <w:color w:val="000000" w:themeColor="text1"/>
          <w:sz w:val="24"/>
          <w:szCs w:val="24"/>
        </w:rPr>
        <w:t>D</w:t>
      </w:r>
      <w:r w:rsidR="00BF246B">
        <w:rPr>
          <w:rFonts w:ascii="Times New Roman" w:hAnsi="Times New Roman" w:cs="Times New Roman"/>
          <w:color w:val="000000" w:themeColor="text1"/>
          <w:sz w:val="24"/>
          <w:szCs w:val="24"/>
        </w:rPr>
        <w:t>)</w:t>
      </w:r>
      <w:r w:rsidR="000E24EB" w:rsidRPr="00723DA9">
        <w:rPr>
          <w:rFonts w:ascii="Times New Roman" w:hAnsi="Times New Roman" w:cs="Times New Roman"/>
          <w:color w:val="000000" w:themeColor="text1"/>
          <w:sz w:val="24"/>
          <w:szCs w:val="24"/>
        </w:rPr>
        <w:t xml:space="preserve"> observations;</w:t>
      </w:r>
      <w:r w:rsidR="000E24EB">
        <w:rPr>
          <w:rFonts w:ascii="Times New Roman" w:hAnsi="Times New Roman" w:cs="Times New Roman"/>
          <w:color w:val="000000" w:themeColor="text1"/>
          <w:sz w:val="24"/>
          <w:szCs w:val="24"/>
        </w:rPr>
        <w:t xml:space="preserve"> (</w:t>
      </w:r>
      <w:r w:rsidR="000E24EB" w:rsidRPr="00723DA9">
        <w:rPr>
          <w:rFonts w:ascii="Times New Roman" w:hAnsi="Times New Roman" w:cs="Times New Roman"/>
          <w:color w:val="000000" w:themeColor="text1"/>
          <w:sz w:val="24"/>
          <w:szCs w:val="24"/>
        </w:rPr>
        <w:t xml:space="preserve">2) </w:t>
      </w:r>
      <w:r w:rsidR="000E24EB">
        <w:rPr>
          <w:rFonts w:ascii="Times New Roman" w:eastAsia="宋体" w:hAnsi="Times New Roman" w:cs="Times New Roman"/>
          <w:sz w:val="24"/>
          <w:szCs w:val="24"/>
        </w:rPr>
        <w:t>The analysis from assimilating observations collected from platforms that only sample momentum fields produces a less improved forecast with either short-lived impacts or slower intensity spin-up as compared to the forecast produced after assimilating observations collected from platforms that sample both momentum and thermal fields</w:t>
      </w:r>
      <w:r w:rsidR="000E24EB" w:rsidRPr="00723DA9">
        <w:rPr>
          <w:rFonts w:ascii="Times New Roman" w:hAnsi="Times New Roman" w:cs="Times New Roman"/>
          <w:color w:val="000000" w:themeColor="text1"/>
          <w:sz w:val="24"/>
          <w:szCs w:val="24"/>
        </w:rPr>
        <w:t xml:space="preserve">; </w:t>
      </w:r>
      <w:r w:rsidR="000E24EB">
        <w:rPr>
          <w:rFonts w:ascii="Times New Roman" w:hAnsi="Times New Roman" w:cs="Times New Roman"/>
          <w:color w:val="000000" w:themeColor="text1"/>
          <w:sz w:val="24"/>
          <w:szCs w:val="24"/>
        </w:rPr>
        <w:t>(3</w:t>
      </w:r>
      <w:r w:rsidR="000E24EB" w:rsidRPr="00723DA9">
        <w:rPr>
          <w:rFonts w:ascii="Times New Roman" w:hAnsi="Times New Roman" w:cs="Times New Roman"/>
          <w:color w:val="000000" w:themeColor="text1"/>
          <w:sz w:val="24"/>
          <w:szCs w:val="24"/>
        </w:rPr>
        <w:t xml:space="preserve">) </w:t>
      </w:r>
      <w:r w:rsidR="000E24EB">
        <w:rPr>
          <w:rFonts w:ascii="Times New Roman" w:eastAsia="宋体" w:hAnsi="Times New Roman" w:cs="Times New Roman"/>
          <w:sz w:val="24"/>
          <w:szCs w:val="24"/>
        </w:rPr>
        <w:t>The structure forecast tends to benefit more from the assimilation of inner-core observations than the corresponding intensity forecast, which implies better verification metrics are needed for future TC forecast evaluation</w:t>
      </w:r>
      <w:r w:rsidR="000E24EB" w:rsidRPr="00723DA9">
        <w:rPr>
          <w:rFonts w:ascii="Times New Roman" w:hAnsi="Times New Roman" w:cs="Times New Roman"/>
          <w:color w:val="000000" w:themeColor="text1"/>
          <w:sz w:val="24"/>
          <w:szCs w:val="24"/>
        </w:rPr>
        <w:t xml:space="preserve">.  </w:t>
      </w:r>
      <w:r w:rsidR="00C32955" w:rsidRPr="00723DA9">
        <w:rPr>
          <w:rFonts w:ascii="Times New Roman" w:hAnsi="Times New Roman" w:cs="Times New Roman"/>
          <w:b/>
          <w:bCs/>
          <w:sz w:val="24"/>
          <w:szCs w:val="24"/>
        </w:rPr>
        <w:br w:type="page"/>
      </w:r>
    </w:p>
    <w:p w14:paraId="7AA92D63" w14:textId="773EBCEE" w:rsidR="00823393" w:rsidRPr="00723DA9" w:rsidRDefault="00E22E12" w:rsidP="004D6806">
      <w:pPr>
        <w:pStyle w:val="Heading1"/>
        <w:spacing w:before="0" w:after="240" w:line="480" w:lineRule="auto"/>
        <w:rPr>
          <w:rFonts w:ascii="Times New Roman" w:hAnsi="Times New Roman" w:cs="Times New Roman"/>
          <w:b/>
          <w:color w:val="auto"/>
          <w:sz w:val="24"/>
          <w:szCs w:val="24"/>
        </w:rPr>
      </w:pPr>
      <w:bookmarkStart w:id="4" w:name="_Toc21623970"/>
      <w:r w:rsidRPr="00723DA9">
        <w:rPr>
          <w:rFonts w:ascii="Times New Roman" w:hAnsi="Times New Roman" w:cs="Times New Roman"/>
          <w:b/>
          <w:color w:val="auto"/>
          <w:sz w:val="24"/>
          <w:szCs w:val="24"/>
        </w:rPr>
        <w:lastRenderedPageBreak/>
        <w:t>Chapter</w:t>
      </w:r>
      <w:r w:rsidR="00823393" w:rsidRPr="00723DA9">
        <w:rPr>
          <w:rFonts w:ascii="Times New Roman" w:hAnsi="Times New Roman" w:cs="Times New Roman"/>
          <w:b/>
          <w:color w:val="auto"/>
          <w:sz w:val="24"/>
          <w:szCs w:val="24"/>
        </w:rPr>
        <w:t xml:space="preserve"> 1</w:t>
      </w:r>
      <w:r w:rsidR="001F3B7A" w:rsidRPr="00723DA9">
        <w:rPr>
          <w:rFonts w:ascii="Times New Roman" w:hAnsi="Times New Roman" w:cs="Times New Roman"/>
          <w:b/>
          <w:color w:val="auto"/>
          <w:sz w:val="24"/>
          <w:szCs w:val="24"/>
        </w:rPr>
        <w:t xml:space="preserve">: </w:t>
      </w:r>
      <w:r w:rsidR="00823393" w:rsidRPr="00723DA9">
        <w:rPr>
          <w:rFonts w:ascii="Times New Roman" w:hAnsi="Times New Roman" w:cs="Times New Roman"/>
          <w:b/>
          <w:color w:val="auto"/>
          <w:sz w:val="24"/>
          <w:szCs w:val="24"/>
        </w:rPr>
        <w:t>Introduction and overview</w:t>
      </w:r>
      <w:bookmarkEnd w:id="4"/>
    </w:p>
    <w:p w14:paraId="70BD2EE6" w14:textId="598A9F27" w:rsidR="001F3B7A" w:rsidRPr="00723DA9" w:rsidRDefault="004F020D"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Multiple p</w:t>
      </w:r>
      <w:r w:rsidR="001F3B7A" w:rsidRPr="00723DA9">
        <w:rPr>
          <w:rFonts w:ascii="Times New Roman" w:hAnsi="Times New Roman" w:cs="Times New Roman"/>
          <w:sz w:val="24"/>
          <w:szCs w:val="24"/>
        </w:rPr>
        <w:t xml:space="preserve">ortions of this dissertation are direct excerpts of </w:t>
      </w:r>
      <w:r w:rsidR="002F4F18" w:rsidRPr="00723DA9">
        <w:rPr>
          <w:rFonts w:ascii="Times New Roman" w:hAnsi="Times New Roman" w:cs="Times New Roman"/>
          <w:sz w:val="24"/>
          <w:szCs w:val="24"/>
        </w:rPr>
        <w:t>Lu et al. (201</w:t>
      </w:r>
      <w:r w:rsidR="00F573DC">
        <w:rPr>
          <w:rFonts w:ascii="Times New Roman" w:hAnsi="Times New Roman" w:cs="Times New Roman"/>
          <w:sz w:val="24"/>
          <w:szCs w:val="24"/>
        </w:rPr>
        <w:t>7</w:t>
      </w:r>
      <w:r w:rsidR="002F4F18" w:rsidRPr="00723DA9">
        <w:rPr>
          <w:rFonts w:ascii="Times New Roman" w:hAnsi="Times New Roman" w:cs="Times New Roman"/>
          <w:sz w:val="24"/>
          <w:szCs w:val="24"/>
        </w:rPr>
        <w:t xml:space="preserve">; © Royal Meteorological Society), </w:t>
      </w:r>
      <w:r w:rsidR="001F3B7A" w:rsidRPr="00723DA9">
        <w:rPr>
          <w:rFonts w:ascii="Times New Roman" w:hAnsi="Times New Roman" w:cs="Times New Roman"/>
          <w:sz w:val="24"/>
          <w:szCs w:val="24"/>
        </w:rPr>
        <w:t xml:space="preserve">Lu </w:t>
      </w:r>
      <w:r w:rsidRPr="00723DA9">
        <w:rPr>
          <w:rFonts w:ascii="Times New Roman" w:hAnsi="Times New Roman" w:cs="Times New Roman"/>
          <w:sz w:val="24"/>
          <w:szCs w:val="24"/>
        </w:rPr>
        <w:t>et al.</w:t>
      </w:r>
      <w:r w:rsidR="001F3B7A" w:rsidRPr="00723DA9">
        <w:rPr>
          <w:rFonts w:ascii="Times New Roman" w:hAnsi="Times New Roman" w:cs="Times New Roman"/>
          <w:sz w:val="24"/>
          <w:szCs w:val="24"/>
        </w:rPr>
        <w:t xml:space="preserve"> (2017; © American Meteorological Society)</w:t>
      </w:r>
      <w:r w:rsidRPr="00723DA9">
        <w:rPr>
          <w:rFonts w:ascii="Times New Roman" w:hAnsi="Times New Roman" w:cs="Times New Roman"/>
          <w:sz w:val="24"/>
          <w:szCs w:val="24"/>
        </w:rPr>
        <w:t xml:space="preserve"> and Lu and Wang (2019; © American Meteorological Society)</w:t>
      </w:r>
      <w:r w:rsidR="001F3B7A" w:rsidRPr="00723DA9">
        <w:rPr>
          <w:rFonts w:ascii="Times New Roman" w:hAnsi="Times New Roman" w:cs="Times New Roman"/>
          <w:sz w:val="24"/>
          <w:szCs w:val="24"/>
        </w:rPr>
        <w:t xml:space="preserve">. This includes parts of </w:t>
      </w:r>
      <w:r w:rsidR="00E22E12" w:rsidRPr="00723DA9">
        <w:rPr>
          <w:rFonts w:ascii="Times New Roman" w:hAnsi="Times New Roman" w:cs="Times New Roman"/>
          <w:sz w:val="24"/>
          <w:szCs w:val="24"/>
        </w:rPr>
        <w:t>Chapter</w:t>
      </w:r>
      <w:r w:rsidR="001F3B7A" w:rsidRPr="00723DA9">
        <w:rPr>
          <w:rFonts w:ascii="Times New Roman" w:hAnsi="Times New Roman" w:cs="Times New Roman"/>
          <w:sz w:val="24"/>
          <w:szCs w:val="24"/>
        </w:rPr>
        <w:t xml:space="preserve">s 1, 2, </w:t>
      </w:r>
      <w:r w:rsidR="00CF3455" w:rsidRPr="00723DA9">
        <w:rPr>
          <w:rFonts w:ascii="Times New Roman" w:hAnsi="Times New Roman" w:cs="Times New Roman"/>
          <w:sz w:val="24"/>
          <w:szCs w:val="24"/>
        </w:rPr>
        <w:t>3,</w:t>
      </w:r>
      <w:r w:rsidR="00D91462" w:rsidRPr="00723DA9">
        <w:rPr>
          <w:rFonts w:ascii="Times New Roman" w:hAnsi="Times New Roman" w:cs="Times New Roman"/>
          <w:sz w:val="24"/>
          <w:szCs w:val="24"/>
        </w:rPr>
        <w:t xml:space="preserve"> 4</w:t>
      </w:r>
      <w:r w:rsidR="00CF3455" w:rsidRPr="00723DA9">
        <w:rPr>
          <w:rFonts w:ascii="Times New Roman" w:hAnsi="Times New Roman" w:cs="Times New Roman"/>
          <w:sz w:val="24"/>
          <w:szCs w:val="24"/>
        </w:rPr>
        <w:t xml:space="preserve"> </w:t>
      </w:r>
      <w:r w:rsidR="001F3B7A" w:rsidRPr="00723DA9">
        <w:rPr>
          <w:rFonts w:ascii="Times New Roman" w:hAnsi="Times New Roman" w:cs="Times New Roman"/>
          <w:sz w:val="24"/>
          <w:szCs w:val="24"/>
        </w:rPr>
        <w:t xml:space="preserve">and </w:t>
      </w:r>
      <w:r w:rsidR="00D91462" w:rsidRPr="00723DA9">
        <w:rPr>
          <w:rFonts w:ascii="Times New Roman" w:hAnsi="Times New Roman" w:cs="Times New Roman"/>
          <w:sz w:val="24"/>
          <w:szCs w:val="24"/>
        </w:rPr>
        <w:t>5</w:t>
      </w:r>
      <w:r w:rsidR="001F3B7A" w:rsidRPr="00723DA9">
        <w:rPr>
          <w:rFonts w:ascii="Times New Roman" w:hAnsi="Times New Roman" w:cs="Times New Roman"/>
          <w:sz w:val="24"/>
          <w:szCs w:val="24"/>
        </w:rPr>
        <w:t>.</w:t>
      </w:r>
    </w:p>
    <w:p w14:paraId="7444546C" w14:textId="311A93AE" w:rsidR="00F63DD4" w:rsidRPr="00723DA9" w:rsidRDefault="00F63DD4" w:rsidP="006562DB">
      <w:pPr>
        <w:pStyle w:val="Heading2"/>
        <w:numPr>
          <w:ilvl w:val="1"/>
          <w:numId w:val="1"/>
        </w:numPr>
        <w:spacing w:line="480" w:lineRule="auto"/>
        <w:ind w:left="0" w:firstLine="0"/>
        <w:rPr>
          <w:rFonts w:ascii="Times New Roman" w:hAnsi="Times New Roman" w:cs="Times New Roman"/>
          <w:b/>
          <w:color w:val="auto"/>
          <w:sz w:val="24"/>
          <w:szCs w:val="24"/>
        </w:rPr>
      </w:pPr>
      <w:bookmarkStart w:id="5" w:name="_Toc21623971"/>
      <w:r w:rsidRPr="00723DA9">
        <w:rPr>
          <w:rFonts w:ascii="Times New Roman" w:hAnsi="Times New Roman" w:cs="Times New Roman"/>
          <w:b/>
          <w:color w:val="auto"/>
          <w:sz w:val="24"/>
          <w:szCs w:val="24"/>
        </w:rPr>
        <w:t>Background and motivation</w:t>
      </w:r>
      <w:bookmarkEnd w:id="5"/>
    </w:p>
    <w:p w14:paraId="26D7042B" w14:textId="3FD705AE" w:rsidR="001D6A31" w:rsidRPr="00723DA9" w:rsidRDefault="008A7A49" w:rsidP="5B610C6B">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The tropical cyclones (TCs)</w:t>
      </w:r>
      <w:r w:rsidR="00EC317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usually </w:t>
      </w:r>
      <w:r w:rsidR="005A3430" w:rsidRPr="00723DA9">
        <w:rPr>
          <w:rFonts w:ascii="Times New Roman" w:hAnsi="Times New Roman" w:cs="Times New Roman"/>
          <w:sz w:val="24"/>
          <w:szCs w:val="24"/>
        </w:rPr>
        <w:t xml:space="preserve">originated from the </w:t>
      </w:r>
      <w:r w:rsidR="007850B9" w:rsidRPr="00723DA9">
        <w:rPr>
          <w:rFonts w:ascii="Times New Roman" w:hAnsi="Times New Roman" w:cs="Times New Roman"/>
          <w:sz w:val="24"/>
          <w:szCs w:val="24"/>
        </w:rPr>
        <w:t xml:space="preserve">warm </w:t>
      </w:r>
      <w:r w:rsidR="005A3430" w:rsidRPr="00723DA9">
        <w:rPr>
          <w:rFonts w:ascii="Times New Roman" w:hAnsi="Times New Roman" w:cs="Times New Roman"/>
          <w:sz w:val="24"/>
          <w:szCs w:val="24"/>
        </w:rPr>
        <w:t>trop</w:t>
      </w:r>
      <w:r w:rsidR="00053FD9" w:rsidRPr="00723DA9">
        <w:rPr>
          <w:rFonts w:ascii="Times New Roman" w:hAnsi="Times New Roman" w:cs="Times New Roman"/>
          <w:sz w:val="24"/>
          <w:szCs w:val="24"/>
        </w:rPr>
        <w:t>i</w:t>
      </w:r>
      <w:r w:rsidR="005A3430" w:rsidRPr="00723DA9">
        <w:rPr>
          <w:rFonts w:ascii="Times New Roman" w:hAnsi="Times New Roman" w:cs="Times New Roman"/>
          <w:sz w:val="24"/>
          <w:szCs w:val="24"/>
        </w:rPr>
        <w:t>cal</w:t>
      </w:r>
      <w:r w:rsidR="007850B9" w:rsidRPr="00723DA9">
        <w:rPr>
          <w:rFonts w:ascii="Times New Roman" w:hAnsi="Times New Roman" w:cs="Times New Roman"/>
          <w:sz w:val="24"/>
          <w:szCs w:val="24"/>
        </w:rPr>
        <w:t xml:space="preserve"> oceans</w:t>
      </w:r>
      <w:r w:rsidR="005A3430" w:rsidRPr="00723DA9">
        <w:rPr>
          <w:rFonts w:ascii="Times New Roman" w:hAnsi="Times New Roman" w:cs="Times New Roman"/>
          <w:sz w:val="24"/>
          <w:szCs w:val="24"/>
        </w:rPr>
        <w:t xml:space="preserve">, </w:t>
      </w:r>
      <w:r w:rsidR="007850B9" w:rsidRPr="00723DA9">
        <w:rPr>
          <w:rFonts w:ascii="Times New Roman" w:hAnsi="Times New Roman" w:cs="Times New Roman"/>
          <w:sz w:val="24"/>
          <w:szCs w:val="24"/>
        </w:rPr>
        <w:t xml:space="preserve">spend most of their lifetime in the open ocean.  </w:t>
      </w:r>
      <w:r w:rsidR="00722D3F">
        <w:rPr>
          <w:rFonts w:ascii="Times New Roman" w:hAnsi="Times New Roman" w:cs="Times New Roman"/>
          <w:sz w:val="24"/>
          <w:szCs w:val="24"/>
        </w:rPr>
        <w:t>But w</w:t>
      </w:r>
      <w:r w:rsidR="0046609F">
        <w:rPr>
          <w:rFonts w:ascii="Times New Roman" w:hAnsi="Times New Roman" w:cs="Times New Roman"/>
          <w:sz w:val="24"/>
          <w:szCs w:val="24"/>
        </w:rPr>
        <w:t>hen</w:t>
      </w:r>
      <w:r w:rsidR="007850B9" w:rsidRPr="00723DA9">
        <w:rPr>
          <w:rFonts w:ascii="Times New Roman" w:hAnsi="Times New Roman" w:cs="Times New Roman"/>
          <w:sz w:val="24"/>
          <w:szCs w:val="24"/>
        </w:rPr>
        <w:t xml:space="preserve"> </w:t>
      </w:r>
      <w:r w:rsidR="004E10E1">
        <w:rPr>
          <w:rFonts w:ascii="Times New Roman" w:hAnsi="Times New Roman" w:cs="Times New Roman"/>
          <w:sz w:val="24"/>
          <w:szCs w:val="24"/>
        </w:rPr>
        <w:t>TCs</w:t>
      </w:r>
      <w:r w:rsidR="007850B9" w:rsidRPr="00723DA9">
        <w:rPr>
          <w:rFonts w:ascii="Times New Roman" w:hAnsi="Times New Roman" w:cs="Times New Roman"/>
          <w:sz w:val="24"/>
          <w:szCs w:val="24"/>
        </w:rPr>
        <w:t xml:space="preserve"> </w:t>
      </w:r>
      <w:r w:rsidR="005A3430" w:rsidRPr="00723DA9">
        <w:rPr>
          <w:rFonts w:ascii="Times New Roman" w:hAnsi="Times New Roman" w:cs="Times New Roman"/>
          <w:sz w:val="24"/>
          <w:szCs w:val="24"/>
        </w:rPr>
        <w:t>mov</w:t>
      </w:r>
      <w:r w:rsidR="00C82ACB" w:rsidRPr="00723DA9">
        <w:rPr>
          <w:rFonts w:ascii="Times New Roman" w:hAnsi="Times New Roman" w:cs="Times New Roman"/>
          <w:sz w:val="24"/>
          <w:szCs w:val="24"/>
        </w:rPr>
        <w:t>e</w:t>
      </w:r>
      <w:r w:rsidR="007850B9" w:rsidRPr="00723DA9">
        <w:rPr>
          <w:rFonts w:ascii="Times New Roman" w:hAnsi="Times New Roman" w:cs="Times New Roman"/>
          <w:sz w:val="24"/>
          <w:szCs w:val="24"/>
        </w:rPr>
        <w:t xml:space="preserve"> </w:t>
      </w:r>
      <w:r w:rsidR="00B925CC" w:rsidRPr="00723DA9">
        <w:rPr>
          <w:rFonts w:ascii="Times New Roman" w:hAnsi="Times New Roman" w:cs="Times New Roman"/>
          <w:sz w:val="24"/>
          <w:szCs w:val="24"/>
        </w:rPr>
        <w:t xml:space="preserve">toward </w:t>
      </w:r>
      <w:r w:rsidR="007850B9" w:rsidRPr="00723DA9">
        <w:rPr>
          <w:rFonts w:ascii="Times New Roman" w:hAnsi="Times New Roman" w:cs="Times New Roman"/>
          <w:sz w:val="24"/>
          <w:szCs w:val="24"/>
        </w:rPr>
        <w:t>or even</w:t>
      </w:r>
      <w:r w:rsidR="005A3430" w:rsidRPr="00723DA9">
        <w:rPr>
          <w:rFonts w:ascii="Times New Roman" w:hAnsi="Times New Roman" w:cs="Times New Roman"/>
          <w:sz w:val="24"/>
          <w:szCs w:val="24"/>
        </w:rPr>
        <w:t xml:space="preserve"> </w:t>
      </w:r>
      <w:r w:rsidR="00B925CC" w:rsidRPr="00723DA9">
        <w:rPr>
          <w:rFonts w:ascii="Times New Roman" w:hAnsi="Times New Roman" w:cs="Times New Roman"/>
          <w:sz w:val="24"/>
          <w:szCs w:val="24"/>
        </w:rPr>
        <w:t xml:space="preserve">around </w:t>
      </w:r>
      <w:r w:rsidR="005A3430" w:rsidRPr="00723DA9">
        <w:rPr>
          <w:rFonts w:ascii="Times New Roman" w:hAnsi="Times New Roman" w:cs="Times New Roman"/>
          <w:sz w:val="24"/>
          <w:szCs w:val="24"/>
        </w:rPr>
        <w:t>the continent</w:t>
      </w:r>
      <w:r w:rsidR="007850B9" w:rsidRPr="00723DA9">
        <w:rPr>
          <w:rFonts w:ascii="Times New Roman" w:hAnsi="Times New Roman" w:cs="Times New Roman"/>
          <w:sz w:val="24"/>
          <w:szCs w:val="24"/>
        </w:rPr>
        <w:t>, they can be devastating</w:t>
      </w:r>
      <w:r w:rsidR="00D93F43">
        <w:rPr>
          <w:rFonts w:ascii="Times New Roman" w:hAnsi="Times New Roman" w:cs="Times New Roman"/>
          <w:sz w:val="24"/>
          <w:szCs w:val="24"/>
        </w:rPr>
        <w:t xml:space="preserve"> to the corresponding coastal areas</w:t>
      </w:r>
      <w:r w:rsidR="009A2E48" w:rsidRPr="00723DA9">
        <w:rPr>
          <w:rFonts w:ascii="Times New Roman" w:hAnsi="Times New Roman" w:cs="Times New Roman"/>
          <w:sz w:val="24"/>
          <w:szCs w:val="24"/>
        </w:rPr>
        <w:t xml:space="preserve"> </w:t>
      </w:r>
      <w:r w:rsidR="009A2E48" w:rsidRPr="5B610C6B">
        <w:fldChar w:fldCharType="begin" w:fldLock="1"/>
      </w:r>
      <w:r w:rsidR="009A2E48" w:rsidRPr="00723DA9">
        <w:rPr>
          <w:rFonts w:ascii="Times New Roman" w:hAnsi="Times New Roman" w:cs="Times New Roman"/>
          <w:sz w:val="24"/>
          <w:szCs w:val="24"/>
        </w:rPr>
        <w:instrText>ADDIN CSL_CITATION {"citationItems":[{"id":"ITEM-1","itemData":{"DOI":"10.1061/ASCE1527-698820089:129","abstract":"After more than two decades of relatively little Atlantic hurricane activity, the past decade saw heightened hurricane activity and more than $150 billion in damage in 2004 and 2005. This paper normalizes mainland U.S. hurricane damage from 1900-2005 to 2005 values using two methodologies. A normalization provides an estimate of the damage that would occur if storms from the past made landfall under another year's societal conditions. Our methods use changes in inflation and wealth at the national level and changes in population and housing units at the coastal county level. Across both normalization methods, there is no remaining trend of increasing absolute damage in the data set, which follows the lack of trends in landfall frequency or intensity observed over the twentieth century. The 1970s and 1980s were notable because of the extremely low amounts of damage compared to other decades. The decade 1996-2005 has the second most damage among the past 11 decades, with only the decade 1926-1935 surpassing its costs. Over the 106 years of record, the average annual normalized damage in the continental United States is about $10 billion under both methods. The most damaging single storm is the 1926 Great Miami storm, with $140-157 billion of normalized damage: the most damaging years are 1926 and 2005. Of the total damage, about 85% is accounted for by the intense hurricanes Saffir-Simpson Categories 3, 4, and 5, yet these have comprised only 24% of the U.S. landfalling tropical cyclones. Unless action is taken to address the growing concentration of people and properties in coastal areas where hurricanes strike, damage will increase, and by a great deal, as more and wealthier people increasingly inhabit these coastal locations.","author":[{"dropping-particle":"","family":"Pielke","given":"Roger A","non-dropping-particle":"","parse-names":false,"suffix":""},{"dropping-particle":"","family":"Gratz","given":"Joel","non-dropping-particle":"","parse-names":false,"suffix":""},{"dropping-particle":"","family":"Landsea","given":"Christopher W","non-dropping-particle":"","parse-names":false,"suffix":""},{"dropping-particle":"","family":"Collins","given":"Douglas","non-dropping-particle":"","parse-names":false,"suffix":""},{"dropping-particle":"","family":"Saunders","given":"Mark A","non-dropping-particle":"","parse-names":false,"suffix":""},{"dropping-particle":"","family":"Musulin","given":"Rade","non-dropping-particle":"","parse-names":false,"suffix":""}],"container-title":"Natural hazards Review","id":"ITEM-1","issued":{"date-parts":[["2008"]]},"page":"29-42","title":"Normalized Hurricane Damage in the United States: 1900-2005","type":"article-journal"},"uris":["http://www.mendeley.com/documents/?uuid=ffe36cc7-7481-3ffb-afbf-a85d10231927"]}],"mendeley":{"formattedCitation":"(Pielke et al. 2008)","plainTextFormattedCitation":"(Pielke et al. 2008)","previouslyFormattedCitation":"(Pielke et al. 2008)"},"properties":{"noteIndex":0},"schema":"https://github.com/citation-style-language/schema/raw/master/csl-citation.json"}</w:instrText>
      </w:r>
      <w:r w:rsidR="009A2E48" w:rsidRPr="5B610C6B">
        <w:rPr>
          <w:rFonts w:ascii="Times New Roman" w:hAnsi="Times New Roman" w:cs="Times New Roman"/>
          <w:sz w:val="24"/>
          <w:szCs w:val="24"/>
        </w:rPr>
        <w:fldChar w:fldCharType="separate"/>
      </w:r>
      <w:r w:rsidR="009A2E48" w:rsidRPr="00723DA9">
        <w:rPr>
          <w:rFonts w:ascii="Times New Roman" w:hAnsi="Times New Roman" w:cs="Times New Roman"/>
          <w:noProof/>
          <w:sz w:val="24"/>
          <w:szCs w:val="24"/>
        </w:rPr>
        <w:t>(Pielke et al. 2008)</w:t>
      </w:r>
      <w:r w:rsidR="009A2E48" w:rsidRPr="5B610C6B">
        <w:fldChar w:fldCharType="end"/>
      </w:r>
      <w:r w:rsidR="005A3430" w:rsidRPr="00723DA9">
        <w:rPr>
          <w:rFonts w:ascii="Times New Roman" w:hAnsi="Times New Roman" w:cs="Times New Roman"/>
          <w:sz w:val="24"/>
          <w:szCs w:val="24"/>
        </w:rPr>
        <w:t xml:space="preserve">. </w:t>
      </w:r>
      <w:r w:rsidR="009E7759" w:rsidRPr="00723DA9">
        <w:rPr>
          <w:rFonts w:ascii="Times New Roman" w:hAnsi="Times New Roman" w:cs="Times New Roman"/>
          <w:sz w:val="24"/>
          <w:szCs w:val="24"/>
        </w:rPr>
        <w:t xml:space="preserve"> </w:t>
      </w:r>
      <w:r w:rsidR="00C82ACB" w:rsidRPr="00723DA9">
        <w:rPr>
          <w:rFonts w:ascii="Times New Roman" w:hAnsi="Times New Roman" w:cs="Times New Roman"/>
          <w:sz w:val="24"/>
          <w:szCs w:val="24"/>
        </w:rPr>
        <w:t>It</w:t>
      </w:r>
      <w:r w:rsidR="009E7759" w:rsidRPr="00723DA9">
        <w:rPr>
          <w:rFonts w:ascii="Times New Roman" w:hAnsi="Times New Roman" w:cs="Times New Roman"/>
          <w:sz w:val="24"/>
          <w:szCs w:val="24"/>
        </w:rPr>
        <w:t xml:space="preserve"> is</w:t>
      </w:r>
      <w:r w:rsidR="00C82ACB" w:rsidRPr="00723DA9">
        <w:rPr>
          <w:rFonts w:ascii="Times New Roman" w:hAnsi="Times New Roman" w:cs="Times New Roman"/>
          <w:sz w:val="24"/>
          <w:szCs w:val="24"/>
        </w:rPr>
        <w:t xml:space="preserve"> thus</w:t>
      </w:r>
      <w:r w:rsidR="009E7759" w:rsidRPr="00723DA9">
        <w:rPr>
          <w:rFonts w:ascii="Times New Roman" w:hAnsi="Times New Roman" w:cs="Times New Roman"/>
          <w:sz w:val="24"/>
          <w:szCs w:val="24"/>
        </w:rPr>
        <w:t xml:space="preserve"> </w:t>
      </w:r>
      <w:r w:rsidR="00053FD9" w:rsidRPr="00723DA9">
        <w:rPr>
          <w:rFonts w:ascii="Times New Roman" w:hAnsi="Times New Roman" w:cs="Times New Roman"/>
          <w:sz w:val="24"/>
          <w:szCs w:val="24"/>
        </w:rPr>
        <w:t>crucial</w:t>
      </w:r>
      <w:r w:rsidR="009E7759" w:rsidRPr="00723DA9">
        <w:rPr>
          <w:rFonts w:ascii="Times New Roman" w:hAnsi="Times New Roman" w:cs="Times New Roman"/>
          <w:sz w:val="24"/>
          <w:szCs w:val="24"/>
        </w:rPr>
        <w:t xml:space="preserve"> to have an accurate prediction of the track and strength of the</w:t>
      </w:r>
      <w:r w:rsidR="00C82ACB" w:rsidRPr="00723DA9">
        <w:rPr>
          <w:rFonts w:ascii="Times New Roman" w:hAnsi="Times New Roman" w:cs="Times New Roman"/>
          <w:sz w:val="24"/>
          <w:szCs w:val="24"/>
        </w:rPr>
        <w:t>se</w:t>
      </w:r>
      <w:r w:rsidR="009E7759" w:rsidRPr="00723DA9">
        <w:rPr>
          <w:rFonts w:ascii="Times New Roman" w:hAnsi="Times New Roman" w:cs="Times New Roman"/>
          <w:sz w:val="24"/>
          <w:szCs w:val="24"/>
        </w:rPr>
        <w:t xml:space="preserve"> potential hazards.</w:t>
      </w:r>
      <w:r w:rsidR="009A2E48" w:rsidRPr="00723DA9">
        <w:rPr>
          <w:rFonts w:ascii="Times New Roman" w:hAnsi="Times New Roman" w:cs="Times New Roman"/>
          <w:sz w:val="24"/>
          <w:szCs w:val="24"/>
        </w:rPr>
        <w:t xml:space="preserve">  </w:t>
      </w:r>
      <w:r w:rsidR="00FE19F0">
        <w:rPr>
          <w:rFonts w:ascii="Times New Roman" w:hAnsi="Times New Roman" w:cs="Times New Roman"/>
          <w:sz w:val="24"/>
          <w:szCs w:val="24"/>
        </w:rPr>
        <w:t>According to the error statistics from the National Hurricane Center (NHC)</w:t>
      </w:r>
      <w:r w:rsidR="00755412" w:rsidRPr="00723DA9">
        <w:rPr>
          <w:rFonts w:ascii="Times New Roman" w:hAnsi="Times New Roman" w:cs="Times New Roman"/>
          <w:sz w:val="24"/>
          <w:szCs w:val="24"/>
        </w:rPr>
        <w:t xml:space="preserve">, </w:t>
      </w:r>
      <w:r w:rsidR="002364C3" w:rsidRPr="00723DA9">
        <w:rPr>
          <w:rFonts w:ascii="Times New Roman" w:hAnsi="Times New Roman" w:cs="Times New Roman"/>
          <w:sz w:val="24"/>
          <w:szCs w:val="24"/>
        </w:rPr>
        <w:t xml:space="preserve">the track forecast of TCs </w:t>
      </w:r>
      <w:r w:rsidR="00E949FF">
        <w:rPr>
          <w:rFonts w:ascii="Times New Roman" w:hAnsi="Times New Roman" w:cs="Times New Roman"/>
          <w:sz w:val="24"/>
          <w:szCs w:val="24"/>
        </w:rPr>
        <w:t>has been</w:t>
      </w:r>
      <w:r w:rsidR="002364C3" w:rsidRPr="00723DA9">
        <w:rPr>
          <w:rFonts w:ascii="Times New Roman" w:hAnsi="Times New Roman" w:cs="Times New Roman"/>
          <w:sz w:val="24"/>
          <w:szCs w:val="24"/>
        </w:rPr>
        <w:t xml:space="preserve"> </w:t>
      </w:r>
      <w:r w:rsidR="0064457E">
        <w:rPr>
          <w:rFonts w:ascii="Times New Roman" w:hAnsi="Times New Roman" w:cs="Times New Roman"/>
          <w:sz w:val="24"/>
          <w:szCs w:val="24"/>
        </w:rPr>
        <w:t>greatly</w:t>
      </w:r>
      <w:r w:rsidR="002364C3" w:rsidRPr="00723DA9">
        <w:rPr>
          <w:rFonts w:ascii="Times New Roman" w:hAnsi="Times New Roman" w:cs="Times New Roman"/>
          <w:sz w:val="24"/>
          <w:szCs w:val="24"/>
        </w:rPr>
        <w:t xml:space="preserve"> improved as compared to that 20 years ago</w:t>
      </w:r>
      <w:r w:rsidR="00D02361">
        <w:rPr>
          <w:rFonts w:ascii="Times New Roman" w:hAnsi="Times New Roman" w:cs="Times New Roman"/>
          <w:sz w:val="24"/>
          <w:szCs w:val="24"/>
        </w:rPr>
        <w:t xml:space="preserve"> </w:t>
      </w:r>
      <w:r w:rsidR="00D02361" w:rsidRPr="5B610C6B">
        <w:fldChar w:fldCharType="begin" w:fldLock="1"/>
      </w:r>
      <w:r w:rsidR="00D02361" w:rsidRPr="00723DA9">
        <w:rPr>
          <w:rFonts w:ascii="Times New Roman" w:hAnsi="Times New Roman" w:cs="Times New Roman"/>
          <w:sz w:val="24"/>
          <w:szCs w:val="24"/>
        </w:rPr>
        <w:instrText>ADDIN CSL_CITATION {"citationItems":[{"id":"ITEM-1","itemData":{"DOI":"10.1175/BAMS-D-13-00231.1","ISSN":"0003-0007","author":[{"dropping-particle":"","family":"Zhang","given":"Fuqing","non-dropping-particle":"","parse-names":false,"suffix":""},{"dropping-particle":"","family":"Weng","given":"Yonghui","non-dropping-particle":"","parse-names":false,"suffix":""}],"container-title":"Bulletin of the American Meteorological Society","id":"ITEM-1","issue":"1","issued":{"date-parts":[["2015"]]},"page":"25-33","title":"Predicting Hurricane Intensity and Associated Hazards: A Five-Year Real-Time Forecast Experiment with Assimilation of Airborne Doppler Radar Observations","type":"article-journal","volume":"96"},"uris":["http://www.mendeley.com/documents/?uuid=897479bf-a469-45b0-bfbf-4922dc2f84e7"]}],"mendeley":{"formattedCitation":"(Zhang and Weng 2015)","plainTextFormattedCitation":"(Zhang and Weng 2015)","previouslyFormattedCitation":"(Zhang and Weng 2015)"},"properties":{"noteIndex":0},"schema":"https://github.com/citation-style-language/schema/raw/master/csl-citation.json"}</w:instrText>
      </w:r>
      <w:r w:rsidR="00D02361" w:rsidRPr="5B610C6B">
        <w:rPr>
          <w:rFonts w:ascii="Times New Roman" w:hAnsi="Times New Roman" w:cs="Times New Roman"/>
          <w:sz w:val="24"/>
          <w:szCs w:val="24"/>
        </w:rPr>
        <w:fldChar w:fldCharType="separate"/>
      </w:r>
      <w:r w:rsidR="00D02361" w:rsidRPr="00723DA9">
        <w:rPr>
          <w:rFonts w:ascii="Times New Roman" w:hAnsi="Times New Roman" w:cs="Times New Roman"/>
          <w:noProof/>
          <w:sz w:val="24"/>
          <w:szCs w:val="24"/>
        </w:rPr>
        <w:t>(Zhang and Weng 2015)</w:t>
      </w:r>
      <w:r w:rsidR="00D02361" w:rsidRPr="5B610C6B">
        <w:fldChar w:fldCharType="end"/>
      </w:r>
      <w:r w:rsidR="002364C3" w:rsidRPr="00723DA9">
        <w:rPr>
          <w:rFonts w:ascii="Times New Roman" w:hAnsi="Times New Roman" w:cs="Times New Roman"/>
          <w:sz w:val="24"/>
          <w:szCs w:val="24"/>
        </w:rPr>
        <w:t xml:space="preserve">.  </w:t>
      </w:r>
      <w:r w:rsidR="00374887">
        <w:rPr>
          <w:rFonts w:ascii="Times New Roman" w:hAnsi="Times New Roman" w:cs="Times New Roman"/>
          <w:sz w:val="24"/>
          <w:szCs w:val="24"/>
        </w:rPr>
        <w:t>Compared to</w:t>
      </w:r>
      <w:r w:rsidR="002364C3" w:rsidRPr="00723DA9">
        <w:rPr>
          <w:rFonts w:ascii="Times New Roman" w:hAnsi="Times New Roman" w:cs="Times New Roman"/>
          <w:sz w:val="24"/>
          <w:szCs w:val="24"/>
        </w:rPr>
        <w:t xml:space="preserve"> the </w:t>
      </w:r>
      <w:r w:rsidR="00F61B82" w:rsidRPr="00723DA9">
        <w:rPr>
          <w:rFonts w:ascii="Times New Roman" w:hAnsi="Times New Roman" w:cs="Times New Roman"/>
          <w:sz w:val="24"/>
          <w:szCs w:val="24"/>
        </w:rPr>
        <w:t>track forecast improvement, the</w:t>
      </w:r>
      <w:r w:rsidR="00D90251" w:rsidRPr="00723DA9">
        <w:rPr>
          <w:rFonts w:ascii="Times New Roman" w:hAnsi="Times New Roman" w:cs="Times New Roman"/>
          <w:sz w:val="24"/>
          <w:szCs w:val="24"/>
        </w:rPr>
        <w:t xml:space="preserve"> improvement</w:t>
      </w:r>
      <w:r w:rsidR="002944AA" w:rsidRPr="00723DA9">
        <w:rPr>
          <w:rFonts w:ascii="Times New Roman" w:hAnsi="Times New Roman" w:cs="Times New Roman"/>
          <w:sz w:val="24"/>
          <w:szCs w:val="24"/>
        </w:rPr>
        <w:t>s</w:t>
      </w:r>
      <w:r w:rsidR="00D90251" w:rsidRPr="00723DA9">
        <w:rPr>
          <w:rFonts w:ascii="Times New Roman" w:hAnsi="Times New Roman" w:cs="Times New Roman"/>
          <w:sz w:val="24"/>
          <w:szCs w:val="24"/>
        </w:rPr>
        <w:t xml:space="preserve"> in the</w:t>
      </w:r>
      <w:r w:rsidR="00F61B82" w:rsidRPr="00723DA9">
        <w:rPr>
          <w:rFonts w:ascii="Times New Roman" w:hAnsi="Times New Roman" w:cs="Times New Roman"/>
          <w:sz w:val="24"/>
          <w:szCs w:val="24"/>
        </w:rPr>
        <w:t xml:space="preserve"> intensity forecast of TCs </w:t>
      </w:r>
      <w:r w:rsidR="002944AA" w:rsidRPr="00723DA9">
        <w:rPr>
          <w:rFonts w:ascii="Times New Roman" w:hAnsi="Times New Roman" w:cs="Times New Roman"/>
          <w:sz w:val="24"/>
          <w:szCs w:val="24"/>
        </w:rPr>
        <w:t>are</w:t>
      </w:r>
      <w:r w:rsidR="0060029C">
        <w:rPr>
          <w:rFonts w:ascii="Times New Roman" w:hAnsi="Times New Roman" w:cs="Times New Roman"/>
          <w:sz w:val="24"/>
          <w:szCs w:val="24"/>
        </w:rPr>
        <w:t xml:space="preserve"> </w:t>
      </w:r>
      <w:r w:rsidR="006B2292">
        <w:rPr>
          <w:rFonts w:ascii="Times New Roman" w:hAnsi="Times New Roman" w:cs="Times New Roman"/>
          <w:sz w:val="24"/>
          <w:szCs w:val="24"/>
        </w:rPr>
        <w:t xml:space="preserve">much </w:t>
      </w:r>
      <w:r w:rsidR="002944AA" w:rsidRPr="00723DA9">
        <w:rPr>
          <w:rFonts w:ascii="Times New Roman" w:hAnsi="Times New Roman" w:cs="Times New Roman"/>
          <w:sz w:val="24"/>
          <w:szCs w:val="24"/>
        </w:rPr>
        <w:t>small</w:t>
      </w:r>
      <w:r w:rsidR="00853A5F">
        <w:rPr>
          <w:rFonts w:ascii="Times New Roman" w:hAnsi="Times New Roman" w:cs="Times New Roman"/>
          <w:sz w:val="24"/>
          <w:szCs w:val="24"/>
        </w:rPr>
        <w:t>er</w:t>
      </w:r>
      <w:r w:rsidR="00F61B82" w:rsidRPr="00723DA9">
        <w:rPr>
          <w:rFonts w:ascii="Times New Roman" w:hAnsi="Times New Roman" w:cs="Times New Roman"/>
          <w:sz w:val="24"/>
          <w:szCs w:val="24"/>
        </w:rPr>
        <w:t xml:space="preserve"> over the decades </w:t>
      </w:r>
      <w:r w:rsidR="00F61B82" w:rsidRPr="5B610C6B">
        <w:fldChar w:fldCharType="begin" w:fldLock="1"/>
      </w:r>
      <w:r w:rsidR="002001B3" w:rsidRPr="00723DA9">
        <w:rPr>
          <w:rFonts w:ascii="Times New Roman" w:hAnsi="Times New Roman" w:cs="Times New Roman"/>
          <w:sz w:val="24"/>
          <w:szCs w:val="24"/>
        </w:rPr>
        <w:instrText>ADDIN CSL_CITATION {"citationItems":[{"id":"ITEM-1","itemData":{"DOI":"10.1175/BAMS-87-11-1523","ISSN":"00030007","abstract":"In 2005, NOAA&amp;#39;s Hurricane Research Division (HRD), part of the Atlantic Oceanographic and Meteorological Laboratory, began a multiyear experiment called the Intensity Forecasting Experiment (IFEX). By emphasizing a partnership among NOAA&amp;#39;s HRD, Environmental Modeling Center (EMC), National Hurricane Center (NHC), Aircraft Operations Center (AOC), and National Environmental Satellite Data Information Service (NESDIS), IFEX represents a new approach for conducting hurricane field program operations. IFEX is intended to improve the prediction of tropical cyclone (TC) intensity change by 1) collecting observations that span the TC life cycle in a variety of environments; 2) developing and refining measurement technologies that provide improved real-time monitoring of TC intensity, structure, and environment; and 3) improving the understanding of the physical processes important in intensity change for a TC at all stages of its life cycle. This paper presents a summary of the accomplishments of IFEX during the 2005 hurricane season. New and refined technologies for measuring such fields as surface and three-dimensional wind fields, and the use of unmanned aerial vehicles, were achieved in a variety of field experiments that spanned the life cycle of several tropical cyclones, from formation and early organization to peak intensity and subsequent landfall or extratropical transition. Partnerships with other experiments during 2005 also expanded the spatial and temporal coverage of the data collected in 2005. A brief discussion of the plans for IFEX in 2006 is also provided.","author":[{"dropping-particle":"","family":"Rogers","given":"Robert","non-dropping-particle":"","parse-names":false,"suffix":""},{"dropping-particle":"","family":"Aberson","given":"Sim","non-dropping-particle":"","parse-names":false,"suffix":""},{"dropping-particle":"","family":"Black","given":"Michael","non-dropping-particle":"","parse-names":false,"suffix":""},{"dropping-particle":"","family":"Black","given":"Peter","non-dropping-particle":"","parse-names":false,"suffix":""},{"dropping-particle":"","family":"Cione","given":"Joe","non-dropping-particle":"","parse-names":false,"suffix":""},{"dropping-particle":"","family":"Dodge","given":"Peter","non-dropping-particle":"","parse-names":false,"suffix":""},{"dropping-particle":"","family":"Dunion","given":"Jason","non-dropping-particle":"","parse-names":false,"suffix":""},{"dropping-particle":"","family":"Gamache","given":"John","non-dropping-particle":"","parse-names":false,"suffix":""},{"dropping-particle":"","family":"Kaplan","given":"John","non-dropping-particle":"","parse-names":false,"suffix":""},{"dropping-particle":"","family":"Powell","given":"Mark","non-dropping-particle":"","parse-names":false,"suffix":""},{"dropping-particle":"","family":"Shay","given":"Nick","non-dropping-particle":"","parse-names":false,"suffix":""},{"dropping-particle":"","family":"Surgi","given":"Naomi","non-dropping-particle":"","parse-names":false,"suffix":""},{"dropping-particle":"","family":"Uhlhorn","given":"Eric","non-dropping-particle":"","parse-names":false,"suffix":""}],"container-title":"Bulletin of the American Meteorological Society","id":"ITEM-1","issue":"11","issued":{"date-parts":[["2006"]]},"page":"1523-1537","title":"The intensity forecasting experiment: A NOAA multiyear field program for improving tropical cyclone intensity forecasts","type":"article-journal","volume":"87"},"uris":["http://www.mendeley.com/documents/?uuid=6d962857-7784-4f3f-98f1-ff8b3329574a"]},{"id":"ITEM-2","itemData":{"DOI":"10.1175/BAMS-D-12-00089.1","ISSN":"00030007","author":[{"dropping-particle":"","family":"Rogers","given":"Robert","non-dropping-particle":"","parse-names":false,"suffix":""},{"dropping-particle":"","family":"Aberson","given":"Sim","non-dropping-particle":"","parse-names":false,"suffix":""},{"dropping-particle":"","family":"Aksoy","given":"Altug","non-dropping-particle":"","parse-names":false,"suffix":""},{"dropping-particle":"","family":"Annane","given":"Bachir","non-dropping-particle":"","parse-names":false,"suffix":""},{"dropping-particle":"","family":"Black","given":"Michael","non-dropping-particle":"","parse-names":false,"suffix":""},{"dropping-particle":"","family":"Cione","given":"Joseph","non-dropping-particle":"","parse-names":false,"suffix":""},{"dropping-particle":"","family":"Dorst","given":"Neal","non-dropping-particle":"","parse-names":false,"suffix":""},{"dropping-particle":"","family":"Dunion","given":"Jason","non-dropping-particle":"","parse-names":false,"suffix":""},{"dropping-particle":"","family":"Gamache","given":"John","non-dropping-particle":"","parse-names":false,"suffix":""},{"dropping-particle":"","family":"Goldenberg","given":"Stan","non-dropping-particle":"","parse-names":false,"suffix":""},{"dropping-particle":"","family":"Gopalakrishnan","given":"Sundararaman","non-dropping-particle":"","parse-names":false,"suffix":""},{"dropping-particle":"","family":"Kaplan","given":"John","non-dropping-particle":"","parse-names":false,"suffix":""},{"dropping-particle":"","family":"Klotz","given":"Bradley","non-dropping-particle":"","parse-names":false,"suffix":""},{"dropping-particle":"","family":"Lorsolo","given":"Sylvie","non-dropping-particle":"","parse-names":false,"suffix":""},{"dropping-particle":"","family":"Marks","given":"Frank","non-dropping-particle":"","parse-names":false,"suffix":""},{"dropping-particle":"","family":"Murillo","given":"Shirley","non-dropping-particle":"","parse-names":false,"suffix":""},{"dropping-particle":"","family":"Powell","given":"Mark","non-dropping-particle":"","parse-names":false,"suffix":""},{"dropping-particle":"","family":"Reasor","given":"Paul","non-dropping-particle":"","parse-names":false,"suffix":""},{"dropping-particle":"","family":"Sellwood","given":"Kathryn","non-dropping-particle":"","parse-names":false,"suffix":""},{"dropping-particle":"","family":"Uhlhorn","given":"Eric","non-dropping-particle":"","parse-names":false,"suffix":""},{"dropping-particle":"","family":"Vukicevic","given":"Tomislava","non-dropping-particle":"","parse-names":false,"suffix":""},{"dropping-particle":"","family":"Zhang","given":"Jun","non-dropping-particle":"","parse-names":false,"suffix":""},{"dropping-particle":"","family":"Zhang","given":"Xuejin","non-dropping-particle":"","parse-names":false,"suffix":""}],"container-title":"Bulletin of the American Meteorological Society","id":"ITEM-2","issue":"6","issued":{"date-parts":[["2013"]]},"page":"859-882","title":"NOAA'S hurricane intensity forecasting experiment: A progress report","type":"article-journal","volume":"94"},"uris":["http://www.mendeley.com/documents/?uuid=7781a0e9-8f89-404c-a717-d583ffcc10e2"]}],"mendeley":{"formattedCitation":"(Rogers et al. 2006, 2013a)","plainTextFormattedCitation":"(Rogers et al. 2006, 2013a)","previouslyFormattedCitation":"(Rogers et al. 2006, 2013a)"},"properties":{"noteIndex":0},"schema":"https://github.com/citation-style-language/schema/raw/master/csl-citation.json"}</w:instrText>
      </w:r>
      <w:r w:rsidR="00F61B82" w:rsidRPr="5B610C6B">
        <w:rPr>
          <w:rFonts w:ascii="Times New Roman" w:hAnsi="Times New Roman" w:cs="Times New Roman"/>
          <w:sz w:val="24"/>
          <w:szCs w:val="24"/>
        </w:rPr>
        <w:fldChar w:fldCharType="separate"/>
      </w:r>
      <w:r w:rsidR="00D16A7C" w:rsidRPr="00723DA9">
        <w:rPr>
          <w:rFonts w:ascii="Times New Roman" w:hAnsi="Times New Roman" w:cs="Times New Roman"/>
          <w:noProof/>
          <w:sz w:val="24"/>
          <w:szCs w:val="24"/>
        </w:rPr>
        <w:t>(Rogers et al. 2006, 2013a)</w:t>
      </w:r>
      <w:r w:rsidR="00F61B82" w:rsidRPr="5B610C6B">
        <w:fldChar w:fldCharType="end"/>
      </w:r>
      <w:r w:rsidR="00F61B82" w:rsidRPr="00723DA9">
        <w:rPr>
          <w:rFonts w:ascii="Times New Roman" w:hAnsi="Times New Roman" w:cs="Times New Roman"/>
          <w:sz w:val="24"/>
          <w:szCs w:val="24"/>
        </w:rPr>
        <w:t>.  Such a discrepancy between the track and intensity forecast improvements is not surprising</w:t>
      </w:r>
      <w:r w:rsidR="00F85727" w:rsidRPr="00723DA9">
        <w:rPr>
          <w:rFonts w:ascii="Times New Roman" w:hAnsi="Times New Roman" w:cs="Times New Roman"/>
          <w:sz w:val="24"/>
          <w:szCs w:val="24"/>
        </w:rPr>
        <w:t>:</w:t>
      </w:r>
      <w:r w:rsidR="00F61B82" w:rsidRPr="00723DA9">
        <w:rPr>
          <w:rFonts w:ascii="Times New Roman" w:hAnsi="Times New Roman" w:cs="Times New Roman"/>
          <w:sz w:val="24"/>
          <w:szCs w:val="24"/>
        </w:rPr>
        <w:t xml:space="preserve"> </w:t>
      </w:r>
      <w:r w:rsidR="00C66F2B" w:rsidRPr="00723DA9">
        <w:rPr>
          <w:rFonts w:ascii="Times New Roman" w:hAnsi="Times New Roman" w:cs="Times New Roman"/>
          <w:sz w:val="24"/>
          <w:szCs w:val="24"/>
        </w:rPr>
        <w:t>TC</w:t>
      </w:r>
      <w:r w:rsidR="00C32934" w:rsidRPr="00723DA9">
        <w:rPr>
          <w:rFonts w:ascii="Times New Roman" w:hAnsi="Times New Roman" w:cs="Times New Roman"/>
          <w:sz w:val="24"/>
          <w:szCs w:val="24"/>
        </w:rPr>
        <w:t xml:space="preserve"> track</w:t>
      </w:r>
      <w:r w:rsidR="00C66F2B" w:rsidRPr="00723DA9">
        <w:rPr>
          <w:rFonts w:ascii="Times New Roman" w:hAnsi="Times New Roman" w:cs="Times New Roman"/>
          <w:sz w:val="24"/>
          <w:szCs w:val="24"/>
        </w:rPr>
        <w:t>s are</w:t>
      </w:r>
      <w:r w:rsidR="002364C3" w:rsidRPr="00723DA9">
        <w:rPr>
          <w:rFonts w:ascii="Times New Roman" w:hAnsi="Times New Roman" w:cs="Times New Roman"/>
          <w:sz w:val="24"/>
          <w:szCs w:val="24"/>
        </w:rPr>
        <w:t xml:space="preserve"> largely affected by the large-scale environmental </w:t>
      </w:r>
      <w:r w:rsidR="00C66F2B" w:rsidRPr="00723DA9">
        <w:rPr>
          <w:rFonts w:ascii="Times New Roman" w:hAnsi="Times New Roman" w:cs="Times New Roman"/>
          <w:sz w:val="24"/>
          <w:szCs w:val="24"/>
        </w:rPr>
        <w:t xml:space="preserve">flows, which </w:t>
      </w:r>
      <w:r w:rsidR="00E7202A" w:rsidRPr="00723DA9">
        <w:rPr>
          <w:rFonts w:ascii="Times New Roman" w:hAnsi="Times New Roman" w:cs="Times New Roman"/>
          <w:sz w:val="24"/>
          <w:szCs w:val="24"/>
        </w:rPr>
        <w:t>can be</w:t>
      </w:r>
      <w:r w:rsidR="00C66F2B" w:rsidRPr="00723DA9">
        <w:rPr>
          <w:rFonts w:ascii="Times New Roman" w:hAnsi="Times New Roman" w:cs="Times New Roman"/>
          <w:sz w:val="24"/>
          <w:szCs w:val="24"/>
        </w:rPr>
        <w:t xml:space="preserve"> better analyzed </w:t>
      </w:r>
      <w:r w:rsidR="00066212">
        <w:rPr>
          <w:rFonts w:ascii="Times New Roman" w:hAnsi="Times New Roman" w:cs="Times New Roman"/>
          <w:sz w:val="24"/>
          <w:szCs w:val="24"/>
        </w:rPr>
        <w:t xml:space="preserve">from the </w:t>
      </w:r>
      <w:r w:rsidR="00B768DC">
        <w:rPr>
          <w:rFonts w:ascii="Times New Roman" w:hAnsi="Times New Roman" w:cs="Times New Roman"/>
          <w:sz w:val="24"/>
          <w:szCs w:val="24"/>
        </w:rPr>
        <w:t>improving</w:t>
      </w:r>
      <w:r w:rsidR="00391D89">
        <w:rPr>
          <w:rFonts w:ascii="Times New Roman" w:hAnsi="Times New Roman" w:cs="Times New Roman"/>
          <w:sz w:val="24"/>
          <w:szCs w:val="24"/>
        </w:rPr>
        <w:t xml:space="preserve"> </w:t>
      </w:r>
      <w:r w:rsidR="00066212">
        <w:rPr>
          <w:rFonts w:ascii="Times New Roman" w:hAnsi="Times New Roman" w:cs="Times New Roman"/>
          <w:sz w:val="24"/>
          <w:szCs w:val="24"/>
        </w:rPr>
        <w:t xml:space="preserve">global models </w:t>
      </w:r>
      <w:r w:rsidR="007F680E" w:rsidRPr="5B610C6B">
        <w:fldChar w:fldCharType="begin" w:fldLock="1"/>
      </w:r>
      <w:r w:rsidR="007F680E" w:rsidRPr="00723DA9">
        <w:rPr>
          <w:rFonts w:ascii="Times New Roman" w:hAnsi="Times New Roman" w:cs="Times New Roman"/>
          <w:sz w:val="24"/>
          <w:szCs w:val="24"/>
        </w:rPr>
        <w:instrText>ADDIN CSL_CITATION {"citationItems":[{"id":"ITEM-1","itemData":{"DOI":"10.1175/BAMS-D-13-00231.1","ISSN":"0003-0007","author":[{"dropping-particle":"","family":"Zhang","given":"Fuqing","non-dropping-particle":"","parse-names":false,"suffix":""},{"dropping-particle":"","family":"Weng","given":"Yonghui","non-dropping-particle":"","parse-names":false,"suffix":""}],"container-title":"Bulletin of the American Meteorological Society","id":"ITEM-1","issue":"1","issued":{"date-parts":[["2015"]]},"page":"25-33","title":"Predicting Hurricane Intensity and Associated Hazards: A Five-Year Real-Time Forecast Experiment with Assimilation of Airborne Doppler Radar Observations","type":"article-journal","volume":"96"},"uris":["http://www.mendeley.com/documents/?uuid=897479bf-a469-45b0-bfbf-4922dc2f84e7"]}],"mendeley":{"formattedCitation":"(Zhang and Weng 2015)","plainTextFormattedCitation":"(Zhang and Weng 2015)","previouslyFormattedCitation":"(Zhang and Weng 2015)"},"properties":{"noteIndex":0},"schema":"https://github.com/citation-style-language/schema/raw/master/csl-citation.json"}</w:instrText>
      </w:r>
      <w:r w:rsidR="007F680E" w:rsidRPr="5B610C6B">
        <w:rPr>
          <w:rFonts w:ascii="Times New Roman" w:hAnsi="Times New Roman" w:cs="Times New Roman"/>
          <w:sz w:val="24"/>
          <w:szCs w:val="24"/>
        </w:rPr>
        <w:fldChar w:fldCharType="separate"/>
      </w:r>
      <w:r w:rsidR="007F680E" w:rsidRPr="00723DA9">
        <w:rPr>
          <w:rFonts w:ascii="Times New Roman" w:hAnsi="Times New Roman" w:cs="Times New Roman"/>
          <w:noProof/>
          <w:sz w:val="24"/>
          <w:szCs w:val="24"/>
        </w:rPr>
        <w:t>(Zhang and Weng 2015)</w:t>
      </w:r>
      <w:r w:rsidR="007F680E" w:rsidRPr="5B610C6B">
        <w:fldChar w:fldCharType="end"/>
      </w:r>
      <w:r w:rsidR="00F85727" w:rsidRPr="00723DA9">
        <w:rPr>
          <w:rFonts w:ascii="Times New Roman" w:hAnsi="Times New Roman" w:cs="Times New Roman"/>
          <w:sz w:val="24"/>
          <w:szCs w:val="24"/>
        </w:rPr>
        <w:t>;</w:t>
      </w:r>
      <w:r w:rsidR="00C66F2B" w:rsidRPr="00723DA9">
        <w:rPr>
          <w:rFonts w:ascii="Times New Roman" w:hAnsi="Times New Roman" w:cs="Times New Roman"/>
          <w:sz w:val="24"/>
          <w:szCs w:val="24"/>
        </w:rPr>
        <w:t xml:space="preserve"> </w:t>
      </w:r>
      <w:r w:rsidR="00642287" w:rsidRPr="00723DA9">
        <w:rPr>
          <w:rFonts w:ascii="Times New Roman" w:hAnsi="Times New Roman" w:cs="Times New Roman"/>
          <w:sz w:val="24"/>
          <w:szCs w:val="24"/>
        </w:rPr>
        <w:t xml:space="preserve"> </w:t>
      </w:r>
      <w:r w:rsidR="00165A80" w:rsidRPr="00723DA9">
        <w:rPr>
          <w:rFonts w:ascii="Times New Roman" w:hAnsi="Times New Roman" w:cs="Times New Roman"/>
          <w:sz w:val="24"/>
          <w:szCs w:val="24"/>
        </w:rPr>
        <w:t>In comparison to the track</w:t>
      </w:r>
      <w:r w:rsidR="00642287" w:rsidRPr="00723DA9">
        <w:rPr>
          <w:rFonts w:ascii="Times New Roman" w:hAnsi="Times New Roman" w:cs="Times New Roman"/>
          <w:sz w:val="24"/>
          <w:szCs w:val="24"/>
        </w:rPr>
        <w:t>, the intensity</w:t>
      </w:r>
      <w:r w:rsidR="00DB6298">
        <w:rPr>
          <w:rFonts w:ascii="Times New Roman" w:hAnsi="Times New Roman" w:cs="Times New Roman"/>
          <w:sz w:val="24"/>
          <w:szCs w:val="24"/>
        </w:rPr>
        <w:t xml:space="preserve"> variation</w:t>
      </w:r>
      <w:r w:rsidR="00642287" w:rsidRPr="00723DA9">
        <w:rPr>
          <w:rFonts w:ascii="Times New Roman" w:hAnsi="Times New Roman" w:cs="Times New Roman"/>
          <w:sz w:val="24"/>
          <w:szCs w:val="24"/>
        </w:rPr>
        <w:t xml:space="preserve"> of TCs is </w:t>
      </w:r>
      <w:r w:rsidR="00DB6298">
        <w:rPr>
          <w:rFonts w:ascii="Times New Roman" w:hAnsi="Times New Roman" w:cs="Times New Roman"/>
          <w:sz w:val="24"/>
          <w:szCs w:val="24"/>
        </w:rPr>
        <w:t>largely governed by</w:t>
      </w:r>
      <w:r w:rsidR="00642287" w:rsidRPr="00723DA9">
        <w:rPr>
          <w:rFonts w:ascii="Times New Roman" w:hAnsi="Times New Roman" w:cs="Times New Roman"/>
          <w:sz w:val="24"/>
          <w:szCs w:val="24"/>
        </w:rPr>
        <w:t xml:space="preserve"> the inner-core </w:t>
      </w:r>
      <w:r w:rsidR="00DB6298">
        <w:rPr>
          <w:rFonts w:ascii="Times New Roman" w:hAnsi="Times New Roman" w:cs="Times New Roman"/>
          <w:sz w:val="24"/>
          <w:szCs w:val="24"/>
        </w:rPr>
        <w:t>processes</w:t>
      </w:r>
      <w:r w:rsidR="00F739F2">
        <w:rPr>
          <w:rFonts w:ascii="Times New Roman" w:hAnsi="Times New Roman" w:cs="Times New Roman"/>
          <w:sz w:val="24"/>
          <w:szCs w:val="24"/>
        </w:rPr>
        <w:t xml:space="preserve">.  </w:t>
      </w:r>
      <w:r w:rsidR="000809BA">
        <w:rPr>
          <w:rFonts w:ascii="Times New Roman" w:hAnsi="Times New Roman" w:cs="Times New Roman"/>
          <w:sz w:val="24"/>
          <w:szCs w:val="24"/>
        </w:rPr>
        <w:t>A</w:t>
      </w:r>
      <w:r w:rsidR="001920AA">
        <w:rPr>
          <w:rFonts w:ascii="Times New Roman" w:hAnsi="Times New Roman" w:cs="Times New Roman"/>
          <w:sz w:val="24"/>
          <w:szCs w:val="24"/>
        </w:rPr>
        <w:t>lthough satellites provide a great number of observations over the ocean, our utilization of satellite observations in the</w:t>
      </w:r>
      <w:r w:rsidR="009E31BE">
        <w:rPr>
          <w:rFonts w:ascii="Times New Roman" w:hAnsi="Times New Roman" w:cs="Times New Roman"/>
          <w:sz w:val="24"/>
          <w:szCs w:val="24"/>
        </w:rPr>
        <w:t xml:space="preserve"> inner-core regions</w:t>
      </w:r>
      <w:r w:rsidR="001920AA">
        <w:rPr>
          <w:rFonts w:ascii="Times New Roman" w:hAnsi="Times New Roman" w:cs="Times New Roman"/>
          <w:sz w:val="24"/>
          <w:szCs w:val="24"/>
        </w:rPr>
        <w:t xml:space="preserve"> is </w:t>
      </w:r>
      <w:r w:rsidR="003455F1">
        <w:rPr>
          <w:rFonts w:ascii="Times New Roman" w:hAnsi="Times New Roman" w:cs="Times New Roman"/>
          <w:sz w:val="24"/>
          <w:szCs w:val="24"/>
        </w:rPr>
        <w:t xml:space="preserve">still </w:t>
      </w:r>
      <w:r w:rsidR="00BC49B2">
        <w:rPr>
          <w:rFonts w:ascii="Times New Roman" w:hAnsi="Times New Roman" w:cs="Times New Roman"/>
          <w:sz w:val="24"/>
          <w:szCs w:val="24"/>
        </w:rPr>
        <w:t>immature</w:t>
      </w:r>
      <w:r w:rsidR="009E31BE">
        <w:rPr>
          <w:rFonts w:ascii="Times New Roman" w:hAnsi="Times New Roman" w:cs="Times New Roman"/>
          <w:sz w:val="24"/>
          <w:szCs w:val="24"/>
        </w:rPr>
        <w:t xml:space="preserve"> due to the contaminations of</w:t>
      </w:r>
      <w:r w:rsidR="000C696D">
        <w:rPr>
          <w:rFonts w:ascii="Times New Roman" w:hAnsi="Times New Roman" w:cs="Times New Roman"/>
          <w:sz w:val="24"/>
          <w:szCs w:val="24"/>
        </w:rPr>
        <w:t xml:space="preserve"> </w:t>
      </w:r>
      <w:r w:rsidR="009E31BE">
        <w:rPr>
          <w:rFonts w:ascii="Times New Roman" w:hAnsi="Times New Roman" w:cs="Times New Roman"/>
          <w:sz w:val="24"/>
          <w:szCs w:val="24"/>
        </w:rPr>
        <w:t xml:space="preserve">heavy precipitation </w:t>
      </w:r>
      <w:r w:rsidR="00642287" w:rsidRPr="5B610C6B">
        <w:fldChar w:fldCharType="begin" w:fldLock="1"/>
      </w:r>
      <w:r w:rsidR="003C7AE5">
        <w:rPr>
          <w:rFonts w:ascii="Times New Roman" w:hAnsi="Times New Roman" w:cs="Times New Roman"/>
          <w:sz w:val="24"/>
          <w:szCs w:val="24"/>
        </w:rPr>
        <w:instrText>ADDIN CSL_CITATION {"citationItems":[{"id":"ITEM-1","itemData":{"DOI":"10.1002/qj.659","ISBN":"1477-870X","ISSN":"00359009","abstract":"This paper assesses the performance of an all-sky (i.e. clear, cloudy and precipitating) direct assimilation of microwave imagers that was introduced operationally in the four-dimensional variational (4D-Var) assimilation system of the European Centre for Medium-Range Weather Forecasts (ECMWF) in March 2009. Results are based on data-denial experiments and are quantified using forecast verification scores and comparisons to observations. The reliability of forecast verification scores is examined. Humidity-based scores can be misleading in the initial three days of forecasts, but scores based on pressure and wind fields are more reliable, because they are less sensitive to the choice of verifying analysis. The new approach is compared with the previous rain and cloud-affected assimilation, which used a 1D+4D-Var technique. One downside of the old technique is that it ‘recycles’ the first guess as new information, which causes misleading ‘improvements’ in forecast scores. The new approach avoids this problem. It also does not require any cloud detection, so unlike the old approach used in clear skies, it is not susceptible to biases caused by undetected cloud. However the new system is implemented with a cautious quality control and large observation errors. Hence, the analysed and forecast tropical humidity fields are constrained only about half as much in the new system as in the old. However, the new approach is comparable in terms of its positive impact on dynamical fields (pressure and vector wind) in the tropical lower troposphere.","author":[{"dropping-particle":"","family":"Bauer","given":"Peter","non-dropping-particle":"","parse-names":false,"suffix":""},{"dropping-particle":"","family":"Geer","given":"Alan J.","non-dropping-particle":"","parse-names":false,"suffix":""},{"dropping-particle":"","family":"Lopez","given":"Philippe","non-dropping-particle":"","parse-names":false,"suffix":""},{"dropping-particle":"","family":"Salmond","given":"Deborah","non-dropping-particle":"","parse-names":false,"suffix":""}],"container-title":"Quarterly Journal of the Royal Meteorological Society","id":"ITEM-1","issue":"652","issued":{"date-parts":[["2010"]]},"page":"1868-1885","title":"Direct 4D-Var assimilation of all-sky radiances. Part I: Implementation","type":"article-journal","volume":"136"},"uris":["http://www.mendeley.com/documents/?uuid=1bee54cc-89b1-4ea0-b474-3f316b43a256"]},{"id":"ITEM-2","itemData":{"DOI":"10.1002/qj.905","ISSN":"00359009","author":[{"dropping-particle":"","family":"Bauer","given":"Peter","non-dropping-particle":"","parse-names":false,"suffix":""},{"dropping-particle":"","family":"Auligné","given":"Thomas","non-dropping-particle":"","parse-names":false,"suffix":""},{"dropping-particle":"","family":"Bell","given":"William","non-dropping-particle":"","parse-names":false,"suffix":""},{"dropping-particle":"","family":"Geer","given":"Alan","non-dropping-particle":"","parse-names":false,"suffix":""},{"dropping-particle":"","family":"Guidard","given":"Vincent","non-dropping-particle":"","parse-names":false,"suffix":""},{"dropping-particle":"","family":"Heilliette","given":"Sylvain","non-dropping-particle":"","parse-names":false,"suffix":""},{"dropping-particle":"","family":"Kazumori","given":"Masahiro","non-dropping-particle":"","parse-names":false,"suffix":""},{"dropping-particle":"","family":"Kim","given":"Min Jeong","non-dropping-particle":"","parse-names":false,"suffix":""},{"dropping-particle":"","family":"Liu","given":"Emily H C","non-dropping-particle":"","parse-names":false,"suffix":""},{"dropping-particle":"","family":"Mcnally","given":"Anthony P.","non-dropping-particle":"","parse-names":false,"suffix":""},{"dropping-particle":"","family":"Macpherson","given":"Bruce","non-dropping-particle":"","parse-names":false,"suffix":""},{"dropping-particle":"","family":"Okamoto","given":"Kozo","non-dropping-particle":"","parse-names":false,"suffix":""},{"dropping-particle":"","family":"Renshaw","given":"Richard","non-dropping-particle":"","parse-names":false,"suffix":""},{"dropping-particle":"","family":"Riishøjgaard","given":"Lars Peter","non-dropping-particle":"","parse-names":false,"suffix":""}],"container-title":"Quarterly Journal of the Royal Meteorological Society","id":"ITEM-2","issue":"661","issued":{"date-parts":[["2011"]]},"page":"1934-1951","title":"Satellite cloud and precipitation assimilation at operational NWP centres","type":"article-journal","volume":"137"},"uris":["http://www.mendeley.com/documents/?uuid=d952a250-3fe4-48a7-83d5-b4721ba15021"]},{"id":"ITEM-3","itemData":{"DOI":"10.3402/tellusa.v68.30917","ISSN":"16000870","author":[{"dropping-particle":"","family":"Yang","given":"Chun","non-dropping-particle":"","parse-names":false,"suffix":""},{"dropping-particle":"","family":"Liu","given":"Zhiquan","non-dropping-particle":"","parse-names":false,"suffix":""},{"dropping-particle":"","family":"Bresch","given":"Jamie","non-dropping-particle":"","parse-names":false,"suffix":""},{"dropping-particle":"","family":"Rizvi","given":"Syed R.H.","non-dropping-particle":"","parse-names":false,"suffix":""},{"dropping-particle":"","family":"Huang","given":"Xiang-Yu","non-dropping-particle":"","parse-names":false,"suffix":""},{"dropping-particle":"","family":"Min","given":"Jinzhong","non-dropping-particle":"","parse-names":false,"suffix":""}],"container-title":"Tellus A","id":"ITEM-3","issue":"30917","issued":{"date-parts":[["2016"]]},"page":"1-19","title":"AMSR2 all-sky radiance assimilation and its impact on the analysis and forecast of Hurricane Sandy with a limited-area data assimilation system","type":"article-journal","volume":"68"},"uris":["http://www.mendeley.com/documents/?uuid=5caf5541-7acc-4cc4-a43c-bae47fb6fd31"]},{"id":"ITEM-4","itemData":{"DOI":"10.1002/2016GL068468","ISSN":"19448007","author":[{"dropping-particle":"","family":"Zhang","given":"Fuqing","non-dropping-particle":"","parse-names":false,"suffix":""},{"dropping-particle":"","family":"Minamide","given":"Masashi","non-dropping-particle":"","parse-names":false,"suffix":""},{"dropping-particle":"","family":"Clothiaux","given":"Eugene E.","non-dropping-particle":"","parse-names":false,"suffix":""}],"container-title":"Geophysical Research Letters","id":"ITEM-4","issued":{"date-parts":[["2016"]]},"page":"2954-2963","title":"Potential impacts of assimilating all-sky infrared satellite radiances from GOES-R on convection-permitting analysis and prediction of tropical cyclones","type":"article-journal","volume":"43"},"uris":["http://www.mendeley.com/documents/?uuid=b0ab02b4-5dc3-445c-b6cb-45b383c636cd"]},{"id":"ITEM-5","itemData":{"author":[{"dropping-particle":"","family":"Zhu","given":"Ping","non-dropping-particle":"","parse-names":false,"suffix":""},{"dropping-particle":"","family":"Tyner","given":"Bryce","non-dropping-particle":"","parse-names":false,"suffix":""},{"dropping-particle":"","family":"Zhang","given":"Jun A","non-dropping-particle":"","parse-names":false,"suffix":""},{"dropping-particle":"","family":"Aligo","given":"Eric","non-dropping-particle":"","parse-names":false,"suffix":""},{"dropping-particle":"","family":"Gopalakrishnan","given":"Sundararaman","non-dropping-particle":"","parse-names":false,"suffix":""},{"dropping-particle":"","family":"Frank","given":"D","non-dropping-particle":"","parse-names":false,"suffix":""}],"container-title":"Atmos. Chem. Phys. Discuss.","id":"ITEM-5","issue":"September","issued":{"date-parts":[["2018"]]},"page":"1-33","title":"Role of eyewall and rainband eddy forcing in tropical cyclone intensification","type":"article-journal"},"uris":["http://www.mendeley.com/documents/?uuid=04df0cb9-0814-4131-b77e-abacac3f85d8"]},{"id":"ITEM-6","itemData":{"DOI":"10.1002/qj.3202","ISSN":"00359009","author":[{"dropping-particle":"","family":"Geer","given":"A.J.","non-dropping-particle":"","parse-names":false,"suffix":""},{"dropping-particle":"","family":"Lonitz","given":"K.","non-dropping-particle":"","parse-names":false,"suffix":""},{"dropping-particle":"","family":"Weston","given":"P.","non-dropping-particle":"","parse-names":false,"suffix":""},{"dropping-particle":"","family":"Kazumori","given":"M.","non-dropping-particle":"","parse-names":false,"suffix":""},{"dropping-particle":"","family":"Okamoto","given":"K.","non-dropping-particle":"","parse-names":false,"suffix":""},{"dropping-particle":"","family":"Zhu","given":"Y.","non-dropping-particle":"","parse-names":false,"suffix":""},{"dropping-particle":"","family":"Liu","given":"E.H.","non-dropping-particle":"","parse-names":false,"suffix":""},{"dropping-particle":"","family":"Collard","given":"A.","non-dropping-particle":"","parse-names":false,"suffix":""},{"dropping-particle":"","family":"Bell","given":"W.","non-dropping-particle":"","parse-names":false,"suffix":""},{"dropping-particle":"","family":"Migliorini","given":"S.","non-dropping-particle":"","parse-names":false,"suffix":""},{"dropping-particle":"","family":"Chambon","given":"P.","non-dropping-particle":"","parse-names":false,"suffix":""},{"dropping-particle":"","family":"Fourrié","given":"N.","non-dropping-particle":"","parse-names":false,"suffix":""},{"dropping-particle":"","family":"Kim","given":"M.-J.","non-dropping-particle":"","parse-names":false,"suffix":""},{"dropping-particle":"","family":"Köpken-Watts","given":"C.","non-dropping-particle":"","parse-names":false,"suffix":""},{"dropping-particle":"","family":"Schraff","given":"C.","non-dropping-particle":"","parse-names":false,"suffix":""}],"container-title":"Quarterly Journal of the Royal Meteorological Society","id":"ITEM-6","issued":{"date-parts":[["2017","11","14"]]},"publisher":"John Wiley &amp; Sons, Ltd","title":"All-sky satellite data assimilation at operational weather forecasting centres","type":"article-journal"},"uris":["http://www.mendeley.com/documents/?uuid=ff4abeb9-b868-3a00-9a39-905034032e57"]},{"id":"ITEM-7","itemData":{"DOI":"10.1002/qj.3202","abstract":"This article reviews developments towards assimilating cloud-and precipitation-affected satellite radiances at operational forecasting centres. Satellite data assimilation is moving beyond the \"clear-sky\" approach that discards any observations affected by cloud. Some centres already assimilate cloud-and precipitation-affected radiances operationally and the most popular approach is known as \"all-sky,\" which assimilates all observations directly as radiances, whether they are clear, cloudy or precipitating, using models (for both radiative transfer and forecasting) that are capable of simulating cloud and precipitation with sufficient accuracy. Other frameworks are being tried, including the assimilation of humidity retrieved from cloudy observations using Bayesian techniques. Although the all-sky technique is now proven for assimilation of microwave radiances, it has yet to be demonstrated operationally for infrared radiances, though several centres are getting close. Assimilating frequently available all-sky infrared observations from geostationary satellites could give particular benefit for short-range forecasting. More generally, assimilating cloud-and precipitation-affected satellite observations improves forecasts in the medium range globally and can also improve the analysis and shorter-range forecasting of otherwise poorly observed weather phenomena as diverse as tropical cyclones and wintertime low cloud.","author":[{"dropping-particle":"","family":"Geer","given":"Alan J","non-dropping-particle":"","parse-names":false,"suffix":""},{"dropping-particle":"","family":"Lonitz","given":"Katrin","non-dropping-particle":"","parse-names":false,"suffix":""},{"dropping-particle":"","family":"Weston","given":"Peter","non-dropping-particle":"","parse-names":false,"suffix":""},{"dropping-particle":"","family":"Kazumori","given":"Masahiro","non-dropping-particle":"","parse-names":false,"suffix":""},{"dropping-particle":"","family":"Okamoto","given":"Kozo","non-dropping-particle":"","parse-names":false,"suffix":""},{"dropping-particle":"","family":"Zhu","given":"Yanqiu","non-dropping-particle":"","parse-names":false,"suffix":""},{"dropping-particle":"","family":"Huichun Liu","given":"Emily","non-dropping-particle":"","parse-names":false,"suffix":""},{"dropping-particle":"","family":"Collard","given":"Andrew","non-dropping-particle":"","parse-names":false,"suffix":""},{"dropping-particle":"","family":"Bell","given":"William","non-dropping-particle":"","parse-names":false,"suffix":""},{"dropping-particle":"","family":"Migliorini","given":"Stefano","non-dropping-particle":"","parse-names":false,"suffix":""},{"dropping-particle":"","family":"Chambon","given":"Philippe","non-dropping-particle":"","parse-names":false,"suffix":""},{"dropping-particle":"","family":"Fourrié","given":"Nadia","non-dropping-particle":"","parse-names":false,"suffix":""},{"dropping-particle":"","family":"Kim","given":"Min-Jeong","non-dropping-particle":"","parse-names":false,"suffix":""},{"dropping-particle":"","family":"Köpken-Watts","given":"Christina","non-dropping-particle":"","parse-names":false,"suffix":""},{"dropping-particle":"","family":"Schraff","given":"Christoph","non-dropping-particle":"","parse-names":false,"suffix":""},{"dropping-particle":"","family":"Alan Geer","given":"Correspondence J","non-dropping-particle":"","parse-names":false,"suffix":""}],"container-title":"Quarterly Journal of the Royal Meteorological Society","id":"ITEM-7","issued":{"date-parts":[["2018"]]},"page":"1191-1217","title":"All-sky satellite data assimilation at operational weather forecasting centres","type":"article-journal","volume":"144"},"uris":["http://www.mendeley.com/documents/?uuid=fd6889bf-0c25-3f56-8be3-15232f6c8fbd"]},{"id":"ITEM-8","itemData":{"DOI":"10.1175/MWR-D-17-0337.1","abstract":"Satellite all-sky radiances from the Advanced Technology Microwave Sounder (ATMS) are assimilated into the Hurricane Weather Research and Forecasting (HWRF) Model using the hybrid Gridpoint Statistical Interpolation analysis system (GSI). To extend the all-sky capability recently developed for global applications to HWRF, some modifications in HWRF and GSI are facilitated. In particular, total condensate is added as a control variable, and six distinct hydrometeor habits are added as state variables in hybrid GSI within HWRF. That is, clear-sky together with cloudy and precipitation-affected satellite pixels are assimilated using the Community Radiative Transfer Model (CRTM) as a forward operator that includes hydrometeor information and Jacobians with respect to hydrometeor variables. A single case study with the 2014 Atlantic storm Hurricane Cristobal is used to demonstrate the methodology of extending the global all-sky capability to HWRF due to ATMS data availability. Two data assimilation experiments are carried out. One experiment uses the operational configuration and assimilates ATMS radiances under the clear-sky condition, and the other experiment uses the modified HWRF system and assimilates ATMS radiances under the all-sky condition with the inclusion of total condensate update and cycling. Observed and synthetic Geostationary Operational Environmental Satellite (GOES)-13 data along with Global Precipitation Measurement Mission (GPM) Microwave Imager (GMI) data from the two experiments are used to show that the experiment with all-sky ATMS radiances assimilation has cloud signatures that are supported by observations. In contrast, there is lack of clouds in the initial state that led to a noticeable lag of cloud development in the experiment that assimilates clear-sky radiances.","author":[{"dropping-particle":"","family":"Wu","given":"Ting-Chi","non-dropping-particle":"","parse-names":false,"suffix":""},{"dropping-particle":"","family":"Zupanski","given":"Milija","non-dropping-particle":"","parse-names":false,"suffix":""},{"dropping-particle":"","family":"Grasso","given":"Lewis D","non-dropping-particle":"","parse-names":false,"suffix":""},{"dropping-particle":"","family":"Kummerow","given":"Christian D","non-dropping-particle":"","parse-names":false,"suffix":""},{"dropping-particle":"","family":"Boukabara","given":"Sid-Ahmed","non-dropping-particle":"","parse-names":false,"suffix":""}],"container-title":"Mon. Wea. Rev.","id":"ITEM-8","issued":{"date-parts":[["2019"]]},"page":"85-106","title":"All-Sky Radiance Assimilation of ATMS in HWRF: A Demonstration Study","type":"article-journal","volume":"147"},"uris":["http://www.mendeley.com/documents/?uuid=cc535c5d-3a65-30fd-ba3a-aedefa9b0aac"]}],"mendeley":{"formattedCitation":"(Bauer et al. 2010, 2011; Yang et al. 2016; Zhang et al. 2016; Zhu et al. 2018; Geer et al. 2017, 2018; Wu et al. 2019)","plainTextFormattedCitation":"(Bauer et al. 2010, 2011; Yang et al. 2016; Zhang et al. 2016; Zhu et al. 2018; Geer et al. 2017, 2018; Wu et al. 2019)","previouslyFormattedCitation":"(Bauer et al. 2010, 2011; Yang et al. 2016; Zhang et al. 2016; Zhu et al. 2016b; Geer et al. 2017, 2018; Wu et al. 2019)"},"properties":{"noteIndex":0},"schema":"https://github.com/citation-style-language/schema/raw/master/csl-citation.json"}</w:instrText>
      </w:r>
      <w:r w:rsidR="00642287" w:rsidRPr="5B610C6B">
        <w:rPr>
          <w:rFonts w:ascii="Times New Roman" w:hAnsi="Times New Roman" w:cs="Times New Roman"/>
          <w:sz w:val="24"/>
          <w:szCs w:val="24"/>
        </w:rPr>
        <w:fldChar w:fldCharType="separate"/>
      </w:r>
      <w:r w:rsidR="003C7AE5" w:rsidRPr="003C7AE5">
        <w:rPr>
          <w:rFonts w:ascii="Times New Roman" w:hAnsi="Times New Roman" w:cs="Times New Roman"/>
          <w:noProof/>
          <w:sz w:val="24"/>
          <w:szCs w:val="24"/>
        </w:rPr>
        <w:t>(Bauer et al. 2010, 2011; Yang et al. 2016; Zhang et al. 2016; Zhu et al. 2018; Geer et al. 2017, 2018; Wu et al. 2019)</w:t>
      </w:r>
      <w:r w:rsidR="00642287" w:rsidRPr="5B610C6B">
        <w:fldChar w:fldCharType="end"/>
      </w:r>
      <w:r w:rsidR="001920AA">
        <w:rPr>
          <w:rFonts w:ascii="Times New Roman" w:hAnsi="Times New Roman" w:cs="Times New Roman"/>
          <w:sz w:val="24"/>
          <w:szCs w:val="24"/>
        </w:rPr>
        <w:t xml:space="preserve">.  </w:t>
      </w:r>
      <w:r w:rsidR="003456A8">
        <w:rPr>
          <w:rFonts w:ascii="Times New Roman" w:hAnsi="Times New Roman" w:cs="Times New Roman"/>
          <w:sz w:val="24"/>
          <w:szCs w:val="24"/>
        </w:rPr>
        <w:t xml:space="preserve">The challenges in the </w:t>
      </w:r>
      <w:r w:rsidR="009E318C">
        <w:rPr>
          <w:rFonts w:ascii="Times New Roman" w:hAnsi="Times New Roman" w:cs="Times New Roman"/>
          <w:sz w:val="24"/>
          <w:szCs w:val="24"/>
        </w:rPr>
        <w:t xml:space="preserve">application of </w:t>
      </w:r>
      <w:r w:rsidR="003456A8">
        <w:rPr>
          <w:rFonts w:ascii="Times New Roman" w:hAnsi="Times New Roman" w:cs="Times New Roman"/>
          <w:sz w:val="24"/>
          <w:szCs w:val="24"/>
        </w:rPr>
        <w:t>satellite observations</w:t>
      </w:r>
      <w:r w:rsidR="00AE78A7">
        <w:rPr>
          <w:rFonts w:ascii="Times New Roman" w:hAnsi="Times New Roman" w:cs="Times New Roman"/>
          <w:sz w:val="24"/>
          <w:szCs w:val="24"/>
        </w:rPr>
        <w:t xml:space="preserve"> </w:t>
      </w:r>
      <w:r w:rsidR="00003BC2">
        <w:rPr>
          <w:rFonts w:ascii="Times New Roman" w:hAnsi="Times New Roman" w:cs="Times New Roman"/>
          <w:sz w:val="24"/>
          <w:szCs w:val="24"/>
        </w:rPr>
        <w:t>restrict</w:t>
      </w:r>
      <w:r w:rsidR="003456A8">
        <w:rPr>
          <w:rFonts w:ascii="Times New Roman" w:hAnsi="Times New Roman" w:cs="Times New Roman"/>
          <w:sz w:val="24"/>
          <w:szCs w:val="24"/>
        </w:rPr>
        <w:t xml:space="preserve"> our options </w:t>
      </w:r>
      <w:r w:rsidR="00D86B05">
        <w:rPr>
          <w:rFonts w:ascii="Times New Roman" w:hAnsi="Times New Roman" w:cs="Times New Roman"/>
          <w:sz w:val="24"/>
          <w:szCs w:val="24"/>
        </w:rPr>
        <w:t>for</w:t>
      </w:r>
      <w:r w:rsidR="003456A8">
        <w:rPr>
          <w:rFonts w:ascii="Times New Roman" w:hAnsi="Times New Roman" w:cs="Times New Roman"/>
          <w:sz w:val="24"/>
          <w:szCs w:val="24"/>
        </w:rPr>
        <w:t xml:space="preserve"> inner-core observations to the </w:t>
      </w:r>
      <w:r w:rsidR="00033EA5" w:rsidRPr="00033EA5">
        <w:rPr>
          <w:rFonts w:ascii="Times New Roman" w:hAnsi="Times New Roman" w:cs="Times New Roman"/>
          <w:sz w:val="24"/>
          <w:szCs w:val="24"/>
        </w:rPr>
        <w:t xml:space="preserve">sporadically </w:t>
      </w:r>
      <w:r w:rsidR="00154173">
        <w:rPr>
          <w:rFonts w:ascii="Times New Roman" w:hAnsi="Times New Roman" w:cs="Times New Roman"/>
          <w:sz w:val="24"/>
          <w:szCs w:val="24"/>
        </w:rPr>
        <w:t>sampled</w:t>
      </w:r>
      <w:r w:rsidR="00154173" w:rsidRPr="00154173">
        <w:rPr>
          <w:rFonts w:ascii="Times New Roman" w:hAnsi="Times New Roman" w:cs="Times New Roman"/>
          <w:sz w:val="24"/>
          <w:szCs w:val="24"/>
        </w:rPr>
        <w:t xml:space="preserve"> </w:t>
      </w:r>
      <w:r w:rsidR="003456A8">
        <w:rPr>
          <w:rFonts w:ascii="Times New Roman" w:hAnsi="Times New Roman" w:cs="Times New Roman"/>
          <w:sz w:val="24"/>
          <w:szCs w:val="24"/>
        </w:rPr>
        <w:t>airborne-based in-situ observations</w:t>
      </w:r>
      <w:r w:rsidR="00E63F81">
        <w:rPr>
          <w:rFonts w:ascii="Times New Roman" w:hAnsi="Times New Roman" w:cs="Times New Roman"/>
          <w:sz w:val="24"/>
          <w:szCs w:val="24"/>
        </w:rPr>
        <w:t xml:space="preserve"> when the TCs are away from </w:t>
      </w:r>
      <w:r w:rsidR="00891200">
        <w:rPr>
          <w:rFonts w:ascii="Times New Roman" w:hAnsi="Times New Roman" w:cs="Times New Roman"/>
          <w:sz w:val="24"/>
          <w:szCs w:val="24"/>
        </w:rPr>
        <w:t>continents</w:t>
      </w:r>
      <w:r w:rsidR="003456A8">
        <w:rPr>
          <w:rFonts w:ascii="Times New Roman" w:hAnsi="Times New Roman" w:cs="Times New Roman"/>
          <w:sz w:val="24"/>
          <w:szCs w:val="24"/>
        </w:rPr>
        <w:t xml:space="preserve">.  </w:t>
      </w:r>
      <w:r w:rsidR="002242D9">
        <w:rPr>
          <w:rFonts w:ascii="Times New Roman" w:hAnsi="Times New Roman" w:cs="Times New Roman"/>
          <w:sz w:val="24"/>
          <w:szCs w:val="24"/>
        </w:rPr>
        <w:t xml:space="preserve">These </w:t>
      </w:r>
      <w:r w:rsidR="002242D9">
        <w:rPr>
          <w:rFonts w:ascii="Times New Roman" w:hAnsi="Times New Roman" w:cs="Times New Roman"/>
          <w:sz w:val="24"/>
          <w:szCs w:val="24"/>
        </w:rPr>
        <w:lastRenderedPageBreak/>
        <w:t>finite in-situ inner-core observations are limited in</w:t>
      </w:r>
      <w:r w:rsidR="00986254">
        <w:rPr>
          <w:rFonts w:ascii="Times New Roman" w:hAnsi="Times New Roman" w:cs="Times New Roman"/>
          <w:sz w:val="24"/>
          <w:szCs w:val="24"/>
        </w:rPr>
        <w:t xml:space="preserve"> </w:t>
      </w:r>
      <w:r w:rsidR="00DB3861">
        <w:rPr>
          <w:rFonts w:ascii="Times New Roman" w:hAnsi="Times New Roman" w:cs="Times New Roman"/>
          <w:sz w:val="24"/>
          <w:szCs w:val="24"/>
        </w:rPr>
        <w:t xml:space="preserve">the </w:t>
      </w:r>
      <w:r w:rsidR="00986254">
        <w:rPr>
          <w:rFonts w:ascii="Times New Roman" w:hAnsi="Times New Roman" w:cs="Times New Roman"/>
          <w:sz w:val="24"/>
          <w:szCs w:val="24"/>
        </w:rPr>
        <w:t xml:space="preserve">temporal and spatial coverage, </w:t>
      </w:r>
      <w:r w:rsidR="002242D9">
        <w:rPr>
          <w:rFonts w:ascii="Times New Roman" w:hAnsi="Times New Roman" w:cs="Times New Roman"/>
          <w:sz w:val="24"/>
          <w:szCs w:val="24"/>
        </w:rPr>
        <w:t xml:space="preserve">and therefore limit </w:t>
      </w:r>
      <w:r w:rsidR="00726764">
        <w:rPr>
          <w:rFonts w:ascii="Times New Roman" w:hAnsi="Times New Roman" w:cs="Times New Roman"/>
          <w:sz w:val="24"/>
          <w:szCs w:val="24"/>
        </w:rPr>
        <w:t>our understanding of the inner-core processes</w:t>
      </w:r>
      <w:r w:rsidR="002C1B78">
        <w:rPr>
          <w:rFonts w:ascii="Times New Roman" w:hAnsi="Times New Roman" w:cs="Times New Roman"/>
          <w:sz w:val="24"/>
          <w:szCs w:val="24"/>
        </w:rPr>
        <w:t>.</w:t>
      </w:r>
      <w:r w:rsidR="000140BD">
        <w:rPr>
          <w:rFonts w:ascii="Times New Roman" w:hAnsi="Times New Roman" w:cs="Times New Roman"/>
          <w:sz w:val="24"/>
          <w:szCs w:val="24"/>
        </w:rPr>
        <w:t xml:space="preserve">  </w:t>
      </w:r>
      <w:r w:rsidR="00E3327A">
        <w:rPr>
          <w:rFonts w:ascii="Times New Roman" w:hAnsi="Times New Roman" w:cs="Times New Roman"/>
          <w:sz w:val="24"/>
          <w:szCs w:val="24"/>
        </w:rPr>
        <w:t>Consequently</w:t>
      </w:r>
      <w:r w:rsidR="000140BD">
        <w:rPr>
          <w:rFonts w:ascii="Times New Roman" w:hAnsi="Times New Roman" w:cs="Times New Roman"/>
          <w:sz w:val="24"/>
          <w:szCs w:val="24"/>
        </w:rPr>
        <w:t xml:space="preserve">, TC intensity prediction </w:t>
      </w:r>
      <w:r w:rsidR="006C4C34">
        <w:rPr>
          <w:rFonts w:ascii="Times New Roman" w:hAnsi="Times New Roman" w:cs="Times New Roman"/>
          <w:sz w:val="24"/>
          <w:szCs w:val="24"/>
        </w:rPr>
        <w:t>of</w:t>
      </w:r>
      <w:r w:rsidR="006C4C34" w:rsidRPr="00723DA9">
        <w:rPr>
          <w:rFonts w:ascii="Times New Roman" w:hAnsi="Times New Roman" w:cs="Times New Roman"/>
          <w:sz w:val="24"/>
          <w:szCs w:val="24"/>
        </w:rPr>
        <w:t xml:space="preserve"> the Numerical Weather Prediction (NWP) systems</w:t>
      </w:r>
      <w:r w:rsidR="006C4C34">
        <w:rPr>
          <w:rFonts w:ascii="Times New Roman" w:hAnsi="Times New Roman" w:cs="Times New Roman"/>
          <w:sz w:val="24"/>
          <w:szCs w:val="24"/>
        </w:rPr>
        <w:t xml:space="preserve"> </w:t>
      </w:r>
      <w:r w:rsidR="000140BD">
        <w:rPr>
          <w:rFonts w:ascii="Times New Roman" w:hAnsi="Times New Roman" w:cs="Times New Roman"/>
          <w:sz w:val="24"/>
          <w:szCs w:val="24"/>
        </w:rPr>
        <w:t>become</w:t>
      </w:r>
      <w:r w:rsidR="009E5190">
        <w:rPr>
          <w:rFonts w:ascii="Times New Roman" w:hAnsi="Times New Roman" w:cs="Times New Roman"/>
          <w:sz w:val="24"/>
          <w:szCs w:val="24"/>
        </w:rPr>
        <w:t>s</w:t>
      </w:r>
      <w:r w:rsidR="0062722F">
        <w:rPr>
          <w:rFonts w:ascii="Times New Roman" w:hAnsi="Times New Roman" w:cs="Times New Roman"/>
          <w:sz w:val="24"/>
          <w:szCs w:val="24"/>
        </w:rPr>
        <w:t xml:space="preserve"> </w:t>
      </w:r>
      <w:r w:rsidR="000140BD">
        <w:rPr>
          <w:rFonts w:ascii="Times New Roman" w:hAnsi="Times New Roman" w:cs="Times New Roman"/>
          <w:sz w:val="24"/>
          <w:szCs w:val="24"/>
        </w:rPr>
        <w:t>difficult without sufficiently accurate inner-core initial conditions and model physics.</w:t>
      </w:r>
      <w:r w:rsidR="002C1B78">
        <w:rPr>
          <w:rFonts w:ascii="Times New Roman" w:hAnsi="Times New Roman" w:cs="Times New Roman"/>
          <w:sz w:val="24"/>
          <w:szCs w:val="24"/>
        </w:rPr>
        <w:t xml:space="preserve">  </w:t>
      </w:r>
      <w:r w:rsidR="00F806C4">
        <w:rPr>
          <w:rFonts w:ascii="Times New Roman" w:hAnsi="Times New Roman" w:cs="Times New Roman"/>
          <w:sz w:val="24"/>
          <w:szCs w:val="24"/>
        </w:rPr>
        <w:t>Hence</w:t>
      </w:r>
      <w:r w:rsidR="00B22344" w:rsidRPr="00723DA9">
        <w:rPr>
          <w:rFonts w:ascii="Times New Roman" w:hAnsi="Times New Roman" w:cs="Times New Roman"/>
          <w:sz w:val="24"/>
          <w:szCs w:val="24"/>
        </w:rPr>
        <w:t>, t</w:t>
      </w:r>
      <w:r w:rsidR="00522DC3" w:rsidRPr="00723DA9">
        <w:rPr>
          <w:rFonts w:ascii="Times New Roman" w:hAnsi="Times New Roman" w:cs="Times New Roman"/>
          <w:sz w:val="24"/>
          <w:szCs w:val="24"/>
        </w:rPr>
        <w:t xml:space="preserve">o improve the </w:t>
      </w:r>
      <w:r w:rsidR="002F1A8B" w:rsidRPr="00723DA9">
        <w:rPr>
          <w:rFonts w:ascii="Times New Roman" w:hAnsi="Times New Roman" w:cs="Times New Roman"/>
          <w:sz w:val="24"/>
          <w:szCs w:val="24"/>
        </w:rPr>
        <w:t xml:space="preserve">TC </w:t>
      </w:r>
      <w:r w:rsidR="00283C5A">
        <w:rPr>
          <w:rFonts w:ascii="Times New Roman" w:hAnsi="Times New Roman" w:cs="Times New Roman"/>
          <w:sz w:val="24"/>
          <w:szCs w:val="24"/>
        </w:rPr>
        <w:t xml:space="preserve">intensity </w:t>
      </w:r>
      <w:r w:rsidR="002F1A8B" w:rsidRPr="00723DA9">
        <w:rPr>
          <w:rFonts w:ascii="Times New Roman" w:hAnsi="Times New Roman" w:cs="Times New Roman"/>
          <w:sz w:val="24"/>
          <w:szCs w:val="24"/>
        </w:rPr>
        <w:t>prediction</w:t>
      </w:r>
      <w:r w:rsidR="00522DC3" w:rsidRPr="00723DA9">
        <w:rPr>
          <w:rFonts w:ascii="Times New Roman" w:hAnsi="Times New Roman" w:cs="Times New Roman"/>
          <w:sz w:val="24"/>
          <w:szCs w:val="24"/>
        </w:rPr>
        <w:t>,</w:t>
      </w:r>
      <w:r w:rsidR="003A68BD">
        <w:rPr>
          <w:rFonts w:ascii="Times New Roman" w:hAnsi="Times New Roman" w:cs="Times New Roman"/>
          <w:sz w:val="24"/>
          <w:szCs w:val="24"/>
        </w:rPr>
        <w:t xml:space="preserve"> </w:t>
      </w:r>
      <w:r w:rsidR="002E5D52">
        <w:rPr>
          <w:rFonts w:ascii="Times New Roman" w:hAnsi="Times New Roman" w:cs="Times New Roman"/>
          <w:sz w:val="24"/>
          <w:szCs w:val="24"/>
        </w:rPr>
        <w:t>(</w:t>
      </w:r>
      <w:r w:rsidR="003A68BD">
        <w:rPr>
          <w:rFonts w:ascii="Times New Roman" w:hAnsi="Times New Roman" w:cs="Times New Roman"/>
          <w:sz w:val="24"/>
          <w:szCs w:val="24"/>
        </w:rPr>
        <w:t xml:space="preserve">1) </w:t>
      </w:r>
      <w:r w:rsidR="009325E6" w:rsidRPr="00723DA9">
        <w:rPr>
          <w:rFonts w:ascii="Times New Roman" w:hAnsi="Times New Roman" w:cs="Times New Roman"/>
          <w:sz w:val="24"/>
          <w:szCs w:val="24"/>
        </w:rPr>
        <w:t xml:space="preserve">a </w:t>
      </w:r>
      <w:r w:rsidR="00522DC3" w:rsidRPr="00723DA9">
        <w:rPr>
          <w:rFonts w:ascii="Times New Roman" w:hAnsi="Times New Roman" w:cs="Times New Roman"/>
          <w:sz w:val="24"/>
          <w:szCs w:val="24"/>
        </w:rPr>
        <w:t xml:space="preserve">better </w:t>
      </w:r>
      <w:r w:rsidR="003D547D" w:rsidRPr="00723DA9">
        <w:rPr>
          <w:rFonts w:ascii="Times New Roman" w:hAnsi="Times New Roman" w:cs="Times New Roman"/>
          <w:sz w:val="24"/>
          <w:szCs w:val="24"/>
        </w:rPr>
        <w:t xml:space="preserve">data assimilation (DA) system to </w:t>
      </w:r>
      <w:r w:rsidR="00522DC3" w:rsidRPr="00723DA9">
        <w:rPr>
          <w:rFonts w:ascii="Times New Roman" w:hAnsi="Times New Roman" w:cs="Times New Roman"/>
          <w:sz w:val="24"/>
          <w:szCs w:val="24"/>
        </w:rPr>
        <w:t>utiliz</w:t>
      </w:r>
      <w:r w:rsidR="003D547D" w:rsidRPr="00723DA9">
        <w:rPr>
          <w:rFonts w:ascii="Times New Roman" w:hAnsi="Times New Roman" w:cs="Times New Roman"/>
          <w:sz w:val="24"/>
          <w:szCs w:val="24"/>
        </w:rPr>
        <w:t>e</w:t>
      </w:r>
      <w:r w:rsidR="00522DC3" w:rsidRPr="00723DA9">
        <w:rPr>
          <w:rFonts w:ascii="Times New Roman" w:hAnsi="Times New Roman" w:cs="Times New Roman"/>
          <w:sz w:val="24"/>
          <w:szCs w:val="24"/>
        </w:rPr>
        <w:t xml:space="preserve"> the existing data</w:t>
      </w:r>
      <w:r w:rsidR="00A604AF">
        <w:rPr>
          <w:rFonts w:ascii="Times New Roman" w:hAnsi="Times New Roman" w:cs="Times New Roman"/>
          <w:sz w:val="24"/>
          <w:szCs w:val="24"/>
        </w:rPr>
        <w:t xml:space="preserve">, </w:t>
      </w:r>
      <w:r w:rsidR="004C519B">
        <w:rPr>
          <w:rFonts w:ascii="Times New Roman" w:hAnsi="Times New Roman" w:cs="Times New Roman"/>
          <w:sz w:val="24"/>
          <w:szCs w:val="24"/>
        </w:rPr>
        <w:t xml:space="preserve">(2) </w:t>
      </w:r>
      <w:r w:rsidR="00A604AF">
        <w:rPr>
          <w:rFonts w:ascii="Times New Roman" w:hAnsi="Times New Roman" w:cs="Times New Roman"/>
          <w:sz w:val="24"/>
          <w:szCs w:val="24"/>
        </w:rPr>
        <w:t>model physics</w:t>
      </w:r>
      <w:r w:rsidR="00522DC3" w:rsidRPr="00723DA9">
        <w:rPr>
          <w:rFonts w:ascii="Times New Roman" w:hAnsi="Times New Roman" w:cs="Times New Roman"/>
          <w:sz w:val="24"/>
          <w:szCs w:val="24"/>
        </w:rPr>
        <w:t xml:space="preserve"> </w:t>
      </w:r>
      <w:r w:rsidR="00A25E4B">
        <w:rPr>
          <w:rFonts w:ascii="Times New Roman" w:hAnsi="Times New Roman" w:cs="Times New Roman"/>
          <w:sz w:val="24"/>
          <w:szCs w:val="24"/>
        </w:rPr>
        <w:t xml:space="preserve">parameterizations or schemes that are more consistent with the reality </w:t>
      </w:r>
      <w:r w:rsidR="004C519B">
        <w:rPr>
          <w:rFonts w:ascii="Times New Roman" w:hAnsi="Times New Roman" w:cs="Times New Roman"/>
          <w:sz w:val="24"/>
          <w:szCs w:val="24"/>
        </w:rPr>
        <w:t xml:space="preserve">and (3) </w:t>
      </w:r>
      <w:r w:rsidR="004C519B" w:rsidRPr="00723DA9">
        <w:rPr>
          <w:rFonts w:ascii="Times New Roman" w:hAnsi="Times New Roman" w:cs="Times New Roman"/>
          <w:sz w:val="24"/>
          <w:szCs w:val="24"/>
        </w:rPr>
        <w:t xml:space="preserve">more </w:t>
      </w:r>
      <w:r w:rsidR="00EF72F5">
        <w:rPr>
          <w:rFonts w:ascii="Times New Roman" w:hAnsi="Times New Roman" w:cs="Times New Roman"/>
          <w:sz w:val="24"/>
          <w:szCs w:val="24"/>
        </w:rPr>
        <w:t xml:space="preserve">in-situ </w:t>
      </w:r>
      <w:r w:rsidR="004C519B" w:rsidRPr="00723DA9">
        <w:rPr>
          <w:rFonts w:ascii="Times New Roman" w:hAnsi="Times New Roman" w:cs="Times New Roman"/>
          <w:sz w:val="24"/>
          <w:szCs w:val="24"/>
        </w:rPr>
        <w:t xml:space="preserve">observations sampling the inner-core regions </w:t>
      </w:r>
      <w:r w:rsidR="00522DC3" w:rsidRPr="00723DA9">
        <w:rPr>
          <w:rFonts w:ascii="Times New Roman" w:hAnsi="Times New Roman" w:cs="Times New Roman"/>
          <w:sz w:val="24"/>
          <w:szCs w:val="24"/>
        </w:rPr>
        <w:t xml:space="preserve">are </w:t>
      </w:r>
      <w:r w:rsidR="00283C5A">
        <w:rPr>
          <w:rFonts w:ascii="Times New Roman" w:hAnsi="Times New Roman" w:cs="Times New Roman"/>
          <w:sz w:val="24"/>
          <w:szCs w:val="24"/>
        </w:rPr>
        <w:t>needed</w:t>
      </w:r>
      <w:r w:rsidR="002F1A8B" w:rsidRPr="00723DA9">
        <w:rPr>
          <w:rFonts w:ascii="Times New Roman" w:hAnsi="Times New Roman" w:cs="Times New Roman"/>
          <w:sz w:val="24"/>
          <w:szCs w:val="24"/>
        </w:rPr>
        <w:t>.</w:t>
      </w:r>
      <w:r w:rsidR="00AA4768" w:rsidRPr="00723DA9">
        <w:rPr>
          <w:rFonts w:ascii="Times New Roman" w:hAnsi="Times New Roman" w:cs="Times New Roman"/>
          <w:sz w:val="24"/>
          <w:szCs w:val="24"/>
        </w:rPr>
        <w:t xml:space="preserve">  </w:t>
      </w:r>
    </w:p>
    <w:p w14:paraId="043194FE" w14:textId="18E833E9" w:rsidR="00685428" w:rsidRPr="00723DA9" w:rsidRDefault="003E7F98" w:rsidP="5B610C6B">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Since </w:t>
      </w:r>
      <w:r w:rsidR="009B646E">
        <w:rPr>
          <w:rFonts w:ascii="Times New Roman" w:hAnsi="Times New Roman" w:cs="Times New Roman"/>
          <w:sz w:val="24"/>
          <w:szCs w:val="24"/>
        </w:rPr>
        <w:t>2005</w:t>
      </w:r>
      <w:r w:rsidR="005C5DC5" w:rsidRPr="00723DA9">
        <w:rPr>
          <w:rFonts w:ascii="Times New Roman" w:hAnsi="Times New Roman" w:cs="Times New Roman"/>
          <w:sz w:val="24"/>
          <w:szCs w:val="24"/>
        </w:rPr>
        <w:t xml:space="preserve">, </w:t>
      </w:r>
      <w:r w:rsidR="009B646E" w:rsidRPr="009B646E">
        <w:rPr>
          <w:rFonts w:ascii="Times New Roman" w:hAnsi="Times New Roman" w:cs="Times New Roman"/>
          <w:sz w:val="24"/>
          <w:szCs w:val="24"/>
        </w:rPr>
        <w:t xml:space="preserve">the Intensity Forecasting Experiment (IFEX) program from the National Oceanic and Atmospheric Administration (NOAA) has deployed the WP-3D </w:t>
      </w:r>
      <w:r w:rsidR="00A6462F" w:rsidRPr="009B646E">
        <w:rPr>
          <w:rFonts w:ascii="Times New Roman" w:hAnsi="Times New Roman" w:cs="Times New Roman"/>
          <w:sz w:val="24"/>
          <w:szCs w:val="24"/>
        </w:rPr>
        <w:t>aircraft</w:t>
      </w:r>
      <w:r w:rsidR="005C5DC5" w:rsidRPr="009B646E">
        <w:rPr>
          <w:rFonts w:ascii="Times New Roman" w:hAnsi="Times New Roman" w:cs="Times New Roman"/>
          <w:sz w:val="24"/>
          <w:szCs w:val="24"/>
        </w:rPr>
        <w:t xml:space="preserve"> </w:t>
      </w:r>
      <w:r w:rsidR="009B646E" w:rsidRPr="009B646E">
        <w:rPr>
          <w:rFonts w:ascii="Times New Roman" w:hAnsi="Times New Roman" w:cs="Times New Roman"/>
          <w:sz w:val="24"/>
          <w:szCs w:val="24"/>
        </w:rPr>
        <w:t xml:space="preserve">to </w:t>
      </w:r>
      <w:r w:rsidR="00CA22F7" w:rsidRPr="009B646E">
        <w:rPr>
          <w:rFonts w:ascii="Times New Roman" w:hAnsi="Times New Roman" w:cs="Times New Roman"/>
          <w:sz w:val="24"/>
          <w:szCs w:val="24"/>
        </w:rPr>
        <w:t>collect various kinds of</w:t>
      </w:r>
      <w:r w:rsidR="00EB6972">
        <w:rPr>
          <w:rFonts w:ascii="Times New Roman" w:hAnsi="Times New Roman" w:cs="Times New Roman"/>
          <w:sz w:val="24"/>
          <w:szCs w:val="24"/>
        </w:rPr>
        <w:t xml:space="preserve"> in-situ</w:t>
      </w:r>
      <w:r w:rsidR="00CA22F7" w:rsidRPr="009B646E">
        <w:rPr>
          <w:rFonts w:ascii="Times New Roman" w:hAnsi="Times New Roman" w:cs="Times New Roman"/>
          <w:sz w:val="24"/>
          <w:szCs w:val="24"/>
        </w:rPr>
        <w:t xml:space="preserve"> inner-core observations</w:t>
      </w:r>
      <w:r w:rsidR="008A67EE">
        <w:rPr>
          <w:rFonts w:ascii="Times New Roman" w:hAnsi="Times New Roman" w:cs="Times New Roman"/>
          <w:sz w:val="24"/>
          <w:szCs w:val="24"/>
        </w:rPr>
        <w:t xml:space="preserve"> by penetrating hurricanes</w:t>
      </w:r>
      <w:r w:rsidR="006A3D95" w:rsidRPr="00723DA9">
        <w:rPr>
          <w:rFonts w:ascii="Times New Roman" w:hAnsi="Times New Roman" w:cs="Times New Roman"/>
          <w:sz w:val="24"/>
          <w:szCs w:val="24"/>
        </w:rPr>
        <w:t xml:space="preserve"> </w:t>
      </w:r>
      <w:r w:rsidR="001C7D3B" w:rsidRPr="5B610C6B">
        <w:fldChar w:fldCharType="begin" w:fldLock="1"/>
      </w:r>
      <w:r w:rsidR="002001B3" w:rsidRPr="00723DA9">
        <w:rPr>
          <w:rFonts w:ascii="Times New Roman" w:hAnsi="Times New Roman" w:cs="Times New Roman"/>
          <w:sz w:val="24"/>
          <w:szCs w:val="24"/>
        </w:rPr>
        <w:instrText>ADDIN CSL_CITATION {"citationItems":[{"id":"ITEM-1","itemData":{"DOI":"10.1175/BAMS-87-11-1523","ISSN":"00030007","abstract":"In 2005, NOAA&amp;#39;s Hurricane Research Division (HRD), part of the Atlantic Oceanographic and Meteorological Laboratory, began a multiyear experiment called the Intensity Forecasting Experiment (IFEX). By emphasizing a partnership among NOAA&amp;#39;s HRD, Environmental Modeling Center (EMC), National Hurricane Center (NHC), Aircraft Operations Center (AOC), and National Environmental Satellite Data Information Service (NESDIS), IFEX represents a new approach for conducting hurricane field program operations. IFEX is intended to improve the prediction of tropical cyclone (TC) intensity change by 1) collecting observations that span the TC life cycle in a variety of environments; 2) developing and refining measurement technologies that provide improved real-time monitoring of TC intensity, structure, and environment; and 3) improving the understanding of the physical processes important in intensity change for a TC at all stages of its life cycle. This paper presents a summary of the accomplishments of IFEX during the 2005 hurricane season. New and refined technologies for measuring such fields as surface and three-dimensional wind fields, and the use of unmanned aerial vehicles, were achieved in a variety of field experiments that spanned the life cycle of several tropical cyclones, from formation and early organization to peak intensity and subsequent landfall or extratropical transition. Partnerships with other experiments during 2005 also expanded the spatial and temporal coverage of the data collected in 2005. A brief discussion of the plans for IFEX in 2006 is also provided.","author":[{"dropping-particle":"","family":"Rogers","given":"Robert","non-dropping-particle":"","parse-names":false,"suffix":""},{"dropping-particle":"","family":"Aberson","given":"Sim","non-dropping-particle":"","parse-names":false,"suffix":""},{"dropping-particle":"","family":"Black","given":"Michael","non-dropping-particle":"","parse-names":false,"suffix":""},{"dropping-particle":"","family":"Black","given":"Peter","non-dropping-particle":"","parse-names":false,"suffix":""},{"dropping-particle":"","family":"Cione","given":"Joe","non-dropping-particle":"","parse-names":false,"suffix":""},{"dropping-particle":"","family":"Dodge","given":"Peter","non-dropping-particle":"","parse-names":false,"suffix":""},{"dropping-particle":"","family":"Dunion","given":"Jason","non-dropping-particle":"","parse-names":false,"suffix":""},{"dropping-particle":"","family":"Gamache","given":"John","non-dropping-particle":"","parse-names":false,"suffix":""},{"dropping-particle":"","family":"Kaplan","given":"John","non-dropping-particle":"","parse-names":false,"suffix":""},{"dropping-particle":"","family":"Powell","given":"Mark","non-dropping-particle":"","parse-names":false,"suffix":""},{"dropping-particle":"","family":"Shay","given":"Nick","non-dropping-particle":"","parse-names":false,"suffix":""},{"dropping-particle":"","family":"Surgi","given":"Naomi","non-dropping-particle":"","parse-names":false,"suffix":""},{"dropping-particle":"","family":"Uhlhorn","given":"Eric","non-dropping-particle":"","parse-names":false,"suffix":""}],"container-title":"Bulletin of the American Meteorological Society","id":"ITEM-1","issue":"11","issued":{"date-parts":[["2006"]]},"page":"1523-1537","title":"The intensity forecasting experiment: A NOAA multiyear field program for improving tropical cyclone intensity forecasts","type":"article-journal","volume":"87"},"uris":["http://www.mendeley.com/documents/?uuid=6d962857-7784-4f3f-98f1-ff8b3329574a"]},{"id":"ITEM-2","itemData":{"DOI":"10.1175/BAMS-D-12-00089.1","ISSN":"00030007","author":[{"dropping-particle":"","family":"Rogers","given":"Robert","non-dropping-particle":"","parse-names":false,"suffix":""},{"dropping-particle":"","family":"Aberson","given":"Sim","non-dropping-particle":"","parse-names":false,"suffix":""},{"dropping-particle":"","family":"Aksoy","given":"Altug","non-dropping-particle":"","parse-names":false,"suffix":""},{"dropping-particle":"","family":"Annane","given":"Bachir","non-dropping-particle":"","parse-names":false,"suffix":""},{"dropping-particle":"","family":"Black","given":"Michael","non-dropping-particle":"","parse-names":false,"suffix":""},{"dropping-particle":"","family":"Cione","given":"Joseph","non-dropping-particle":"","parse-names":false,"suffix":""},{"dropping-particle":"","family":"Dorst","given":"Neal","non-dropping-particle":"","parse-names":false,"suffix":""},{"dropping-particle":"","family":"Dunion","given":"Jason","non-dropping-particle":"","parse-names":false,"suffix":""},{"dropping-particle":"","family":"Gamache","given":"John","non-dropping-particle":"","parse-names":false,"suffix":""},{"dropping-particle":"","family":"Goldenberg","given":"Stan","non-dropping-particle":"","parse-names":false,"suffix":""},{"dropping-particle":"","family":"Gopalakrishnan","given":"Sundararaman","non-dropping-particle":"","parse-names":false,"suffix":""},{"dropping-particle":"","family":"Kaplan","given":"John","non-dropping-particle":"","parse-names":false,"suffix":""},{"dropping-particle":"","family":"Klotz","given":"Bradley","non-dropping-particle":"","parse-names":false,"suffix":""},{"dropping-particle":"","family":"Lorsolo","given":"Sylvie","non-dropping-particle":"","parse-names":false,"suffix":""},{"dropping-particle":"","family":"Marks","given":"Frank","non-dropping-particle":"","parse-names":false,"suffix":""},{"dropping-particle":"","family":"Murillo","given":"Shirley","non-dropping-particle":"","parse-names":false,"suffix":""},{"dropping-particle":"","family":"Powell","given":"Mark","non-dropping-particle":"","parse-names":false,"suffix":""},{"dropping-particle":"","family":"Reasor","given":"Paul","non-dropping-particle":"","parse-names":false,"suffix":""},{"dropping-particle":"","family":"Sellwood","given":"Kathryn","non-dropping-particle":"","parse-names":false,"suffix":""},{"dropping-particle":"","family":"Uhlhorn","given":"Eric","non-dropping-particle":"","parse-names":false,"suffix":""},{"dropping-particle":"","family":"Vukicevic","given":"Tomislava","non-dropping-particle":"","parse-names":false,"suffix":""},{"dropping-particle":"","family":"Zhang","given":"Jun","non-dropping-particle":"","parse-names":false,"suffix":""},{"dropping-particle":"","family":"Zhang","given":"Xuejin","non-dropping-particle":"","parse-names":false,"suffix":""}],"container-title":"Bulletin of the American Meteorological Society","id":"ITEM-2","issue":"6","issued":{"date-parts":[["2013"]]},"page":"859-882","title":"NOAA'S hurricane intensity forecasting experiment: A progress report","type":"article-journal","volume":"94"},"uris":["http://www.mendeley.com/documents/?uuid=7781a0e9-8f89-404c-a717-d583ffcc10e2"]}],"mendeley":{"formattedCitation":"(Rogers et al. 2006, 2013a)","plainTextFormattedCitation":"(Rogers et al. 2006, 2013a)","previouslyFormattedCitation":"(Rogers et al. 2006, 2013a)"},"properties":{"noteIndex":0},"schema":"https://github.com/citation-style-language/schema/raw/master/csl-citation.json"}</w:instrText>
      </w:r>
      <w:r w:rsidR="001C7D3B" w:rsidRPr="5B610C6B">
        <w:rPr>
          <w:rFonts w:ascii="Times New Roman" w:hAnsi="Times New Roman" w:cs="Times New Roman"/>
          <w:sz w:val="24"/>
          <w:szCs w:val="24"/>
        </w:rPr>
        <w:fldChar w:fldCharType="separate"/>
      </w:r>
      <w:r w:rsidR="00D16A7C" w:rsidRPr="00723DA9">
        <w:rPr>
          <w:rFonts w:ascii="Times New Roman" w:hAnsi="Times New Roman" w:cs="Times New Roman"/>
          <w:noProof/>
          <w:sz w:val="24"/>
          <w:szCs w:val="24"/>
        </w:rPr>
        <w:t>(Rogers et al. 2006, 2013a)</w:t>
      </w:r>
      <w:r w:rsidR="001C7D3B" w:rsidRPr="5B610C6B">
        <w:fldChar w:fldCharType="end"/>
      </w:r>
      <w:r w:rsidR="00CA22F7" w:rsidRPr="00723DA9">
        <w:rPr>
          <w:rFonts w:ascii="Times New Roman" w:hAnsi="Times New Roman" w:cs="Times New Roman"/>
          <w:sz w:val="24"/>
          <w:szCs w:val="24"/>
        </w:rPr>
        <w:t>.</w:t>
      </w:r>
      <w:r w:rsidR="001C7D3B" w:rsidRPr="00723DA9">
        <w:rPr>
          <w:rFonts w:ascii="Times New Roman" w:hAnsi="Times New Roman" w:cs="Times New Roman"/>
          <w:sz w:val="24"/>
          <w:szCs w:val="24"/>
        </w:rPr>
        <w:t xml:space="preserve">  </w:t>
      </w:r>
      <w:r w:rsidR="00102B87" w:rsidRPr="00723DA9">
        <w:rPr>
          <w:rFonts w:ascii="Times New Roman" w:hAnsi="Times New Roman" w:cs="Times New Roman"/>
          <w:sz w:val="24"/>
          <w:szCs w:val="24"/>
        </w:rPr>
        <w:t xml:space="preserve">For instance, the Stepped Frequency Microwave Radiometer (SFMR), flight-level (FL) and tail doppler radar (TDR) observations were all collected onboard the NOAA WP-3D </w:t>
      </w:r>
      <w:r w:rsidR="00A6462F" w:rsidRPr="00723DA9">
        <w:rPr>
          <w:rFonts w:ascii="Times New Roman" w:hAnsi="Times New Roman" w:cs="Times New Roman"/>
          <w:sz w:val="24"/>
          <w:szCs w:val="24"/>
        </w:rPr>
        <w:t>aircraft</w:t>
      </w:r>
      <w:r w:rsidR="00102B87" w:rsidRPr="00723DA9">
        <w:rPr>
          <w:rFonts w:ascii="Times New Roman" w:hAnsi="Times New Roman" w:cs="Times New Roman"/>
          <w:sz w:val="24"/>
          <w:szCs w:val="24"/>
        </w:rPr>
        <w:t xml:space="preserve"> during the </w:t>
      </w:r>
      <w:r w:rsidR="00FB20FC">
        <w:rPr>
          <w:rFonts w:ascii="Times New Roman" w:hAnsi="Times New Roman" w:cs="Times New Roman"/>
          <w:sz w:val="24"/>
          <w:szCs w:val="24"/>
        </w:rPr>
        <w:t xml:space="preserve">field </w:t>
      </w:r>
      <w:r w:rsidR="00102B87" w:rsidRPr="00723DA9">
        <w:rPr>
          <w:rFonts w:ascii="Times New Roman" w:hAnsi="Times New Roman" w:cs="Times New Roman"/>
          <w:sz w:val="24"/>
          <w:szCs w:val="24"/>
        </w:rPr>
        <w:t xml:space="preserve">program.  These types </w:t>
      </w:r>
      <w:r w:rsidR="00C26E52" w:rsidRPr="00723DA9">
        <w:rPr>
          <w:rFonts w:ascii="Times New Roman" w:hAnsi="Times New Roman" w:cs="Times New Roman"/>
          <w:sz w:val="24"/>
          <w:szCs w:val="24"/>
        </w:rPr>
        <w:t xml:space="preserve">of </w:t>
      </w:r>
      <w:r w:rsidR="00102B87" w:rsidRPr="00723DA9">
        <w:rPr>
          <w:rFonts w:ascii="Times New Roman" w:hAnsi="Times New Roman" w:cs="Times New Roman"/>
          <w:sz w:val="24"/>
          <w:szCs w:val="24"/>
        </w:rPr>
        <w:t>observations provide</w:t>
      </w:r>
      <w:r w:rsidR="009F5160">
        <w:rPr>
          <w:rFonts w:ascii="Times New Roman" w:hAnsi="Times New Roman" w:cs="Times New Roman"/>
          <w:sz w:val="24"/>
          <w:szCs w:val="24"/>
        </w:rPr>
        <w:t>d</w:t>
      </w:r>
      <w:r w:rsidR="00102B87" w:rsidRPr="00723DA9">
        <w:rPr>
          <w:rFonts w:ascii="Times New Roman" w:hAnsi="Times New Roman" w:cs="Times New Roman"/>
          <w:sz w:val="24"/>
          <w:szCs w:val="24"/>
        </w:rPr>
        <w:t xml:space="preserve"> valuable information </w:t>
      </w:r>
      <w:r w:rsidR="002F379E">
        <w:rPr>
          <w:rFonts w:ascii="Times New Roman" w:hAnsi="Times New Roman" w:cs="Times New Roman"/>
          <w:sz w:val="24"/>
          <w:szCs w:val="24"/>
        </w:rPr>
        <w:t>to</w:t>
      </w:r>
      <w:r w:rsidR="00102B87" w:rsidRPr="00723DA9">
        <w:rPr>
          <w:rFonts w:ascii="Times New Roman" w:hAnsi="Times New Roman" w:cs="Times New Roman"/>
          <w:sz w:val="24"/>
          <w:szCs w:val="24"/>
        </w:rPr>
        <w:t xml:space="preserve"> improv</w:t>
      </w:r>
      <w:r w:rsidR="002F379E">
        <w:rPr>
          <w:rFonts w:ascii="Times New Roman" w:hAnsi="Times New Roman" w:cs="Times New Roman"/>
          <w:sz w:val="24"/>
          <w:szCs w:val="24"/>
        </w:rPr>
        <w:t>e</w:t>
      </w:r>
      <w:r w:rsidR="00102B87" w:rsidRPr="00723DA9">
        <w:rPr>
          <w:rFonts w:ascii="Times New Roman" w:hAnsi="Times New Roman" w:cs="Times New Roman"/>
          <w:sz w:val="24"/>
          <w:szCs w:val="24"/>
        </w:rPr>
        <w:t xml:space="preserve"> our understanding of the structur</w:t>
      </w:r>
      <w:r w:rsidR="00E235BB">
        <w:rPr>
          <w:rFonts w:ascii="Times New Roman" w:hAnsi="Times New Roman" w:cs="Times New Roman"/>
          <w:sz w:val="24"/>
          <w:szCs w:val="24"/>
        </w:rPr>
        <w:t>e</w:t>
      </w:r>
      <w:r w:rsidR="00102B87" w:rsidRPr="00723DA9">
        <w:rPr>
          <w:rFonts w:ascii="Times New Roman" w:hAnsi="Times New Roman" w:cs="Times New Roman"/>
          <w:sz w:val="24"/>
          <w:szCs w:val="24"/>
        </w:rPr>
        <w:t xml:space="preserve"> evolution of hurricanes </w:t>
      </w:r>
      <w:r w:rsidR="00102B87" w:rsidRPr="5B610C6B">
        <w:fldChar w:fldCharType="begin" w:fldLock="1"/>
      </w:r>
      <w:r w:rsidR="002E0A45" w:rsidRPr="00723DA9">
        <w:rPr>
          <w:rFonts w:ascii="Times New Roman" w:hAnsi="Times New Roman" w:cs="Times New Roman"/>
          <w:sz w:val="24"/>
          <w:szCs w:val="24"/>
        </w:rPr>
        <w:instrText>ADDIN CSL_CITATION {"citationItems":[{"id":"ITEM-1","itemData":{"author":[{"dropping-particle":"","family":"Marks","given":"F.G.","non-dropping-particle":"","parse-names":false,"suffix":""},{"dropping-particle":"","family":"Houze","given":"R.A.","non-dropping-particle":"","parse-names":false,"suffix":""}],"container-title":"Bulletin American Meteorological Society","id":"ITEM-1","issued":{"date-parts":[["1984"]]},"page":"569-582","title":"Airborne Doppler Radar Observations in Hurricane Debby","type":"article-journal","volume":"65"},"uris":["http://www.mendeley.com/documents/?uuid=c76c253b-4140-3702-bc7a-f130f37f2b31"]},{"id":"ITEM-2","itemData":{"DOI":"10.1175/1520-0469(1987)044&lt;1296:ICSOHA&gt;2.0.CO;2","ISSN":"0022-4928","abstract":"Airborne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particle...","author":[{"dropping-particle":"","family":"Marks","given":"Frank D.","non-dropping-particle":"","parse-names":false,"suffix":""},{"dropping-particle":"","family":"Houze","given":"Robert a.","non-dropping-particle":"","parse-names":false,"suffix":""}],"container-title":"Journal of the Atmospheric Sciences","id":"ITEM-2","issue":"9","issued":{"date-parts":[["1987"]]},"page":"1296-1317","title":"Inner Core Structure of Hurricane Alicia from Airborne Doppler Radar Observations","type":"article","volume":"44"},"uris":["http://www.mendeley.com/documents/?uuid=baa2ef94-1c58-4dab-9076-034b565b7750"]},{"id":"ITEM-3","itemData":{"DOI":"10.1175/1520-0493(2000)128&lt;1653:LWSAEO&gt;2.0.CO;2","ISBN":"0027-0644","ISSN":"0027-0644","abstract":"The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Review","id":"ITEM-3","issue":"6","issued":{"date-parts":[["2000"]]},"page":"1653-1680","title":"Low-Wavenumber Structure and Evolution of the Hurricane Inner Core Observed by Airborne Dual-Doppler Radar","type":"article-journal","volume":"128"},"uris":["http://www.mendeley.com/documents/?uuid=328d83df-7672-4fb9-8099-23b603173389"]},{"id":"ITEM-4","itemData":{"DOI":"10.1175/MWR2831.1","ISSN":"0027-0644","abstract":"Although numerical models are essential to hurricane forecasting,\\nmany other applications require only statistical depiction of the\\nwind distribution. In Holland's 1980 parametric profile, radius of\\nmaximum wind, maximum wind, and a measure of the profile width describe\\nthe radial variation of the axisymmetric wind. Variants of the Holland\\nprofile are used to predict insurance underwriting risk, ocean response,\\nand storm-surge inundation. Since these calculations guide high-stakes\\nfinancial and emergency managment decisions, it is logical to test\\nthem against observations. The Hurricane Research Division's flight-level\\ndatabase archives observations were obtained by NOAA and U.S. Air\\nForce Reserve aircraft. The data considered here are winds and geopotential\\nheights observed during 606 lower- and midtropospheric flights into\\nAtlantic and eastern Pacific tropical cyclones during 1977–2000.\\nThe 493 profiles that meet quality control criteria are seasonally\\ngeographically representative. Least squares fits of the Holland\\nmodel to these data provide evaluation of the parameters' distributions\\nand critical examination of the profile's realism. Individual fitted\\nprofiles differ from the observations in a consistent pattern. The\\nareas of strong winds in the eyewall and of nearly calm winds at\\nthe vortex center are too wide. Beyond 2 or 3 times the eye radius,\\nthe wind decreases too rapidly with distance from the center. Although\\nthe average bias in fitted profiles is &lt;1 m s-1, the root-mean-square\\nerror is 4.2 m s-1 (5.2 m s-1 for independent data). Maximum winds\\nestimated from the fitted Holland-profile height–wind relation\\naverage 2.5 m s-1 too strong with an rms error of 6.5 m s-1. The\\npattern of too strong wind spread over too much real estate exaggerates\\nthe occurrence of winds stronger than 50 m s-1 by ~50%.","author":[{"dropping-particle":"","family":"Willoughby","given":"H. E.","non-dropping-particle":"","parse-names":false,"suffix":""},{"dropping-particle":"","family":"Rahn","given":"M. E.","non-dropping-particle":"","parse-names":false,"suffix":""}],"container-title":"Monthly Weather Review","id":"ITEM-4","issue":"12","issued":{"date-parts":[["2004"]]},"page":"3033-3048","title":"Parametric Representation of the Primary Hurricane Vortex. Part I: Observations and Evaluation of the Holland (1980) Model","type":"article-journal","volume":"132"},"uris":["http://www.mendeley.com/documents/?uuid=29595b01-c460-4a5e-a57f-61b574191d7d"]},{"id":"ITEM-5","itemData":{"DOI":"10.1029/2008GL034774","ISSN":"00948276","abstract":"Knowledge of the magnitude and distribution of surface winds, including the structure of azimuthal asymmetries in the wind field, are important factors for tropical cyclone forecasting. With its ability to remotely measure surface wind speeds, the stepped frequency microwave radiometer (SFMR) has assumed a prominent role for the operational tropical cyclone forecasting community. An example of this instrument’s utility is presented here, where concurrent measurements of aircraft flight-level and SFMR surface winds are used to document the wind field evolution over three days in Hurricane Rita (2005). The amplitude and azimuthal location (phase) of the wavenumber-1 asymmetry in the storm-relative winds varied at both levels over time. The peak was found to the right of storm track at both levels on the first day. By the third day, the peak in flight-level storm-relative winds remained to the right of storm track, but it shifted to left of storm track at the surface, resulting in a 60-degree shift between the surface and flight-level and azimuthal variations in the ratio of surface to flight- level winds. The asymmetric differences between the surface and flight-level maximum wind radii also varied, indicating a vortex whose tilt was increasing.","author":[{"dropping-particle":"","family":"Rogers","given":"Robert","non-dropping-particle":"","parse-names":false,"suffix":""},{"dropping-particle":"","family":"Uhlhorn","given":"Eric","non-dropping-particle":"","parse-names":false,"suffix":""}],"container-title":"Geophysical Research Letters","id":"ITEM-5","issue":"22","issued":{"date-parts":[["2008"]]},"page":"1-6","title":"Observations of the structure and evolution of surface and flight-level wind asymmetries in Hurricane Rita (2005)","type":"article-journal","volume":"35"},"uris":["http://www.mendeley.com/documents/?uuid=df4bf412-d820-4a83-bdb9-e763501dc0ca"]},{"id":"ITEM-6","itemData":{"DOI":"10.1175/2008WAF2007087.1","author":[{"dropping-particle":"","family":"Powell","given":"Mark D.","non-dropping-particle":"","parse-names":false,"suffix":""},{"dropping-particle":"","family":"Uhlhorn","given":"Eric W.","non-dropping-particle":"","parse-names":false,"suffix":""},{"dropping-particle":"","family":"Kepert","given":"Jeffery D.","non-dropping-particle":"","parse-names":false,"suffix":""}],"container-title":"Weather and Forecasting","id":"ITEM-6","issued":{"date-parts":[["2009"]]},"page":"868-883","title":"Estimating Maximum Surface Winds from Hurricane Reconnaissance Measurements","type":"article-journal","volume":"24"},"uris":["http://www.mendeley.com/documents/?uuid=e9c0354c-8ab9-4ec3-8fab-e59b2c7bc150"]},{"id":"ITEM-7","itemData":{"DOI":"10.1175/WAF-D-11-00001.1","ISSN":"0882-8156","abstract":"In this study, a 72-h cloud-permitting numerical prediction of Hurricane\\nWilma (2005), covering its initial 18-h spinup, an 18-h rapid intensification\\n(RI), and the subsequent 36-h weakening stage, is performed using\\nthe Weather Research Forecast Model (WRF) with the finest grid length\\nof 1 km. The model prediction uses the initial and lateral boundary\\nconditions, including the bogus vortex, that are identical to the\\nGeophysical Fluid Dynamics Laboratory</w:instrText>
      </w:r>
      <w:r w:rsidR="002E0A45" w:rsidRPr="00723DA9">
        <w:rPr>
          <w:rFonts w:ascii="Tahoma" w:hAnsi="Tahoma" w:cs="Tahoma"/>
          <w:sz w:val="24"/>
          <w:szCs w:val="24"/>
        </w:rPr>
        <w:instrText>�</w:instrText>
      </w:r>
      <w:r w:rsidR="002E0A45" w:rsidRPr="00723DA9">
        <w:rPr>
          <w:rFonts w:ascii="Times New Roman" w:hAnsi="Times New Roman" w:cs="Times New Roman"/>
          <w:sz w:val="24"/>
          <w:szCs w:val="24"/>
        </w:rPr>
        <w:instrText>fs then-operational data, except\\nfor the time-independent sea surface temperature field. Results show\\nthat the WRF prediction compares favorably in many aspects to the\\nbest-track analysis, as well as satellite and reconnaissance flight-level\\nobservations. In particular, the model predicts an RI rate of more\\nthan 4 hPa h</w:instrText>
      </w:r>
      <w:r w:rsidR="002E0A45" w:rsidRPr="00723DA9">
        <w:rPr>
          <w:rFonts w:ascii="Tahoma" w:hAnsi="Tahoma" w:cs="Tahoma"/>
          <w:sz w:val="24"/>
          <w:szCs w:val="24"/>
        </w:rPr>
        <w:instrText>�</w:instrText>
      </w:r>
      <w:r w:rsidR="002E0A45" w:rsidRPr="00723DA9">
        <w:rPr>
          <w:rFonts w:ascii="Times New Roman" w:hAnsi="Times New Roman" w:cs="Times New Roman"/>
          <w:sz w:val="24"/>
          <w:szCs w:val="24"/>
        </w:rPr>
        <w:instrText>|1 for an 18-h period, with the minimum central pressure\\nof less than 889 hPa. Of significance is that the model captures\\na sequence of important inner-core structural variations associated\\nwith Wilma</w:instrText>
      </w:r>
      <w:r w:rsidR="002E0A45" w:rsidRPr="00723DA9">
        <w:rPr>
          <w:rFonts w:ascii="Tahoma" w:hAnsi="Tahoma" w:cs="Tahoma"/>
          <w:sz w:val="24"/>
          <w:szCs w:val="24"/>
        </w:rPr>
        <w:instrText>�</w:instrText>
      </w:r>
      <w:r w:rsidR="002E0A45" w:rsidRPr="00723DA9">
        <w:rPr>
          <w:rFonts w:ascii="Times New Roman" w:hAnsi="Times New Roman" w:cs="Times New Roman"/>
          <w:sz w:val="24"/>
          <w:szCs w:val="24"/>
        </w:rPr>
        <w:instrText>fs intensity changes, namely, from a partial eyewall open\\nto the west prior to RI to a full eyewall at the onset of RI, rapid\\neyewall contraction during the initial spinup, the formation of double\\neyewalls with a wide moat area in between during the most intense\\nstage, and the subsequent eyewall replacement leading to the weakening\\nof Wilma. In addition, the model reproduces the boundary layer growth\\nup to 750 hPa with an intense inversion layer above in the eye. Recognizing\\nthat a single case does not provide a rigorous test of the model\\npredictability due to the stochastic nature of deep convection, results\\npresented herein suggest that it is possible to improve forecasts\\nof hurricane intensity and intensity changes, and especially RI,\\nif the inner-core structural changes and storm size could be reasonably\\npredicted in an operational setting using high-resolution cloud-permitting\\nmodels with realistic initial conditions and model physical parameterizations.","author":[{"dropping-particle":"","family":"Chen","given":"Hua","non-dropping-particle":"","parse-names":false,"suffix":""},{"dropping-particle":"","family":"Zhang","given":"Da-Lin","non-dropping-particle":"","parse-names":false,"suffix":""},{"dropping-particle":"","family":"Carton","given":"James","non-dropping-particle":"","parse-names":false,"suffix":""},{"dropping-particle":"","family":"Atlas","given":"Robert","non-dropping-particle":"","parse-names":false,"suffix":""}],"container-title":"Weather and Forecasting","id":"ITEM-7","issue":"6","issued":{"date-parts":[["2011"]]},"page":"885-901","title":"On the Rapid Intensification of Hurricane Wilma (2005). Part I: Model Prediction and Structural Changes","type":"article-journal","volume":"26"},"uris":["http://www.mendeley.com/documents/?uuid=46b578ba-78af-4080-b62b-0ae9fc843d73"]},{"id":"ITEM-8","itemData":{"DOI":"10.1175/MWR-D-12-00357.1","ISSN":"0027-0644","author":[{"dropping-particle":"","family":"Rogers","given":"Robert","non-dropping-particle":"","parse-names":false,"suffix":""},{"dropping-particle":"","family":"Reasor","given":"Paul","non-dropping-particle":"","parse-names":false,"suffix":""},{"dropping-particle":"","family":"Lorsolo","given":"Sylvie","non-dropping-particle":"","parse-names":false,"suffix":""}],"container-title":"Monthly Weather Review","id":"ITEM-8","issue":"9","issued":{"date-parts":[["2013"]]},"page":"2970-2991","title":"Airborne Doppler Observations of the Inner-Core Structural Differences between Intensifying and Steady-State Tropical Cyclones","type":"article-journal","volume":"141"},"uris":["http://www.mendeley.com/documents/?uuid=95fecc89-2340-4a7f-9a46-b32278229138"]}],"mendeley":{"formattedCitation":"(Marks and Houze 1984, 1987; Reasor et al. 2000; Willoughby and Rahn 2004; Rogers and Uhlhorn 2008a; Powell et al. 2009; Chen et al. 2011; Rogers et al. 2013b)","plainTextFormattedCitation":"(Marks and Houze 1984, 1987; Reasor et al. 2000; Willoughby and Rahn 2004; Rogers and Uhlhorn 2008a; Powell et al. 2009; Chen et al. 2011; Rogers et al. 2013b)","previouslyFormattedCitation":"(Marks and Houze 1984, 1987; Reasor et al. 2000; Willoughby and Rahn 2004; Rogers and Uhlhorn 2008a; Powell et al. 2009; Chen et al. 2011; Rogers et al. 2013b)"},"properties":{"noteIndex":0},"schema":"https://github.com/citation-style-language/schema/raw/master/csl-citation.json"}</w:instrText>
      </w:r>
      <w:r w:rsidR="00102B87" w:rsidRPr="5B610C6B">
        <w:rPr>
          <w:rFonts w:ascii="Times New Roman" w:hAnsi="Times New Roman" w:cs="Times New Roman"/>
          <w:sz w:val="24"/>
          <w:szCs w:val="24"/>
        </w:rPr>
        <w:fldChar w:fldCharType="separate"/>
      </w:r>
      <w:r w:rsidR="002E0A45" w:rsidRPr="00723DA9">
        <w:rPr>
          <w:rFonts w:ascii="Times New Roman" w:hAnsi="Times New Roman" w:cs="Times New Roman"/>
          <w:noProof/>
          <w:sz w:val="24"/>
          <w:szCs w:val="24"/>
        </w:rPr>
        <w:t>(Marks and Houze 1984, 1987; Reasor et al. 2000; Willoughby and Rahn 2004; Rogers and Uhlhorn 2008a; Powell et al. 2009; Chen et al. 2011; Rogers et al. 2013b)</w:t>
      </w:r>
      <w:r w:rsidR="00102B87" w:rsidRPr="5B610C6B">
        <w:fldChar w:fldCharType="end"/>
      </w:r>
      <w:r w:rsidR="00102B87" w:rsidRPr="00723DA9">
        <w:rPr>
          <w:rFonts w:ascii="Times New Roman" w:hAnsi="Times New Roman" w:cs="Times New Roman"/>
          <w:sz w:val="24"/>
          <w:szCs w:val="24"/>
        </w:rPr>
        <w:t xml:space="preserve">. </w:t>
      </w:r>
      <w:r w:rsidR="00C627EF" w:rsidRPr="00723DA9">
        <w:rPr>
          <w:rFonts w:ascii="Times New Roman" w:hAnsi="Times New Roman" w:cs="Times New Roman"/>
          <w:sz w:val="24"/>
          <w:szCs w:val="24"/>
        </w:rPr>
        <w:t xml:space="preserve"> </w:t>
      </w:r>
      <w:r w:rsidR="00357247">
        <w:rPr>
          <w:rFonts w:ascii="Times New Roman" w:hAnsi="Times New Roman" w:cs="Times New Roman"/>
          <w:sz w:val="24"/>
          <w:szCs w:val="24"/>
        </w:rPr>
        <w:t>More recently</w:t>
      </w:r>
      <w:r w:rsidR="00491892" w:rsidRPr="00723DA9">
        <w:rPr>
          <w:rFonts w:ascii="Times New Roman" w:hAnsi="Times New Roman" w:cs="Times New Roman"/>
          <w:sz w:val="24"/>
          <w:szCs w:val="24"/>
        </w:rPr>
        <w:t xml:space="preserve">, </w:t>
      </w:r>
      <w:r w:rsidR="00C754AD" w:rsidRPr="00723DA9">
        <w:rPr>
          <w:rFonts w:ascii="Times New Roman" w:hAnsi="Times New Roman" w:cs="Times New Roman"/>
          <w:sz w:val="24"/>
          <w:szCs w:val="24"/>
        </w:rPr>
        <w:t>more and more</w:t>
      </w:r>
      <w:r w:rsidR="00491892" w:rsidRPr="00723DA9">
        <w:rPr>
          <w:rFonts w:ascii="Times New Roman" w:hAnsi="Times New Roman" w:cs="Times New Roman"/>
          <w:sz w:val="24"/>
          <w:szCs w:val="24"/>
        </w:rPr>
        <w:t xml:space="preserve"> flights </w:t>
      </w:r>
      <w:r w:rsidR="002F429C">
        <w:rPr>
          <w:rFonts w:ascii="Times New Roman" w:hAnsi="Times New Roman" w:cs="Times New Roman"/>
          <w:sz w:val="24"/>
          <w:szCs w:val="24"/>
        </w:rPr>
        <w:t xml:space="preserve">were </w:t>
      </w:r>
      <w:r w:rsidR="00C14C5E" w:rsidRPr="00723DA9">
        <w:rPr>
          <w:rFonts w:ascii="Times New Roman" w:hAnsi="Times New Roman" w:cs="Times New Roman"/>
          <w:sz w:val="24"/>
          <w:szCs w:val="24"/>
        </w:rPr>
        <w:t xml:space="preserve">deployed </w:t>
      </w:r>
      <w:r w:rsidR="00BE3C43" w:rsidRPr="00723DA9">
        <w:rPr>
          <w:rFonts w:ascii="Times New Roman" w:hAnsi="Times New Roman" w:cs="Times New Roman"/>
          <w:sz w:val="24"/>
          <w:szCs w:val="24"/>
        </w:rPr>
        <w:t>to penetrate or circle around the TCs</w:t>
      </w:r>
      <w:r w:rsidR="00C14C5E" w:rsidRPr="00723DA9">
        <w:rPr>
          <w:rFonts w:ascii="Times New Roman" w:hAnsi="Times New Roman" w:cs="Times New Roman"/>
          <w:sz w:val="24"/>
          <w:szCs w:val="24"/>
        </w:rPr>
        <w:t xml:space="preserve"> by different field campaigns</w:t>
      </w:r>
      <w:r w:rsidR="00491892" w:rsidRPr="00723DA9">
        <w:rPr>
          <w:rFonts w:ascii="Times New Roman" w:hAnsi="Times New Roman" w:cs="Times New Roman"/>
          <w:sz w:val="24"/>
          <w:szCs w:val="24"/>
        </w:rPr>
        <w:t xml:space="preserve">.  Such as the WB-57 </w:t>
      </w:r>
      <w:r w:rsidR="00C90283" w:rsidRPr="00723DA9">
        <w:rPr>
          <w:rFonts w:ascii="Times New Roman" w:hAnsi="Times New Roman" w:cs="Times New Roman"/>
          <w:sz w:val="24"/>
          <w:szCs w:val="24"/>
        </w:rPr>
        <w:t xml:space="preserve">aircraft </w:t>
      </w:r>
      <w:r w:rsidR="00074B61">
        <w:rPr>
          <w:rFonts w:ascii="Times New Roman" w:hAnsi="Times New Roman" w:cs="Times New Roman"/>
          <w:sz w:val="24"/>
          <w:szCs w:val="24"/>
        </w:rPr>
        <w:t>from</w:t>
      </w:r>
      <w:r w:rsidR="00491892" w:rsidRPr="00723DA9">
        <w:rPr>
          <w:rFonts w:ascii="Times New Roman" w:hAnsi="Times New Roman" w:cs="Times New Roman"/>
          <w:sz w:val="24"/>
          <w:szCs w:val="24"/>
        </w:rPr>
        <w:t xml:space="preserve"> the Tropical Cyclone Intensity (TCI) program supported by the Office of Naval Research (ONR) </w:t>
      </w:r>
      <w:r w:rsidR="00491892" w:rsidRPr="5B610C6B">
        <w:fldChar w:fldCharType="begin" w:fldLock="1"/>
      </w:r>
      <w:r w:rsidR="00491892" w:rsidRPr="00723DA9">
        <w:rPr>
          <w:rFonts w:ascii="Times New Roman" w:hAnsi="Times New Roman" w:cs="Times New Roman"/>
          <w:sz w:val="24"/>
          <w:szCs w:val="24"/>
        </w:rPr>
        <w:instrText>ADDIN CSL_CITATION {"citationItems":[{"id":"ITEM-1","itemData":{"DOI":"10.1175/BAMS-D-16-0055.1","ISSN":"0003-0007","author":[{"dropping-particle":"","family":"Doyle","given":"James D.","non-dropping-particle":"","parse-names":false,"suffix":""},{"dropping-particle":"","family":"Moskaitis","given":"Jon","non-dropping-particle":"","parse-names":false,"suffix":""},{"dropping-particle":"","family":"Feldmeier","given":"Joel","non-dropping-particle":"","parse-names":false,"suffix":""},{"dropping-particle":"","family":"Ferek","given":"Ronald","non-dropping-particle":"","parse-names":false,"suffix":""},{"dropping-particle":"","family":"Beaubien","given":"Mark","non-dropping-particle":"","parse-names":false,"suffix":""},{"dropping-particle":"","family":"Bell","given":"Michael","non-dropping-particle":"","parse-names":false,"suffix":""},{"dropping-particle":"","family":"Cecil","given":"Daniel","non-dropping-particle":"","parse-names":false,"suffix":""},{"dropping-particle":"","family":"Creasey","given":"Robert","non-dropping-particle":"","parse-names":false,"suffix":""},{"dropping-particle":"","family":"Duran","given":"Patrick","non-dropping-particle":"","parse-names":false,"suffix":""},{"dropping-particle":"","family":"Elsberry","given":"Russ","non-dropping-particle":"","parse-names":false,"suffix":""},{"dropping-particle":"","family":"Komaromi","given":"Will","non-dropping-particle":"","parse-names":false,"suffix":""},{"dropping-particle":"","family":"Molinari","given":"John","non-dropping-particle":"","parse-names":false,"suffix":""},{"dropping-particle":"","family":"Ryglicki","given":"David","non-dropping-particle":"","parse-names":false,"suffix":""},{"dropping-particle":"","family":"Stern","given":"Daniel","non-dropping-particle":"","parse-names":false,"suffix":""},{"dropping-particle":"","family":"Velden","given":"Chris","non-dropping-particle":"","parse-names":false,"suffix":""},{"dropping-particle":"","family":"Wang","given":"Xuguang","non-dropping-particle":"","parse-names":false,"suffix":""},{"dropping-particle":"","family":"Allen","given":"Todd","non-dropping-particle":"","parse-names":false,"suffix":""},{"dropping-particle":"","family":"Barrett","given":"Bradford","non-dropping-particle":"","parse-names":false,"suffix":""},{"dropping-particle":"","family":"Black","given":"Peter","non-dropping-particle":"","parse-names":false,"suffix":""},{"dropping-particle":"","family":"Dunion","given":"Jason","non-dropping-particle":"","parse-names":false,"suffix":""},{"dropping-particle":"","family":"Emanuel","given":"Kerry","non-dropping-particle":"","parse-names":false,"suffix":""},{"dropping-particle":"","family":"Harr","given":"Pat","non-dropping-particle":"","parse-names":false,"suffix":""},{"dropping-particle":"","family":"Harrison","given":"Lee","non-dropping-particle":"","parse-names":false,"suffix":""},{"dropping-particle":"","family":"Hendricks","given":"Eric","non-dropping-particle":"","parse-names":false,"suffix":""},{"dropping-particle":"","family":"Herndon","given":"Derrick","non-dropping-particle":"","parse-names":false,"suffix":""},{"dropping-particle":"","family":"Jeffries","given":"William","non-dropping-particle":"","parse-names":false,"suffix":""},{"dropping-particle":"","family":"Majumdar","given":"Sharanya J.","non-dropping-particle":"","parse-names":false,"suffix":""},{"dropping-particle":"","family":"Moore","given":"James","non-dropping-particle":"","parse-names":false,"suffix":""},{"dropping-particle":"","family":"Pu","given":"Zhaoxia","non-dropping-particle":"","parse-names":false,"suffix":""},{"dropping-particle":"","family":"Rogers","given":"Robert","non-dropping-particle":"","parse-names":false,"suffix":""},{"dropping-particle":"","family":"Sanabia","given":"Elizabeth","non-dropping-particle":"","parse-names":false,"suffix":""},{"dropping-particle":"","family":"Tripoli","given":"Gregory","non-dropping-particle":"","parse-names":false,"suffix":""},{"dropping-particle":"","family":"Zhang","given":"Da-Lin","non-dropping-particle":"","parse-names":false,"suffix":""}],"container-title":"Bulletin of the American Meteorological Society","id":"ITEM-1","issued":{"date-parts":[["2017"]]},"page":"2113-2134","title":"A View of Tropical Cyclones from Above: The Tropical Cyclone Intensity (TCI) Experiment","type":"article-journal","volume":"98"},"uris":["http://www.mendeley.com/documents/?uuid=60c3c0a0-836e-40e1-9511-4e4e563a9101"]}],"mendeley":{"formattedCitation":"(Doyle et al. 2017)","plainTextFormattedCitation":"(Doyle et al. 2017)","previouslyFormattedCitation":"(Doyle et al. 2017)"},"properties":{"noteIndex":0},"schema":"https://github.com/citation-style-language/schema/raw/master/csl-citation.json"}</w:instrText>
      </w:r>
      <w:r w:rsidR="00491892" w:rsidRPr="5B610C6B">
        <w:rPr>
          <w:rFonts w:ascii="Times New Roman" w:hAnsi="Times New Roman" w:cs="Times New Roman"/>
          <w:sz w:val="24"/>
          <w:szCs w:val="24"/>
        </w:rPr>
        <w:fldChar w:fldCharType="separate"/>
      </w:r>
      <w:r w:rsidR="00491892" w:rsidRPr="00723DA9">
        <w:rPr>
          <w:rFonts w:ascii="Times New Roman" w:hAnsi="Times New Roman" w:cs="Times New Roman"/>
          <w:noProof/>
          <w:sz w:val="24"/>
          <w:szCs w:val="24"/>
        </w:rPr>
        <w:t>(Doyle et al. 2017)</w:t>
      </w:r>
      <w:r w:rsidR="00491892" w:rsidRPr="5B610C6B">
        <w:fldChar w:fldCharType="end"/>
      </w:r>
      <w:r w:rsidR="00A94767" w:rsidRPr="00723DA9">
        <w:rPr>
          <w:rFonts w:ascii="Times New Roman" w:hAnsi="Times New Roman" w:cs="Times New Roman"/>
          <w:sz w:val="24"/>
          <w:szCs w:val="24"/>
        </w:rPr>
        <w:t>,</w:t>
      </w:r>
      <w:r w:rsidR="00491892" w:rsidRPr="00723DA9">
        <w:rPr>
          <w:rFonts w:ascii="Times New Roman" w:hAnsi="Times New Roman" w:cs="Times New Roman"/>
          <w:sz w:val="24"/>
          <w:szCs w:val="24"/>
        </w:rPr>
        <w:t xml:space="preserve"> and the unmanned</w:t>
      </w:r>
      <w:r w:rsidR="00550ECA" w:rsidRPr="00723DA9">
        <w:rPr>
          <w:rFonts w:ascii="Times New Roman" w:hAnsi="Times New Roman" w:cs="Times New Roman"/>
          <w:sz w:val="24"/>
          <w:szCs w:val="24"/>
        </w:rPr>
        <w:t>-aircraft</w:t>
      </w:r>
      <w:r w:rsidR="00491892" w:rsidRPr="00723DA9">
        <w:rPr>
          <w:rFonts w:ascii="Times New Roman" w:hAnsi="Times New Roman" w:cs="Times New Roman"/>
          <w:sz w:val="24"/>
          <w:szCs w:val="24"/>
        </w:rPr>
        <w:t xml:space="preserve"> Global Hawk </w:t>
      </w:r>
      <w:r w:rsidR="00074B61">
        <w:rPr>
          <w:rFonts w:ascii="Times New Roman" w:hAnsi="Times New Roman" w:cs="Times New Roman"/>
          <w:sz w:val="24"/>
          <w:szCs w:val="24"/>
        </w:rPr>
        <w:t>from</w:t>
      </w:r>
      <w:r w:rsidR="00491892" w:rsidRPr="00723DA9">
        <w:rPr>
          <w:rFonts w:ascii="Times New Roman" w:hAnsi="Times New Roman" w:cs="Times New Roman"/>
          <w:sz w:val="24"/>
          <w:szCs w:val="24"/>
        </w:rPr>
        <w:t xml:space="preserve"> the Hurricane and Severe Storm Sentinel (HS3) program supported by the National Aeronautics and Space Administration’s (NASA) </w:t>
      </w:r>
      <w:r w:rsidR="00491892" w:rsidRPr="5B610C6B">
        <w:fldChar w:fldCharType="begin" w:fldLock="1"/>
      </w:r>
      <w:r w:rsidR="00D12244" w:rsidRPr="00723DA9">
        <w:rPr>
          <w:rFonts w:ascii="Times New Roman" w:hAnsi="Times New Roman" w:cs="Times New Roman"/>
          <w:sz w:val="24"/>
          <w:szCs w:val="24"/>
        </w:rPr>
        <w:instrText>ADDIN CSL_CITATION {"citationItems":[{"id":"ITEM-1","itemData":{"DOI":"10.1175/BAMS-D-15-00186.1","author":[{"dropping-particle":"","family":"Braun","given":"Scott A","non-dropping-particle":"","parse-names":false,"suffix":""},{"dropping-particle":"","family":"Newman","given":"Paul A","non-dropping-particle":"","parse-names":false,"suffix":""},{"dropping-particle":"","family":"Heymsfield","given":"Gerald M","non-dropping-particle":"","parse-names":false,"suffix":""}],"container-title":"Bull. Amer. Meteor. Soc.","id":"ITEM-1","issued":{"date-parts":[["2016"]]},"page":"2085-2102","title":"NASA'S HURRICANE AND SEVERE STORM SENTINEL (HS3) INVESTIGATION","type":"article-journal"},"uris":["http://www.mendeley.com/documents/?uuid=67eeb911-14fb-3125-b8aa-b889d7578fe3"]}],"mendeley":{"formattedCitation":"(Braun et al. 2016)","plainTextFormattedCitation":"(Braun et al. 2016)","previouslyFormattedCitation":"(Braun et al. 2016)"},"properties":{"noteIndex":0},"schema":"https://github.com/citation-style-language/schema/raw/master/csl-citation.json"}</w:instrText>
      </w:r>
      <w:r w:rsidR="00491892" w:rsidRPr="5B610C6B">
        <w:rPr>
          <w:rFonts w:ascii="Times New Roman" w:hAnsi="Times New Roman" w:cs="Times New Roman"/>
          <w:sz w:val="24"/>
          <w:szCs w:val="24"/>
        </w:rPr>
        <w:fldChar w:fldCharType="separate"/>
      </w:r>
      <w:r w:rsidR="00491892" w:rsidRPr="00723DA9">
        <w:rPr>
          <w:rFonts w:ascii="Times New Roman" w:hAnsi="Times New Roman" w:cs="Times New Roman"/>
          <w:noProof/>
          <w:sz w:val="24"/>
          <w:szCs w:val="24"/>
        </w:rPr>
        <w:t>(Braun et al. 2016)</w:t>
      </w:r>
      <w:r w:rsidR="00491892" w:rsidRPr="5B610C6B">
        <w:fldChar w:fldCharType="end"/>
      </w:r>
      <w:r w:rsidR="00491892" w:rsidRPr="00723DA9">
        <w:rPr>
          <w:rFonts w:ascii="Times New Roman" w:hAnsi="Times New Roman" w:cs="Times New Roman"/>
          <w:sz w:val="24"/>
          <w:szCs w:val="24"/>
        </w:rPr>
        <w:t>.</w:t>
      </w:r>
      <w:r w:rsidR="006A6FA5" w:rsidRPr="00723DA9">
        <w:rPr>
          <w:rFonts w:ascii="Times New Roman" w:hAnsi="Times New Roman" w:cs="Times New Roman"/>
          <w:sz w:val="24"/>
          <w:szCs w:val="24"/>
        </w:rPr>
        <w:t xml:space="preserve">  These relatively new field programs </w:t>
      </w:r>
      <w:r w:rsidR="001F77EA" w:rsidRPr="00723DA9">
        <w:rPr>
          <w:rFonts w:ascii="Times New Roman" w:hAnsi="Times New Roman" w:cs="Times New Roman"/>
          <w:sz w:val="24"/>
          <w:szCs w:val="24"/>
        </w:rPr>
        <w:t xml:space="preserve">utilized more advanced techniques </w:t>
      </w:r>
      <w:r w:rsidR="00F467C6" w:rsidRPr="00723DA9">
        <w:rPr>
          <w:rFonts w:ascii="Times New Roman" w:hAnsi="Times New Roman" w:cs="Times New Roman"/>
          <w:sz w:val="24"/>
          <w:szCs w:val="24"/>
        </w:rPr>
        <w:t>and instruments</w:t>
      </w:r>
      <w:r w:rsidR="00BE3C43" w:rsidRPr="00723DA9">
        <w:rPr>
          <w:rFonts w:ascii="Times New Roman" w:hAnsi="Times New Roman" w:cs="Times New Roman"/>
          <w:sz w:val="24"/>
          <w:szCs w:val="24"/>
        </w:rPr>
        <w:t>,</w:t>
      </w:r>
      <w:r w:rsidR="00F467C6" w:rsidRPr="00723DA9">
        <w:rPr>
          <w:rFonts w:ascii="Times New Roman" w:hAnsi="Times New Roman" w:cs="Times New Roman"/>
          <w:sz w:val="24"/>
          <w:szCs w:val="24"/>
        </w:rPr>
        <w:t xml:space="preserve"> </w:t>
      </w:r>
      <w:r w:rsidR="001F77EA" w:rsidRPr="00723DA9">
        <w:rPr>
          <w:rFonts w:ascii="Times New Roman" w:hAnsi="Times New Roman" w:cs="Times New Roman"/>
          <w:sz w:val="24"/>
          <w:szCs w:val="24"/>
        </w:rPr>
        <w:t>like the High-Definition Sounding System (HDSS</w:t>
      </w:r>
      <w:r w:rsidR="00D12244" w:rsidRPr="00723DA9">
        <w:rPr>
          <w:rFonts w:ascii="Times New Roman" w:hAnsi="Times New Roman" w:cs="Times New Roman"/>
          <w:sz w:val="24"/>
          <w:szCs w:val="24"/>
        </w:rPr>
        <w:t>;</w:t>
      </w:r>
      <w:r w:rsidR="00D12244" w:rsidRPr="5B610C6B">
        <w:fldChar w:fldCharType="begin" w:fldLock="1"/>
      </w:r>
      <w:r w:rsidR="00D12244" w:rsidRPr="00723DA9">
        <w:rPr>
          <w:rFonts w:ascii="Times New Roman" w:hAnsi="Times New Roman" w:cs="Times New Roman"/>
          <w:sz w:val="24"/>
          <w:szCs w:val="24"/>
        </w:rPr>
        <w:instrText>ADDIN CSL_CITATION {"citationItems":[{"id":"ITEM-1","itemData":{"DOI":"10.1175/JTECH-D-14-00210.1","abstract":"The High-Definition Sounding System (HDSS) is an automated system deploying the expendable digital dropsonde (XDD) designed to measure wind and pressure–temperature–humidity (PTH) profiles, and skin sea surface temperature (SST) within and around tropical cyclones (TCs) and other high-impact weather events needing high sampling density. Three experiments were conducted to validate the XDD. On two successive days off the California coast, 10 XDDs and 14 Vaisala RD-94s were deployed from the navy's Center for Interdisciplinary Remotely-Piloted Aircraft Studies (CIRPAS) Twin Otter aircraft over offshore buoys. The Twin Otter made spiral descents from 4 km to 60 m at the same descent rate as the sondes. Differences between successive XDD and RD-94 profiles due to true meteorological variability were on the same order as the profile differences between the spirals, XDDs, and RD-94s. XDD SST measured via in-frared microradiometer, referred to as infrared skin SST (SSTir), and surface wind measurements were within 0.58C and 1.5 m s 21 , respectively, of buoy and Twin Otter values. A NASA DC-8 flight launched six XDDs from 12 km between ex-TC Cosme and the Baja California coast. Repeatability was shown with good agreement between features in successive profiles. XDD SSTir mea-surements from 188 to 288C and surface winds agreed well with drifting buoy-and satellite-derived estimates. Excellent agreement was found between PTH and wind profiles measured by XDDs deployed from a NASA WB-57 at 18-km altitude offshore from the Texas coast and NWS radiosonde profiles from Brownsville and Corpus Christi, Texas. Successful XDD profiles were obtained in the clear and within pre-cipitation over an offshore squall line.","author":[{"dropping-particle":"","family":"Black","given":"Peter","non-dropping-particle":"","parse-names":false,"suffix":""},{"dropping-particle":"","family":"Harrison","given":"Lee","non-dropping-particle":"","parse-names":false,"suffix":""},{"dropping-particle":"","family":"Beaubien","given":"Mark","non-dropping-particle":"","parse-names":false,"suffix":""},{"dropping-particle":"","family":"Bluth","given":"Robert","non-dropping-particle":"","parse-names":false,"suffix":""},{"dropping-particle":"","family":"Woods","given":"Roy","non-dropping-particle":"","parse-names":false,"suffix":""},{"dropping-particle":"","family":"Penny","given":"Andrew","non-dropping-particle":"","parse-names":false,"suffix":""},{"dropping-particle":"","family":"Smith","given":"Robert W","non-dropping-particle":"","parse-names":false,"suffix":""},{"dropping-particle":"","family":"Doyle","given":"James D","non-dropping-particle":"","parse-names":false,"suffix":""}],"container-title":"JOURNAL OF ATMOSPHERIC AND OCEANIC TECHNOLOGY","id":"ITEM-1","issued":{"date-parts":[["2017"]]},"page":"777-796","title":"High-Definition Sounding System (HDSS) for Atmospheric Profiling","type":"article-journal","volume":"34"},"uris":["http://www.mendeley.com/documents/?uuid=d2e12548-859a-3924-a5d9-fad17c30d993"]}],"mendeley":{"formattedCitation":"(Black et al. 2017)","manualFormatting":" Black et al. 2017","plainTextFormattedCitation":"(Black et al. 2017)","previouslyFormattedCitation":"(Black et al. 2017)"},"properties":{"noteIndex":0},"schema":"https://github.com/citation-style-language/schema/raw/master/csl-citation.json"}</w:instrText>
      </w:r>
      <w:r w:rsidR="00D12244" w:rsidRPr="5B610C6B">
        <w:rPr>
          <w:rFonts w:ascii="Times New Roman" w:hAnsi="Times New Roman" w:cs="Times New Roman"/>
          <w:sz w:val="24"/>
          <w:szCs w:val="24"/>
        </w:rPr>
        <w:fldChar w:fldCharType="separate"/>
      </w:r>
      <w:r w:rsidR="00D12244" w:rsidRPr="00723DA9">
        <w:rPr>
          <w:rFonts w:ascii="Times New Roman" w:hAnsi="Times New Roman" w:cs="Times New Roman"/>
          <w:noProof/>
          <w:sz w:val="24"/>
          <w:szCs w:val="24"/>
        </w:rPr>
        <w:t xml:space="preserve"> Black et al. 2017</w:t>
      </w:r>
      <w:r w:rsidR="00D12244" w:rsidRPr="5B610C6B">
        <w:fldChar w:fldCharType="end"/>
      </w:r>
      <w:r w:rsidR="001F77EA" w:rsidRPr="00723DA9">
        <w:rPr>
          <w:rFonts w:ascii="Times New Roman" w:hAnsi="Times New Roman" w:cs="Times New Roman"/>
          <w:sz w:val="24"/>
          <w:szCs w:val="24"/>
        </w:rPr>
        <w:t>) dropsondes and the Hurricane Imaging Radiometer (HIRAD</w:t>
      </w:r>
      <w:r w:rsidR="00D12244" w:rsidRPr="00723DA9">
        <w:rPr>
          <w:rFonts w:ascii="Times New Roman" w:hAnsi="Times New Roman" w:cs="Times New Roman"/>
          <w:sz w:val="24"/>
          <w:szCs w:val="24"/>
        </w:rPr>
        <w:t xml:space="preserve">; </w:t>
      </w:r>
      <w:r w:rsidR="00D12244" w:rsidRPr="5B610C6B">
        <w:fldChar w:fldCharType="begin" w:fldLock="1"/>
      </w:r>
      <w:r w:rsidR="00204FB4" w:rsidRPr="00723DA9">
        <w:rPr>
          <w:rFonts w:ascii="Times New Roman" w:hAnsi="Times New Roman" w:cs="Times New Roman"/>
          <w:sz w:val="24"/>
          <w:szCs w:val="24"/>
        </w:rPr>
        <w:instrText>ADDIN CSL_CITATION {"citationItems":[{"id":"ITEM-1","itemData":{"DOI":"10.1175/JTECH-D-14-00210.1","abstract":"The High-Definition Sounding System (HDSS) is an automated system deploying the expendable digital dropsonde (XDD) designed to measure wind and pressure–temperature–humidity (PTH) profiles, and skin sea surface temperature (SST) within and around tropical cyclones (TCs) and other high-impact weather events needing high sampling density. Three experiments were conducted to validate the XDD. On two successive days off the California coast, 10 XDDs and 14 Vaisala RD-94s were deployed from the navy's Center for Interdisciplinary Remotely-Piloted Aircraft Studies (CIRPAS) Twin Otter aircraft over offshore buoys. The Twin Otter made spiral descents from 4 km to 60 m at the same descent rate as the sondes. Differences between successive XDD and RD-94 profiles due to true meteorological variability were on the same order as the profile differences between the spirals, XDDs, and RD-94s. XDD SST measured via in-frared microradiometer, referred to as infrared skin SST (SSTir), and surface wind measurements were within 0.58C and 1.5 m s 21 , respectively, of buoy and Twin Otter values. A NASA DC-8 flight launched six XDDs from 12 km between ex-TC Cosme and the Baja California coast. Repeatability was shown with good agreement between features in successive profiles. XDD SSTir mea-surements from 188 to 288C and surface winds agreed well with drifting buoy-and satellite-derived estimates. Excellent agreement was found between PTH and wind profiles measured by XDDs deployed from a NASA WB-57 at 18-km altitude offshore from the Texas coast and NWS radiosonde profiles from Brownsville and Corpus Christi, Texas. Successful XDD profiles were obtained in the clear and within pre-cipitation over an offshore squall line.","author":[{"dropping-particle":"","family":"Black","given":"Peter","non-dropping-particle":"","parse-names":false,"suffix":""},{"dropping-particle":"","family":"Harrison","given":"Lee","non-dropping-particle":"","parse-names":false,"suffix":""},{"dropping-particle":"","family":"Beaubien","given":"Mark","non-dropping-particle":"","parse-names":false,"suffix":""},{"dropping-particle":"","family":"Bluth","given":"Robert","non-dropping-particle":"","parse-names":false,"suffix":""},{"dropping-particle":"","family":"Woods","given":"Roy","non-dropping-particle":"","parse-names":false,"suffix":""},{"dropping-particle":"","family":"Penny","given":"Andrew","non-dropping-particle":"","parse-names":false,"suffix":""},{"dropping-particle":"","family":"Smith","given":"Robert W","non-dropping-particle":"","parse-names":false,"suffix":""},{"dropping-particle":"","family":"Doyle","given":"James D","non-dropping-particle":"","parse-names":false,"suffix":""}],"container-title":"JOURNAL OF ATMOSPHERIC AND OCEANIC TECHNOLOGY","id":"ITEM-1","issued":{"date-parts":[["2017"]]},"page":"777-796","title":"High-Definition Sounding System (HDSS) for Atmospheric Profiling","type":"article-journal","volume":"34"},"uris":["http://www.mendeley.com/documents/?uuid=d2e12548-859a-3924-a5d9-fad17c30d993"]}],"mendeley":{"formattedCitation":"(Black et al. 2017)","manualFormatting":"Black et al. 2017","plainTextFormattedCitation":"(Black et al. 2017)","previouslyFormattedCitation":"(Black et al. 2017)"},"properties":{"noteIndex":0},"schema":"https://github.com/citation-style-language/schema/raw/master/csl-citation.json"}</w:instrText>
      </w:r>
      <w:r w:rsidR="00D12244" w:rsidRPr="5B610C6B">
        <w:rPr>
          <w:rFonts w:ascii="Times New Roman" w:hAnsi="Times New Roman" w:cs="Times New Roman"/>
          <w:sz w:val="24"/>
          <w:szCs w:val="24"/>
        </w:rPr>
        <w:fldChar w:fldCharType="separate"/>
      </w:r>
      <w:r w:rsidR="00D12244" w:rsidRPr="00723DA9">
        <w:rPr>
          <w:rFonts w:ascii="Times New Roman" w:hAnsi="Times New Roman" w:cs="Times New Roman"/>
          <w:noProof/>
          <w:sz w:val="24"/>
          <w:szCs w:val="24"/>
        </w:rPr>
        <w:t>Black et al. 2017</w:t>
      </w:r>
      <w:r w:rsidR="00D12244" w:rsidRPr="5B610C6B">
        <w:fldChar w:fldCharType="end"/>
      </w:r>
      <w:r w:rsidR="001F77EA" w:rsidRPr="00723DA9">
        <w:rPr>
          <w:rFonts w:ascii="Times New Roman" w:hAnsi="Times New Roman" w:cs="Times New Roman"/>
          <w:sz w:val="24"/>
          <w:szCs w:val="24"/>
        </w:rPr>
        <w:t>)</w:t>
      </w:r>
      <w:r w:rsidR="00BE3C43" w:rsidRPr="00723DA9">
        <w:rPr>
          <w:rFonts w:ascii="Times New Roman" w:hAnsi="Times New Roman" w:cs="Times New Roman"/>
          <w:sz w:val="24"/>
          <w:szCs w:val="24"/>
        </w:rPr>
        <w:t xml:space="preserve">, to </w:t>
      </w:r>
      <w:r w:rsidR="00BE3C43" w:rsidRPr="00723DA9">
        <w:rPr>
          <w:rFonts w:ascii="Times New Roman" w:hAnsi="Times New Roman" w:cs="Times New Roman"/>
          <w:sz w:val="24"/>
          <w:szCs w:val="24"/>
        </w:rPr>
        <w:lastRenderedPageBreak/>
        <w:t>sample the inner-core or near</w:t>
      </w:r>
      <w:r w:rsidR="00040D87" w:rsidRPr="00723DA9">
        <w:rPr>
          <w:rFonts w:ascii="Times New Roman" w:hAnsi="Times New Roman" w:cs="Times New Roman"/>
          <w:sz w:val="24"/>
          <w:szCs w:val="24"/>
        </w:rPr>
        <w:t>-</w:t>
      </w:r>
      <w:r w:rsidR="00154DDA" w:rsidRPr="00723DA9">
        <w:rPr>
          <w:rFonts w:ascii="Times New Roman" w:hAnsi="Times New Roman" w:cs="Times New Roman"/>
          <w:sz w:val="24"/>
          <w:szCs w:val="24"/>
        </w:rPr>
        <w:t>inner</w:t>
      </w:r>
      <w:r w:rsidR="00BE3C43" w:rsidRPr="00723DA9">
        <w:rPr>
          <w:rFonts w:ascii="Times New Roman" w:hAnsi="Times New Roman" w:cs="Times New Roman"/>
          <w:sz w:val="24"/>
          <w:szCs w:val="24"/>
        </w:rPr>
        <w:t>-core</w:t>
      </w:r>
      <w:r w:rsidR="00040D87" w:rsidRPr="00723DA9">
        <w:rPr>
          <w:rFonts w:ascii="Times New Roman" w:hAnsi="Times New Roman" w:cs="Times New Roman"/>
          <w:sz w:val="24"/>
          <w:szCs w:val="24"/>
        </w:rPr>
        <w:t>-</w:t>
      </w:r>
      <w:r w:rsidR="00BE3C43" w:rsidRPr="00723DA9">
        <w:rPr>
          <w:rFonts w:ascii="Times New Roman" w:hAnsi="Times New Roman" w:cs="Times New Roman"/>
          <w:sz w:val="24"/>
          <w:szCs w:val="24"/>
        </w:rPr>
        <w:t>environment information of TCs.</w:t>
      </w:r>
      <w:r w:rsidR="00D12244" w:rsidRPr="00723DA9">
        <w:rPr>
          <w:rFonts w:ascii="Times New Roman" w:hAnsi="Times New Roman" w:cs="Times New Roman"/>
          <w:sz w:val="24"/>
          <w:szCs w:val="24"/>
        </w:rPr>
        <w:t xml:space="preserve">  With the increasing </w:t>
      </w:r>
      <w:r w:rsidR="00AF70BF" w:rsidRPr="00723DA9">
        <w:rPr>
          <w:rFonts w:ascii="Times New Roman" w:hAnsi="Times New Roman" w:cs="Times New Roman"/>
          <w:sz w:val="24"/>
          <w:szCs w:val="24"/>
        </w:rPr>
        <w:t xml:space="preserve">vortex-scale </w:t>
      </w:r>
      <w:r w:rsidR="00A351E4" w:rsidRPr="00723DA9">
        <w:rPr>
          <w:rFonts w:ascii="Times New Roman" w:hAnsi="Times New Roman" w:cs="Times New Roman"/>
          <w:sz w:val="24"/>
          <w:szCs w:val="24"/>
        </w:rPr>
        <w:t>TC</w:t>
      </w:r>
      <w:r w:rsidR="00D12244" w:rsidRPr="00723DA9">
        <w:rPr>
          <w:rFonts w:ascii="Times New Roman" w:hAnsi="Times New Roman" w:cs="Times New Roman"/>
          <w:sz w:val="24"/>
          <w:szCs w:val="24"/>
        </w:rPr>
        <w:t xml:space="preserve"> observations available, how to make good use of the</w:t>
      </w:r>
      <w:r w:rsidR="0069386C">
        <w:rPr>
          <w:rFonts w:ascii="Times New Roman" w:hAnsi="Times New Roman" w:cs="Times New Roman" w:hint="eastAsia"/>
          <w:sz w:val="24"/>
          <w:szCs w:val="24"/>
        </w:rPr>
        <w:t>se</w:t>
      </w:r>
      <w:r w:rsidR="0069386C">
        <w:rPr>
          <w:rFonts w:ascii="Times New Roman" w:hAnsi="Times New Roman" w:cs="Times New Roman"/>
          <w:sz w:val="24"/>
          <w:szCs w:val="24"/>
        </w:rPr>
        <w:t xml:space="preserve"> existing data</w:t>
      </w:r>
      <w:r w:rsidR="00D12244" w:rsidRPr="00723DA9">
        <w:rPr>
          <w:rFonts w:ascii="Times New Roman" w:hAnsi="Times New Roman" w:cs="Times New Roman"/>
          <w:sz w:val="24"/>
          <w:szCs w:val="24"/>
        </w:rPr>
        <w:t xml:space="preserve"> becomes important.</w:t>
      </w:r>
    </w:p>
    <w:p w14:paraId="00025CAA" w14:textId="221E0BE3" w:rsidR="00B36FBB" w:rsidRPr="00723DA9" w:rsidRDefault="00C84FDA"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E</w:t>
      </w:r>
      <w:r w:rsidR="00204FB4" w:rsidRPr="00723DA9">
        <w:rPr>
          <w:rFonts w:ascii="Times New Roman" w:hAnsi="Times New Roman" w:cs="Times New Roman"/>
          <w:sz w:val="24"/>
          <w:szCs w:val="24"/>
        </w:rPr>
        <w:t xml:space="preserve">arly studies have demonstrated the promise of using ensemble covariances for </w:t>
      </w:r>
      <w:r w:rsidR="00547597" w:rsidRPr="00723DA9">
        <w:rPr>
          <w:rFonts w:ascii="Times New Roman" w:hAnsi="Times New Roman" w:cs="Times New Roman"/>
          <w:sz w:val="24"/>
          <w:szCs w:val="24"/>
        </w:rPr>
        <w:t xml:space="preserve">vortex-scale </w:t>
      </w:r>
      <w:r w:rsidR="00204FB4" w:rsidRPr="00723DA9">
        <w:rPr>
          <w:rFonts w:ascii="Times New Roman" w:hAnsi="Times New Roman" w:cs="Times New Roman"/>
          <w:sz w:val="24"/>
          <w:szCs w:val="24"/>
        </w:rPr>
        <w:t>data assimilation (DA)</w:t>
      </w:r>
      <w:r w:rsidR="00CC411F" w:rsidRPr="00723DA9">
        <w:rPr>
          <w:rFonts w:ascii="Times New Roman" w:hAnsi="Times New Roman" w:cs="Times New Roman"/>
          <w:sz w:val="24"/>
          <w:szCs w:val="24"/>
        </w:rPr>
        <w:t xml:space="preserve"> in TC predictions</w:t>
      </w:r>
      <w:r w:rsidR="00204FB4" w:rsidRPr="00723DA9">
        <w:rPr>
          <w:rFonts w:ascii="Times New Roman" w:hAnsi="Times New Roman" w:cs="Times New Roman"/>
          <w:sz w:val="24"/>
          <w:szCs w:val="24"/>
        </w:rPr>
        <w:t>.  In these studies, the ensemble covariances were adopted either through the use of the ensemble Kalman filter (</w:t>
      </w:r>
      <w:proofErr w:type="spellStart"/>
      <w:r w:rsidR="00204FB4" w:rsidRPr="00723DA9">
        <w:rPr>
          <w:rFonts w:ascii="Times New Roman" w:hAnsi="Times New Roman" w:cs="Times New Roman"/>
          <w:sz w:val="24"/>
          <w:szCs w:val="24"/>
        </w:rPr>
        <w:t>EnKF</w:t>
      </w:r>
      <w:proofErr w:type="spellEnd"/>
      <w:r w:rsidR="00204FB4" w:rsidRPr="00723DA9">
        <w:rPr>
          <w:rFonts w:ascii="Times New Roman" w:hAnsi="Times New Roman" w:cs="Times New Roman"/>
          <w:sz w:val="24"/>
          <w:szCs w:val="24"/>
        </w:rPr>
        <w:t>, e.g.,</w:t>
      </w:r>
      <w:r w:rsidR="00EC0669" w:rsidRPr="00723DA9">
        <w:rPr>
          <w:rFonts w:ascii="Times New Roman" w:hAnsi="Times New Roman" w:cs="Times New Roman"/>
          <w:sz w:val="24"/>
          <w:szCs w:val="24"/>
        </w:rPr>
        <w:t xml:space="preserve"> </w:t>
      </w:r>
      <w:r w:rsidR="00EC0669" w:rsidRPr="00723DA9">
        <w:rPr>
          <w:rFonts w:ascii="Times New Roman" w:hAnsi="Times New Roman" w:cs="Times New Roman"/>
          <w:sz w:val="24"/>
          <w:szCs w:val="24"/>
        </w:rPr>
        <w:fldChar w:fldCharType="begin" w:fldLock="1"/>
      </w:r>
      <w:r w:rsidR="00FB5C34" w:rsidRPr="00723DA9">
        <w:rPr>
          <w:rFonts w:ascii="Times New Roman" w:hAnsi="Times New Roman" w:cs="Times New Roman"/>
          <w:sz w:val="24"/>
          <w:szCs w:val="24"/>
        </w:rPr>
        <w:instrText>ADDIN CSL_CITATION {"citationItems":[{"id":"ITEM-1","itemData":{"DOI":"10.1175/2009MWR2645.1","ISBN":"0027-0644","ISSN":"0027-0644","abstract":"This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 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H.","non-dropping-particle":"","parse-names":false,"suffix":""}],"container-title":"Monthly Weather Review","id":"ITEM-1","issue":"7","issued":{"date-parts":[["2009"]]},"page":"2105-2125","title":"Cloud-Resolving Hurricane Initialization and Prediction through Assimilation of Doppler Radar Observations with an Ensemble Kalman Filter","type":"article-journal","volume":"137"},"uris":["http://www.mendeley.com/documents/?uuid=8ad10eaa-db6f-4beb-9c8d-77cec7153fa1"]},{"id":"ITEM-2","itemData":{"DOI":"10.1175/MWR-D-11-00212.1","ISBN":"0027-0644\\n1520-0493","ISSN":"0027-0644","author":[{"dropping-particle":"","family":"Aksoy","given":"Altuğ","non-dropping-particle":"","parse-names":false,"suffix":""},{"dropping-particle":"","family":"Lorsolo","given":"Sylvie","non-dropping-particle":"","parse-names":false,"suffix":""},{"dropping-particle":"","family":"Vukicevic","given":"Tomislava","non-dropping-particle":"","parse-names":false,"suffix":""},{"dropping-particle":"","family":"Sellwood","given":"Kathryn J.","non-dropping-particle":"","parse-names":false,"suffix":""},{"dropping-particle":"","family":"Aberson","given":"Sim D.","non-dropping-particle":"","parse-names":false,"suffix":""},{"dropping-particle":"","family":"Zhang","given":"Fuqing","non-dropping-particle":"","parse-names":false,"suffix":""}],"container-title":"Monthly Weather Review","id":"ITEM-2","issue":"6","issued":{"date-parts":[["2012"]]},"page":"1843-1862","title":"The HWRF Hurricane Ensemble Data Assimilation System (HEDAS) for High-Resolution Data: The Impact of Airborne Doppler Radar Observations in an OSSE","type":"article-journal","volume":"140"},"uris":["http://www.mendeley.com/documents/?uuid=887c8c22-d93f-419f-81ef-fb4b300d4626"]},{"id":"ITEM-3","itemData":{"DOI":"10.1175/2011MWR3602.1","ISBN":"0027-0644","ISSN":"0027-0644","abstract":"Through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Review","id":"ITEM-3","issue":"3","issued":{"date-parts":[["2012"]]},"page":"841-859","title":"Assimilating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(2005)","type":"article-journal","volume":"140"},"uris":["http://www.mendeley.com/documents/?uuid=9c276441-a30a-4c8f-a760-f5a89a55b497"]},{"id":"ITEM-4","itemData":{"DOI":"10.1175/JAS-D-13-0291.1","abstract":"The genesis of Hurricane Karl (2010) is explored using analyses and forecasts from a cycling ensemble Kalman filter (EnKF) that assimilates routinely collected observations as well as dropsonde measurements that were taken during the Pre-Depression Investigation of Cloud Systems in the Tropics (PREDICT) field campaign. A total of 127 dropsonde observations were collected from six PREDICT flight missions over a 5-day period before and during Karl's genesis. EnKF analyses that take into account the PREDICT dropsondes provide a detailed four-dimensional overview of the evolving kinematic and thermodynamic structure within the pregenesis disturbance. In particular, the additional field observations are found to increase the low-and midlevel circulation and column moisture in the EnKF analyses and reduce the position error of the low-level vortex. Deterministic forecasts from these analyses show a 24-h improvement in predicting genesis over a control experiment that omits the dropsonde observations. In ensemble forecasts for this event, the more accurate analyses translate into a higher confidence in predicting the intensification of Karl; that is, data assimilation experiments also suggest that initial condition errors at the mesoscale pose large challenges for predicting genesis, thus highlighting the need for improved observation networks and more advanced data assimilation methods.","author":[{"dropping-particle":"","family":"Poterjoy","given":"Jonathan","non-dropping-particle":"","parse-names":false,"suffix":""},{"dropping-particle":"","family":"Zhang","given":"Fuqing","non-dropping-particle":"","parse-names":false,"suffix":""}],"container-title":"Journal of the Atmospheric Sciences","id":"ITEM-4","issued":{"date-parts":[["2014"]]},"page":"1260-1275","title":"Predictability and Genesis of Hurricane Karl (2010) Examined through the EnKF Assimilation of Field Observations Collected during PREDICT","type":"article-journal","volume":"71"},"uris":["http://www.mendeley.com/documents/?uuid=adf08e5f-76a9-3ff2-9475-a9f64baca78e"]},{"id":"ITEM-5","itemData":{"DOI":"10.1175/MWR-D-13-00305.1","ISSN":"0027-0644","abstract":"AbstractAtmospheric data assimilation methods that estimate flow-dependent forecast statistics from ensembles are sensitive to sampling errors. This sensitivity is investigated in the context of vortex-scale hurricane data assimilation by cycling an ensemble Kalman filter to assimilate observations with a convection-permitting mesoscale model. In a set of numerical experiments, airborne Doppler radar observations are assimilated for Hurricane Katrina (2005) using an ensemble size that ranges from 30 to 300 members, and a varying degree of covariance inflation through relaxation to the prior. The range of ensemble sizes is shown to produce variations in posterior storm structure that persist for days in deterministic forecasts, with the most substantial differences appearing in the vortex outer-core wind and pressure fields. Ensembles with 60 or more members converge toward similar axisymmetric and asymmetric inner-core solutions by the end of the cycling, while producing qualitatively similar sample corre...","author":[{"dropping-particle":"","family":"Poterjoy","given":"Jonathan","non-dropping-particle":"","parse-names":false,"suffix":""},{"dropping-particle":"","family":"Zhang","given":"Fuqing","non-dropping-particle":"","parse-names":false,"suffix":""},{"dropping-particle":"","family":"Weng","given":"Yonghui","non-dropping-particle":"","parse-names":false,"suffix":""}],"container-title":"Monthly Weather Review","id":"ITEM-5","issue":"4","issued":{"date-parts":[["2014"]]},"page":"1609-1630","title":"The Effects of Sampling Errors on the EnKF Assimilation of Inner-Core Hurricane Observations","type":"article-journal","volume":"142"},"uris":["http://www.mendeley.com/documents/?uuid=72f4f08f-4e9f-45dd-9dae-1b1328f49638"]}],"mendeley":{"formattedCitation":"(Zhang et al. 2009a; Aksoy et al. 2012; Weng and Zhang 2012; Poterjoy and Zhang 2014a; Poterjoy et al. 2014)","manualFormatting":"Zhang et al. 2009a; Aksoy et al. 2012; Weng and Zhang 2012; Poterjoy and Zhang 2014a,b; Poterjoy et al. 2014)","plainTextFormattedCitation":"(Zhang et al. 2009a; Aksoy et al. 2012; Weng and Zhang 2012; Poterjoy and Zhang 2014a; Poterjoy et al. 2014)","previouslyFormattedCitation":"(Zhang et al. 2009a; Aksoy et al. 2012; Weng and Zhang 2012; Poterjoy and Zhang 2014a; Poterjoy et al. 2014)"},"properties":{"noteIndex":0},"schema":"https://github.com/citation-style-language/schema/raw/master/csl-citation.json"}</w:instrText>
      </w:r>
      <w:r w:rsidR="00EC0669" w:rsidRPr="00723DA9">
        <w:rPr>
          <w:rFonts w:ascii="Times New Roman" w:hAnsi="Times New Roman" w:cs="Times New Roman"/>
          <w:sz w:val="24"/>
          <w:szCs w:val="24"/>
        </w:rPr>
        <w:fldChar w:fldCharType="separate"/>
      </w:r>
      <w:r w:rsidR="00EC0669" w:rsidRPr="00723DA9">
        <w:rPr>
          <w:rFonts w:ascii="Times New Roman" w:hAnsi="Times New Roman" w:cs="Times New Roman"/>
          <w:noProof/>
          <w:sz w:val="24"/>
          <w:szCs w:val="24"/>
        </w:rPr>
        <w:t>Zhang et al. 2009a; Aksoy et al. 2012; Weng and Zhang 2012; Poterjoy and Zhang 2014a</w:t>
      </w:r>
      <w:r w:rsidR="003F3804" w:rsidRPr="00723DA9">
        <w:rPr>
          <w:rFonts w:ascii="Times New Roman" w:hAnsi="Times New Roman" w:cs="Times New Roman"/>
          <w:noProof/>
          <w:sz w:val="24"/>
          <w:szCs w:val="24"/>
        </w:rPr>
        <w:t>,b</w:t>
      </w:r>
      <w:r w:rsidR="00EC0669" w:rsidRPr="00723DA9">
        <w:rPr>
          <w:rFonts w:ascii="Times New Roman" w:hAnsi="Times New Roman" w:cs="Times New Roman"/>
          <w:noProof/>
          <w:sz w:val="24"/>
          <w:szCs w:val="24"/>
        </w:rPr>
        <w:t>; Poterjoy et al. 2014)</w:t>
      </w:r>
      <w:r w:rsidR="00EC0669" w:rsidRPr="00723DA9">
        <w:rPr>
          <w:rFonts w:ascii="Times New Roman" w:hAnsi="Times New Roman" w:cs="Times New Roman"/>
          <w:sz w:val="24"/>
          <w:szCs w:val="24"/>
        </w:rPr>
        <w:fldChar w:fldCharType="end"/>
      </w:r>
      <w:r w:rsidR="00204FB4" w:rsidRPr="00723DA9">
        <w:rPr>
          <w:rFonts w:ascii="Times New Roman" w:hAnsi="Times New Roman" w:cs="Times New Roman"/>
          <w:sz w:val="24"/>
          <w:szCs w:val="24"/>
        </w:rPr>
        <w:t xml:space="preserve"> or the ensemble-variational (</w:t>
      </w:r>
      <w:proofErr w:type="spellStart"/>
      <w:r w:rsidR="00204FB4" w:rsidRPr="00723DA9">
        <w:rPr>
          <w:rFonts w:ascii="Times New Roman" w:hAnsi="Times New Roman" w:cs="Times New Roman"/>
          <w:sz w:val="24"/>
          <w:szCs w:val="24"/>
        </w:rPr>
        <w:t>EnVar</w:t>
      </w:r>
      <w:proofErr w:type="spellEnd"/>
      <w:r w:rsidR="00204FB4" w:rsidRPr="00723DA9">
        <w:rPr>
          <w:rFonts w:ascii="Times New Roman" w:hAnsi="Times New Roman" w:cs="Times New Roman"/>
          <w:sz w:val="24"/>
          <w:szCs w:val="24"/>
        </w:rPr>
        <w:t xml:space="preserve">) method </w:t>
      </w:r>
      <w:r w:rsidR="002E0A45"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10.1175/MWR-D-12-00043.1","ISSN":"0027-0644","author":[{"dropping-particle":"","family":"Li","given":"Yongzuo","non-dropping-particle":"","parse-names":false,"suffix":""},{"dropping-particle":"","family":"Wang","given":"Xuguang","non-dropping-particle":"","parse-names":false,"suffix":""},{"dropping-particle":"","family":"Xue","given":"Ming","non-dropping-particle":"","parse-names":false,"suffix":""}],"container-title":"Monthly Weather Review","id":"ITEM-1","issued":{"date-parts":[["2012"]]},"page":"3507-3524","title":"Assimilation of Radar Radial Velocity Data with the WRF Hybrid Ensemble-3DVAR System for the Prediction of Hurricane Ike (2008)","type":"article-journal","volume":"140"},"uris":["http://www.mendeley.com/documents/?uuid=25af83c9-af9b-491a-9dcc-6d65193ee01f"]},{"id":"ITEM-2","itemData":{"DOI":"10.1175/MWR-D-13-00303.1","ISSN":"0027-0644","author":[{"dropping-particle":"","family":"Wang","given":"Xuguang","non-dropping-particle":"","parse-names":false,"suffix":""},{"dropping-particle":"","family":"Lei","given":"Ting","non-dropping-particle":"","parse-names":false,"suffix":""}],"container-title":"Monthly Weather Review","id":"ITEM-2","issue":"9","issued":{"date-parts":[["2014"]]},"page":"3303-3325","title":"GSI-Based Four-Dimensional Ensemble–Variational (4DEnsVar) Data Assimilation: Formulation and Single-Resolution Experiments with Real Data for NCEP Global Forecast System","type":"article-journal","volume":"142"},"uris":["http://www.mendeley.com/documents/?uuid=f295b23c-2791-41f1-8a74-218a53b815e3"]},{"id":"ITEM-3","itemData":{"author":[{"dropping-particle":"","family":"Li","given":"Yongzuo","non-dropping-particle":"","parse-names":false,"suffix":""}],"id":"ITEM-3","issued":{"date-parts":[["2015"]]},"number-of-pages":"1-124","publisher":"Oklahoma University","title":"ASSIMILATION OF RADAR OBSERVATIONS WITH ENSEMBLE VARIATIONAL HYBRID DATA ASSIMILATION METHOD FOR THE INITIALIZATION AND PREDICTION OF HURRICANES","type":"thesis"},"uris":["http://www.mendeley.com/documents/?uuid=8571a6ad-c332-4419-9be7-ae5ce442bc2f"]},{"id":"ITEM-4","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Society","id":"ITEM-4","issue":"702","issued":{"date-parts":[["2017"]]},"page":"223-239","title":"GSI-based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assimilation","type":"article-journal","volume":"143"},"uris":["http://www.mendeley.com/documents/?uuid=c3225f76-d6f6-4c30-9c20-7f67e167eeaf"]}],"mendeley":{"formattedCitation":"(Li et al. 2012; Wang and Lei 2014; Li 2015; Lu et al. 2017a)","plainTextFormattedCitation":"(Li et al. 2012; Wang and Lei 2014; Li 2015; Lu et al. 2017a)","previouslyFormattedCitation":"(Li et al. 2012; Wang and Lei 2014; Li 2015; Lu et al. 2017a)"},"properties":{"noteIndex":0},"schema":"https://github.com/citation-style-language/schema/raw/master/csl-citation.json"}</w:instrText>
      </w:r>
      <w:r w:rsidR="002E0A45" w:rsidRPr="00723DA9">
        <w:rPr>
          <w:rFonts w:ascii="Times New Roman" w:hAnsi="Times New Roman" w:cs="Times New Roman"/>
          <w:sz w:val="24"/>
          <w:szCs w:val="24"/>
        </w:rPr>
        <w:fldChar w:fldCharType="separate"/>
      </w:r>
      <w:r w:rsidR="002E0A45" w:rsidRPr="00723DA9">
        <w:rPr>
          <w:rFonts w:ascii="Times New Roman" w:hAnsi="Times New Roman" w:cs="Times New Roman"/>
          <w:noProof/>
          <w:sz w:val="24"/>
          <w:szCs w:val="24"/>
        </w:rPr>
        <w:t>(Li et al. 2012; Wang and Lei 2014; Li 2015; Lu et al. 2017a)</w:t>
      </w:r>
      <w:r w:rsidR="002E0A45" w:rsidRPr="00723DA9">
        <w:rPr>
          <w:rFonts w:ascii="Times New Roman" w:hAnsi="Times New Roman" w:cs="Times New Roman"/>
          <w:sz w:val="24"/>
          <w:szCs w:val="24"/>
        </w:rPr>
        <w:fldChar w:fldCharType="end"/>
      </w:r>
      <w:r w:rsidR="00204FB4" w:rsidRPr="00723DA9">
        <w:rPr>
          <w:rFonts w:ascii="Times New Roman" w:hAnsi="Times New Roman" w:cs="Times New Roman"/>
          <w:sz w:val="24"/>
          <w:szCs w:val="24"/>
        </w:rPr>
        <w:t>.</w:t>
      </w:r>
      <w:r w:rsidR="00165A80" w:rsidRPr="00723DA9">
        <w:rPr>
          <w:rFonts w:ascii="Times New Roman" w:hAnsi="Times New Roman" w:cs="Times New Roman"/>
          <w:sz w:val="24"/>
          <w:szCs w:val="24"/>
        </w:rPr>
        <w:t xml:space="preserve">  </w:t>
      </w:r>
      <w:r w:rsidR="00EE3CB6" w:rsidRPr="00723DA9">
        <w:rPr>
          <w:rFonts w:ascii="Times New Roman" w:hAnsi="Times New Roman" w:cs="Times New Roman"/>
          <w:sz w:val="24"/>
          <w:szCs w:val="24"/>
        </w:rPr>
        <w:t>It was found that such ensemble-based covariances</w:t>
      </w:r>
      <w:r w:rsidR="004E279D" w:rsidRPr="00723DA9">
        <w:rPr>
          <w:rFonts w:ascii="Times New Roman" w:hAnsi="Times New Roman" w:cs="Times New Roman"/>
          <w:sz w:val="24"/>
          <w:szCs w:val="24"/>
        </w:rPr>
        <w:t xml:space="preserve"> during DA</w:t>
      </w:r>
      <w:r w:rsidR="00EE3CB6" w:rsidRPr="00723DA9">
        <w:rPr>
          <w:rFonts w:ascii="Times New Roman" w:hAnsi="Times New Roman" w:cs="Times New Roman"/>
          <w:sz w:val="24"/>
          <w:szCs w:val="24"/>
        </w:rPr>
        <w:t xml:space="preserve"> can improve the TC track and intensity forecasts due to the superior analyses of the TC environment </w:t>
      </w:r>
      <w:r w:rsidR="00EE3CB6" w:rsidRPr="00723DA9">
        <w:rPr>
          <w:rFonts w:ascii="Times New Roman" w:hAnsi="Times New Roman" w:cs="Times New Roman"/>
          <w:sz w:val="24"/>
          <w:szCs w:val="24"/>
        </w:rPr>
        <w:fldChar w:fldCharType="begin" w:fldLock="1"/>
      </w:r>
      <w:r w:rsidR="003F3804" w:rsidRPr="00723DA9">
        <w:rPr>
          <w:rFonts w:ascii="Times New Roman" w:hAnsi="Times New Roman" w:cs="Times New Roman"/>
          <w:sz w:val="24"/>
          <w:szCs w:val="24"/>
        </w:rPr>
        <w:instrText>ADDIN CSL_CITATION {"citationItems":[{"id":"ITEM-1","itemData":{"DOI":"10.1175/MWR-D-15-0116.1","ISBN":"0027-0644 1520-0493","ISSN":"0027-0644","abstract":"AbstractThis study examines the performance of ensemble and variational data assimilation systems for the Weather Research and Forecasting (WRF) Model. These methods include an ensemble Kalman filter (EnKF), an incremental four-dimensional variational data assimilation (4DVar) system, and a hybrid system that uses a two-way coupling between the two approaches (E4DVar). The three methods are applied to assimilate routinely collected data and field observations over a 10-day period that spans the life cycle of Hurricane Karl (2010), including the pregenesis disturbance that preceded its development into a tropical cyclone. In general, forecasts from the E4DVar analyses are found to produce smaller 48–72-h forecast errors than the benchmark EnKF and 4DVar methods for all variables and verification methods tested in this study. The improved representation of low- and midlevel moisture and vorticity in the E4DVar analyses leads to more accurate track and intensity predictions by this system. In particular, E4D...","author":[{"dropping-particle":"","family":"Poterjoy","given":"Jonathan","non-dropping-particle":"","parse-names":false,"suffix":""},{"dropping-particle":"","family":"Zhang","given":"Fuqing","non-dropping-particle":"","parse-names":false,"suffix":""}],"container-title":"Monthly Weather Review","id":"ITEM-1","issue":"9","issued":{"date-parts":[["2014"]]},"page":"3347-3364","title":"Intercomparison and Coupling of Ensemble and Four-Dimensional Variational Data Assimilation Methods for the Analysis and Forecasting of Hurricane Karl (2010)","type":"article-journal","volume":"142"},"uris":["http://www.mendeley.com/documents/?uuid=71218744-9e11-4f5a-9705-2368b29d357e"]},{"id":"ITEM-2","itemData":{"DOI":"10.1175/BAMS-D-13-00231.1","ISSN":"0003-0007","author":[{"dropping-particle":"","family":"Zhang","given":"Fuqing","non-dropping-particle":"","parse-names":false,"suffix":""},{"dropping-particle":"","family":"Weng","given":"Yonghui","non-dropping-particle":"","parse-names":false,"suffix":""}],"container-title":"Bulletin of the American Meteorological Society","id":"ITEM-2","issue":"1","issued":{"date-parts":[["2015"]]},"page":"25-33","title":"Predicting Hurricane Intensity and Associated Hazards: A Five-Year Real-Time Forecast Experiment with Assimilation of Airborne Doppler Radar Observations","type":"article-journal","volume":"96"},"uris":["http://www.mendeley.com/documents/?uuid=897479bf-a469-45b0-bfbf-4922dc2f84e7"]}],"mendeley":{"formattedCitation":"(Poterjoy and Zhang 2014b; Zhang and Weng 2015)","plainTextFormattedCitation":"(Poterjoy and Zhang 2014b; Zhang and Weng 2015)","previouslyFormattedCitation":"(Poterjoy and Zhang 2014b; Zhang and Weng 2015)"},"properties":{"noteIndex":0},"schema":"https://github.com/citation-style-language/schema/raw/master/csl-citation.json"}</w:instrText>
      </w:r>
      <w:r w:rsidR="00EE3CB6" w:rsidRPr="00723DA9">
        <w:rPr>
          <w:rFonts w:ascii="Times New Roman" w:hAnsi="Times New Roman" w:cs="Times New Roman"/>
          <w:sz w:val="24"/>
          <w:szCs w:val="24"/>
        </w:rPr>
        <w:fldChar w:fldCharType="separate"/>
      </w:r>
      <w:r w:rsidR="003F3804" w:rsidRPr="00723DA9">
        <w:rPr>
          <w:rFonts w:ascii="Times New Roman" w:hAnsi="Times New Roman" w:cs="Times New Roman"/>
          <w:noProof/>
          <w:sz w:val="24"/>
          <w:szCs w:val="24"/>
        </w:rPr>
        <w:t>(Poterjoy and Zhang 2014b; Zhang and Weng 2015)</w:t>
      </w:r>
      <w:r w:rsidR="00EE3CB6" w:rsidRPr="00723DA9">
        <w:rPr>
          <w:rFonts w:ascii="Times New Roman" w:hAnsi="Times New Roman" w:cs="Times New Roman"/>
          <w:sz w:val="24"/>
          <w:szCs w:val="24"/>
        </w:rPr>
        <w:fldChar w:fldCharType="end"/>
      </w:r>
      <w:r w:rsidR="00EE3CB6" w:rsidRPr="00723DA9">
        <w:rPr>
          <w:rFonts w:ascii="Times New Roman" w:hAnsi="Times New Roman" w:cs="Times New Roman"/>
          <w:sz w:val="24"/>
          <w:szCs w:val="24"/>
        </w:rPr>
        <w:t>, TC vortex and inner</w:t>
      </w:r>
      <w:r w:rsidR="00AF70BF" w:rsidRPr="00723DA9">
        <w:rPr>
          <w:rFonts w:ascii="Times New Roman" w:hAnsi="Times New Roman" w:cs="Times New Roman"/>
          <w:sz w:val="24"/>
          <w:szCs w:val="24"/>
        </w:rPr>
        <w:t>-</w:t>
      </w:r>
      <w:r w:rsidR="00EE3CB6" w:rsidRPr="00723DA9">
        <w:rPr>
          <w:rFonts w:ascii="Times New Roman" w:hAnsi="Times New Roman" w:cs="Times New Roman"/>
          <w:sz w:val="24"/>
          <w:szCs w:val="24"/>
        </w:rPr>
        <w:t xml:space="preserve">core structures </w:t>
      </w:r>
      <w:r w:rsidR="00EE3CB6"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10.1175/MWR-D-12-00043.1","ISSN":"0027-0644","author":[{"dropping-particle":"","family":"Li","given":"Yongzuo","non-dropping-particle":"","parse-names":false,"suffix":""},{"dropping-particle":"","family":"Wang","given":"Xuguang","non-dropping-particle":"","parse-names":false,"suffix":""},{"dropping-particle":"","family":"Xue","given":"Ming","non-dropping-particle":"","parse-names":false,"suffix":""}],"container-title":"Monthly Weather Review","id":"ITEM-1","issued":{"date-parts":[["2012"]]},"page":"3507-3524","title":"Assimilation of Radar Radial Velocity Data with the WRF Hybrid Ensemble-3DVAR System for the Prediction of Hurricane Ike (2008)","type":"article-journal","volume":"140"},"uris":["http://www.mendeley.com/documents/?uuid=25af83c9-af9b-491a-9dcc-6d65193ee01f"]},{"id":"ITEM-2","itemData":{"DOI":"10.1175/2011MWR3602.1","ISBN":"0027-0644","ISSN":"0027-0644","abstract":"Through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Review","id":"ITEM-2","issue":"3","issued":{"date-parts":[["2012"]]},"page":"841-859","title":"Assimilating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-3","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Society","id":"ITEM-3","issue":"702","issued":{"date-parts":[["2017"]]},"page":"223-239","title":"GSI-based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assimilation","type":"article-journal","volume":"143"},"uris":["http://www.mendeley.com/documents/?uuid=c3225f76-d6f6-4c30-9c20-7f67e167eeaf"]}],"mendeley":{"formattedCitation":"(Li et al. 2012; Weng and Zhang 2012; Lu et al. 2017a)","plainTextFormattedCitation":"(Li et al. 2012; Weng and Zhang 2012; Lu et al. 2017a)","previouslyFormattedCitation":"(Li et al. 2012; Weng and Zhang 2012; Lu et al. 2017a)"},"properties":{"noteIndex":0},"schema":"https://github.com/citation-style-language/schema/raw/master/csl-citation.json"}</w:instrText>
      </w:r>
      <w:r w:rsidR="00EE3CB6" w:rsidRPr="00723DA9">
        <w:rPr>
          <w:rFonts w:ascii="Times New Roman" w:hAnsi="Times New Roman" w:cs="Times New Roman"/>
          <w:sz w:val="24"/>
          <w:szCs w:val="24"/>
        </w:rPr>
        <w:fldChar w:fldCharType="separate"/>
      </w:r>
      <w:r w:rsidR="00A653B7" w:rsidRPr="00723DA9">
        <w:rPr>
          <w:rFonts w:ascii="Times New Roman" w:hAnsi="Times New Roman" w:cs="Times New Roman"/>
          <w:noProof/>
          <w:sz w:val="24"/>
          <w:szCs w:val="24"/>
        </w:rPr>
        <w:t>(Li et al. 2012; Weng and Zhang 2012; Lu et al. 2017a)</w:t>
      </w:r>
      <w:r w:rsidR="00EE3CB6" w:rsidRPr="00723DA9">
        <w:rPr>
          <w:rFonts w:ascii="Times New Roman" w:hAnsi="Times New Roman" w:cs="Times New Roman"/>
          <w:sz w:val="24"/>
          <w:szCs w:val="24"/>
        </w:rPr>
        <w:fldChar w:fldCharType="end"/>
      </w:r>
      <w:r w:rsidR="00EE3CB6" w:rsidRPr="00723DA9">
        <w:rPr>
          <w:rFonts w:ascii="Times New Roman" w:hAnsi="Times New Roman" w:cs="Times New Roman"/>
          <w:sz w:val="24"/>
          <w:szCs w:val="24"/>
        </w:rPr>
        <w:t>.</w:t>
      </w:r>
      <w:r w:rsidR="00385BAE" w:rsidRPr="00723DA9">
        <w:rPr>
          <w:rFonts w:ascii="Times New Roman" w:hAnsi="Times New Roman" w:cs="Times New Roman"/>
          <w:sz w:val="24"/>
          <w:szCs w:val="24"/>
        </w:rPr>
        <w:t xml:space="preserve">  </w:t>
      </w:r>
    </w:p>
    <w:p w14:paraId="5B9B6573" w14:textId="7A1559AC" w:rsidR="0072640F" w:rsidRPr="00723DA9" w:rsidRDefault="006A4674" w:rsidP="5B610C6B">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In the U</w:t>
      </w:r>
      <w:r w:rsidR="00B51B34" w:rsidRPr="00723DA9">
        <w:rPr>
          <w:rFonts w:ascii="Times New Roman" w:hAnsi="Times New Roman" w:cs="Times New Roman"/>
          <w:sz w:val="24"/>
          <w:szCs w:val="24"/>
        </w:rPr>
        <w:t xml:space="preserve">nited </w:t>
      </w:r>
      <w:r w:rsidRPr="00723DA9">
        <w:rPr>
          <w:rFonts w:ascii="Times New Roman" w:hAnsi="Times New Roman" w:cs="Times New Roman"/>
          <w:sz w:val="24"/>
          <w:szCs w:val="24"/>
        </w:rPr>
        <w:t>S</w:t>
      </w:r>
      <w:r w:rsidR="00B51B34" w:rsidRPr="00723DA9">
        <w:rPr>
          <w:rFonts w:ascii="Times New Roman" w:hAnsi="Times New Roman" w:cs="Times New Roman"/>
          <w:sz w:val="24"/>
          <w:szCs w:val="24"/>
        </w:rPr>
        <w:t>tates’</w:t>
      </w:r>
      <w:r w:rsidRPr="00723DA9">
        <w:rPr>
          <w:rFonts w:ascii="Times New Roman" w:hAnsi="Times New Roman" w:cs="Times New Roman"/>
          <w:sz w:val="24"/>
          <w:szCs w:val="24"/>
        </w:rPr>
        <w:t xml:space="preserve"> operational Hurricane </w:t>
      </w:r>
      <w:r w:rsidR="00B51B34" w:rsidRPr="00723DA9">
        <w:rPr>
          <w:rFonts w:ascii="Times New Roman" w:hAnsi="Times New Roman" w:cs="Times New Roman"/>
          <w:sz w:val="24"/>
          <w:szCs w:val="24"/>
        </w:rPr>
        <w:t xml:space="preserve">Weather Research and Forecasting (HWRF) modeling and prediction system, </w:t>
      </w:r>
      <w:r w:rsidR="00725833" w:rsidRPr="00723DA9">
        <w:rPr>
          <w:rFonts w:ascii="Times New Roman" w:hAnsi="Times New Roman" w:cs="Times New Roman"/>
          <w:sz w:val="24"/>
          <w:szCs w:val="24"/>
        </w:rPr>
        <w:t xml:space="preserve">a </w:t>
      </w:r>
      <w:proofErr w:type="spellStart"/>
      <w:r w:rsidR="00725833" w:rsidRPr="00723DA9">
        <w:rPr>
          <w:rFonts w:ascii="Times New Roman" w:hAnsi="Times New Roman" w:cs="Times New Roman"/>
          <w:sz w:val="24"/>
          <w:szCs w:val="24"/>
        </w:rPr>
        <w:t>Gridpoint</w:t>
      </w:r>
      <w:proofErr w:type="spellEnd"/>
      <w:r w:rsidR="00725833" w:rsidRPr="00723DA9">
        <w:rPr>
          <w:rFonts w:ascii="Times New Roman" w:hAnsi="Times New Roman" w:cs="Times New Roman"/>
          <w:sz w:val="24"/>
          <w:szCs w:val="24"/>
        </w:rPr>
        <w:t xml:space="preserve"> Statistical Interpolation (GSI) </w:t>
      </w:r>
      <w:r w:rsidR="005964EF" w:rsidRPr="00723DA9">
        <w:rPr>
          <w:rFonts w:ascii="Times New Roman" w:hAnsi="Times New Roman" w:cs="Times New Roman"/>
          <w:sz w:val="24"/>
          <w:szCs w:val="24"/>
        </w:rPr>
        <w:t xml:space="preserve">based </w:t>
      </w:r>
      <w:r w:rsidR="003A65E4" w:rsidRPr="00723DA9">
        <w:rPr>
          <w:rFonts w:ascii="Times New Roman" w:hAnsi="Times New Roman" w:cs="Times New Roman"/>
          <w:sz w:val="24"/>
          <w:szCs w:val="24"/>
        </w:rPr>
        <w:t>hybrid</w:t>
      </w:r>
      <w:r w:rsidR="00B01A5F" w:rsidRPr="00723DA9">
        <w:rPr>
          <w:rFonts w:ascii="Times New Roman" w:hAnsi="Times New Roman" w:cs="Times New Roman"/>
          <w:sz w:val="24"/>
          <w:szCs w:val="24"/>
        </w:rPr>
        <w:t xml:space="preserve"> three-dimensional (3D)</w:t>
      </w:r>
      <w:r w:rsidR="00725833" w:rsidRPr="00723DA9">
        <w:rPr>
          <w:rFonts w:ascii="Times New Roman" w:hAnsi="Times New Roman" w:cs="Times New Roman"/>
          <w:sz w:val="24"/>
          <w:szCs w:val="24"/>
        </w:rPr>
        <w:t xml:space="preserve"> </w:t>
      </w:r>
      <w:proofErr w:type="spellStart"/>
      <w:r w:rsidR="00725833" w:rsidRPr="00723DA9">
        <w:rPr>
          <w:rFonts w:ascii="Times New Roman" w:hAnsi="Times New Roman" w:cs="Times New Roman"/>
          <w:sz w:val="24"/>
          <w:szCs w:val="24"/>
        </w:rPr>
        <w:t>EnVar</w:t>
      </w:r>
      <w:proofErr w:type="spellEnd"/>
      <w:r w:rsidR="00725833" w:rsidRPr="00723DA9">
        <w:rPr>
          <w:rFonts w:ascii="Times New Roman" w:hAnsi="Times New Roman" w:cs="Times New Roman"/>
          <w:sz w:val="24"/>
          <w:szCs w:val="24"/>
        </w:rPr>
        <w:t xml:space="preserve"> DA </w:t>
      </w:r>
      <w:r w:rsidR="003911DB" w:rsidRPr="00723DA9">
        <w:rPr>
          <w:rFonts w:ascii="Times New Roman" w:hAnsi="Times New Roman" w:cs="Times New Roman"/>
          <w:sz w:val="24"/>
          <w:szCs w:val="24"/>
        </w:rPr>
        <w:t>method</w:t>
      </w:r>
      <w:r w:rsidR="00725833" w:rsidRPr="00723DA9">
        <w:rPr>
          <w:rFonts w:ascii="Times New Roman" w:hAnsi="Times New Roman" w:cs="Times New Roman"/>
          <w:sz w:val="24"/>
          <w:szCs w:val="24"/>
        </w:rPr>
        <w:t xml:space="preserve"> was adopted</w:t>
      </w:r>
      <w:r w:rsidR="00B36FBB" w:rsidRPr="00723DA9">
        <w:rPr>
          <w:rFonts w:ascii="Times New Roman" w:hAnsi="Times New Roman" w:cs="Times New Roman"/>
          <w:sz w:val="24"/>
          <w:szCs w:val="24"/>
        </w:rPr>
        <w:t xml:space="preserve"> since 2013</w:t>
      </w:r>
      <w:r w:rsidR="00725833" w:rsidRPr="00723DA9">
        <w:rPr>
          <w:rFonts w:ascii="Times New Roman" w:hAnsi="Times New Roman" w:cs="Times New Roman"/>
          <w:sz w:val="24"/>
          <w:szCs w:val="24"/>
        </w:rPr>
        <w:t xml:space="preserve">. </w:t>
      </w:r>
      <w:r w:rsidR="007C6091" w:rsidRPr="00723DA9">
        <w:rPr>
          <w:rFonts w:ascii="Times New Roman" w:hAnsi="Times New Roman" w:cs="Times New Roman"/>
          <w:sz w:val="24"/>
          <w:szCs w:val="24"/>
        </w:rPr>
        <w:t xml:space="preserve"> </w:t>
      </w:r>
      <w:r w:rsidR="005658AB" w:rsidRPr="00723DA9">
        <w:rPr>
          <w:rFonts w:ascii="Times New Roman" w:hAnsi="Times New Roman" w:cs="Times New Roman"/>
          <w:sz w:val="24"/>
          <w:szCs w:val="24"/>
        </w:rPr>
        <w:t>Using</w:t>
      </w:r>
      <w:r w:rsidR="00D7789A" w:rsidRPr="00723DA9">
        <w:rPr>
          <w:rFonts w:ascii="Times New Roman" w:hAnsi="Times New Roman" w:cs="Times New Roman"/>
          <w:sz w:val="24"/>
          <w:szCs w:val="24"/>
        </w:rPr>
        <w:t xml:space="preserve"> this operational HWRF</w:t>
      </w:r>
      <w:r w:rsidR="005658AB" w:rsidRPr="00723DA9">
        <w:rPr>
          <w:rFonts w:ascii="Times New Roman" w:hAnsi="Times New Roman" w:cs="Times New Roman"/>
          <w:sz w:val="24"/>
          <w:szCs w:val="24"/>
        </w:rPr>
        <w:t xml:space="preserve"> DA</w:t>
      </w:r>
      <w:r w:rsidR="00D370A1" w:rsidRPr="00723DA9">
        <w:rPr>
          <w:rFonts w:ascii="Times New Roman" w:hAnsi="Times New Roman" w:cs="Times New Roman"/>
          <w:sz w:val="24"/>
          <w:szCs w:val="24"/>
        </w:rPr>
        <w:t xml:space="preserve"> system</w:t>
      </w:r>
      <w:r w:rsidR="00D7789A" w:rsidRPr="00723DA9">
        <w:rPr>
          <w:rFonts w:ascii="Times New Roman" w:hAnsi="Times New Roman" w:cs="Times New Roman"/>
          <w:sz w:val="24"/>
          <w:szCs w:val="24"/>
        </w:rPr>
        <w:t xml:space="preserve">, </w:t>
      </w:r>
      <w:r w:rsidR="005658AB" w:rsidRPr="00723DA9">
        <w:rPr>
          <w:rFonts w:ascii="Times New Roman" w:hAnsi="Times New Roman" w:cs="Times New Roman"/>
          <w:sz w:val="24"/>
          <w:szCs w:val="24"/>
        </w:rPr>
        <w:t>the assimilation of</w:t>
      </w:r>
      <w:r w:rsidR="00D370A1" w:rsidRPr="00723DA9">
        <w:rPr>
          <w:rFonts w:ascii="Times New Roman" w:hAnsi="Times New Roman" w:cs="Times New Roman"/>
          <w:sz w:val="24"/>
          <w:szCs w:val="24"/>
        </w:rPr>
        <w:t xml:space="preserve"> </w:t>
      </w:r>
      <w:r w:rsidR="00DC0FD4" w:rsidRPr="00723DA9">
        <w:rPr>
          <w:rFonts w:ascii="Times New Roman" w:hAnsi="Times New Roman" w:cs="Times New Roman"/>
          <w:sz w:val="24"/>
          <w:szCs w:val="24"/>
        </w:rPr>
        <w:t xml:space="preserve">high-resolution inner-core observations </w:t>
      </w:r>
      <w:r w:rsidR="009C3D3D">
        <w:rPr>
          <w:rFonts w:ascii="Times New Roman" w:hAnsi="Times New Roman" w:cs="Times New Roman"/>
          <w:sz w:val="24"/>
          <w:szCs w:val="24"/>
        </w:rPr>
        <w:t>was</w:t>
      </w:r>
      <w:r w:rsidR="005658AB" w:rsidRPr="00723DA9">
        <w:rPr>
          <w:rFonts w:ascii="Times New Roman" w:hAnsi="Times New Roman" w:cs="Times New Roman"/>
          <w:sz w:val="24"/>
          <w:szCs w:val="24"/>
        </w:rPr>
        <w:t xml:space="preserve"> found to improve the overall track and intensity forecast</w:t>
      </w:r>
      <w:r w:rsidR="00900CA8" w:rsidRPr="00723DA9">
        <w:rPr>
          <w:rFonts w:ascii="Times New Roman" w:hAnsi="Times New Roman" w:cs="Times New Roman"/>
          <w:sz w:val="24"/>
          <w:szCs w:val="24"/>
        </w:rPr>
        <w:t xml:space="preserve"> of TCs</w:t>
      </w:r>
      <w:r w:rsidR="00DC0FD4" w:rsidRPr="00723DA9">
        <w:rPr>
          <w:rFonts w:ascii="Times New Roman" w:hAnsi="Times New Roman" w:cs="Times New Roman"/>
          <w:sz w:val="24"/>
          <w:szCs w:val="24"/>
        </w:rPr>
        <w:t xml:space="preserve"> </w:t>
      </w:r>
      <w:r w:rsidR="00DC0FD4" w:rsidRPr="5B610C6B">
        <w:fldChar w:fldCharType="begin" w:fldLock="1"/>
      </w:r>
      <w:r w:rsidR="00DC0FD4" w:rsidRPr="00723DA9">
        <w:rPr>
          <w:rFonts w:ascii="Times New Roman" w:hAnsi="Times New Roman" w:cs="Times New Roman"/>
          <w:sz w:val="24"/>
          <w:szCs w:val="24"/>
        </w:rPr>
        <w:instrText>ADDIN CSL_CITATION {"citationItems":[{"id":"ITEM-1","itemData":{"DOI":"10.1175/MWR-D-17-0380.1","author":[{"dropping-particle":"","family":"Tong","given":"M","non-dropping-particle":"","parse-names":false,"suffix":""},{"dropping-particle":"","family":"Sippel","given":"J","non-dropping-particle":"","parse-names":false,"suffix":""},{"dropping-particle":"","family":"Tallapragada","given":"V","non-dropping-particle":"","parse-names":false,"suffix":""},{"dropping-particle":"","family":"Liu","given":"E","non-dropping-particle":"","parse-names":false,"suffix":""},{"dropping-particle":"","family":"Kieu","given":"C","non-dropping-particle":"","parse-names":false,"suffix":""},{"dropping-particle":"","family":"Kwon","given":"I","non-dropping-particle":"","parse-names":false,"suffix":""},{"dropping-particle":"","family":"Wang","given":"W","non-dropping-particle":"","parse-names":false,"suffix":""},{"dropping-particle":"","family":"Liu","given":"Q","non-dropping-particle":"","parse-names":false,"suffix":""},{"dropping-particle":"","family":"Ling","given":"Y","non-dropping-particle":"","parse-names":false,"suffix":""},{"dropping-particle":"","family":"Zhang","given":"B","non-dropping-particle":"","parse-names":false,"suffix":""}],"container-title":"Mon. Wea. Rev","id":"ITEM-1","issued":{"date-parts":[["2018"]]},"title":"Impact of Assimilating Aircraft Reconnaissance Observations on Tropical Cyclone Initialization and Prediction using Operational HWRF and GSI Ensemble-Variational Hybrid Data Assimilation","type":"article-journal"},"uris":["http://www.mendeley.com/documents/?uuid=a89a3ac3-1663-30dc-a6dc-ce9fa5f9e93e"]}],"mendeley":{"formattedCitation":"(Tong et al. 2018)","plainTextFormattedCitation":"(Tong et al. 2018)","previouslyFormattedCitation":"(Tong et al. 2018)"},"properties":{"noteIndex":0},"schema":"https://github.com/citation-style-language/schema/raw/master/csl-citation.json"}</w:instrText>
      </w:r>
      <w:r w:rsidR="00DC0FD4" w:rsidRPr="5B610C6B">
        <w:rPr>
          <w:rFonts w:ascii="Times New Roman" w:hAnsi="Times New Roman" w:cs="Times New Roman"/>
          <w:sz w:val="24"/>
          <w:szCs w:val="24"/>
        </w:rPr>
        <w:fldChar w:fldCharType="separate"/>
      </w:r>
      <w:r w:rsidR="00DC0FD4" w:rsidRPr="00723DA9">
        <w:rPr>
          <w:rFonts w:ascii="Times New Roman" w:hAnsi="Times New Roman" w:cs="Times New Roman"/>
          <w:noProof/>
          <w:sz w:val="24"/>
          <w:szCs w:val="24"/>
        </w:rPr>
        <w:t>(Tong et al. 2018)</w:t>
      </w:r>
      <w:r w:rsidR="00DC0FD4" w:rsidRPr="5B610C6B">
        <w:fldChar w:fldCharType="end"/>
      </w:r>
      <w:r w:rsidR="00DC0FD4" w:rsidRPr="00723DA9">
        <w:rPr>
          <w:rFonts w:ascii="Times New Roman" w:hAnsi="Times New Roman" w:cs="Times New Roman"/>
          <w:sz w:val="24"/>
          <w:szCs w:val="24"/>
        </w:rPr>
        <w:t>.</w:t>
      </w:r>
      <w:r w:rsidR="00900CA8" w:rsidRPr="00723DA9">
        <w:rPr>
          <w:rFonts w:ascii="Times New Roman" w:hAnsi="Times New Roman" w:cs="Times New Roman"/>
          <w:sz w:val="24"/>
          <w:szCs w:val="24"/>
        </w:rPr>
        <w:t xml:space="preserve">  However, </w:t>
      </w:r>
      <w:r w:rsidR="00B81686" w:rsidRPr="00723DA9">
        <w:rPr>
          <w:rFonts w:ascii="Times New Roman" w:hAnsi="Times New Roman" w:cs="Times New Roman"/>
          <w:sz w:val="24"/>
          <w:szCs w:val="24"/>
        </w:rPr>
        <w:t xml:space="preserve">Tong et al. (2018) </w:t>
      </w:r>
      <w:r w:rsidR="00A57A67" w:rsidRPr="00723DA9">
        <w:rPr>
          <w:rFonts w:ascii="Times New Roman" w:hAnsi="Times New Roman" w:cs="Times New Roman"/>
          <w:sz w:val="24"/>
          <w:szCs w:val="24"/>
        </w:rPr>
        <w:t xml:space="preserve">also </w:t>
      </w:r>
      <w:r w:rsidR="00B81686" w:rsidRPr="00723DA9">
        <w:rPr>
          <w:rFonts w:ascii="Times New Roman" w:hAnsi="Times New Roman" w:cs="Times New Roman"/>
          <w:sz w:val="24"/>
          <w:szCs w:val="24"/>
        </w:rPr>
        <w:t xml:space="preserve">showed that </w:t>
      </w:r>
      <w:r w:rsidR="00900CA8" w:rsidRPr="00723DA9">
        <w:rPr>
          <w:rFonts w:ascii="Times New Roman" w:hAnsi="Times New Roman" w:cs="Times New Roman"/>
          <w:sz w:val="24"/>
          <w:szCs w:val="24"/>
        </w:rPr>
        <w:t xml:space="preserve">the improvement in the intensity forecast </w:t>
      </w:r>
      <w:r w:rsidR="00DB4F80">
        <w:rPr>
          <w:rFonts w:ascii="Times New Roman" w:hAnsi="Times New Roman" w:cs="Times New Roman"/>
          <w:sz w:val="24"/>
          <w:szCs w:val="24"/>
        </w:rPr>
        <w:t>was</w:t>
      </w:r>
      <w:r w:rsidR="00900CA8" w:rsidRPr="00723DA9">
        <w:rPr>
          <w:rFonts w:ascii="Times New Roman" w:hAnsi="Times New Roman" w:cs="Times New Roman"/>
          <w:sz w:val="24"/>
          <w:szCs w:val="24"/>
        </w:rPr>
        <w:t xml:space="preserve"> primarily at later lead-times and for the weak storms.</w:t>
      </w:r>
      <w:r w:rsidR="00A44B47" w:rsidRPr="00723DA9">
        <w:rPr>
          <w:rFonts w:ascii="Times New Roman" w:hAnsi="Times New Roman" w:cs="Times New Roman"/>
          <w:sz w:val="24"/>
          <w:szCs w:val="24"/>
        </w:rPr>
        <w:t xml:space="preserve">  The short-term intensity forecast, especially in strong storms, </w:t>
      </w:r>
      <w:r w:rsidR="002C79F8">
        <w:rPr>
          <w:rFonts w:ascii="Times New Roman" w:hAnsi="Times New Roman" w:cs="Times New Roman"/>
          <w:sz w:val="24"/>
          <w:szCs w:val="24"/>
        </w:rPr>
        <w:t>was</w:t>
      </w:r>
      <w:r w:rsidR="00A44B47" w:rsidRPr="00723DA9">
        <w:rPr>
          <w:rFonts w:ascii="Times New Roman" w:hAnsi="Times New Roman" w:cs="Times New Roman"/>
          <w:sz w:val="24"/>
          <w:szCs w:val="24"/>
        </w:rPr>
        <w:t xml:space="preserve"> often degraded</w:t>
      </w:r>
      <w:r w:rsidR="00182D42">
        <w:rPr>
          <w:rFonts w:ascii="Times New Roman" w:hAnsi="Times New Roman" w:cs="Times New Roman"/>
          <w:sz w:val="24"/>
          <w:szCs w:val="24"/>
        </w:rPr>
        <w:t xml:space="preserve"> due</w:t>
      </w:r>
      <w:r w:rsidR="00182D42" w:rsidRPr="00723DA9">
        <w:rPr>
          <w:rFonts w:ascii="Times New Roman" w:hAnsi="Times New Roman" w:cs="Times New Roman"/>
          <w:sz w:val="24"/>
          <w:szCs w:val="24"/>
        </w:rPr>
        <w:t xml:space="preserve"> to </w:t>
      </w:r>
      <w:r w:rsidR="00DD4D0E">
        <w:rPr>
          <w:rFonts w:ascii="Times New Roman" w:hAnsi="Times New Roman" w:cs="Times New Roman"/>
          <w:sz w:val="24"/>
          <w:szCs w:val="24"/>
        </w:rPr>
        <w:t>a</w:t>
      </w:r>
      <w:r w:rsidR="00182D42" w:rsidRPr="00723DA9">
        <w:rPr>
          <w:rFonts w:ascii="Times New Roman" w:hAnsi="Times New Roman" w:cs="Times New Roman"/>
          <w:sz w:val="24"/>
          <w:szCs w:val="24"/>
        </w:rPr>
        <w:t xml:space="preserve"> spin-down issue.  Tong et al. (2018) suggested that the spin-down, </w:t>
      </w:r>
      <w:r w:rsidR="00C85DCC" w:rsidRPr="00C85DCC">
        <w:rPr>
          <w:rFonts w:ascii="Times New Roman" w:hAnsi="Times New Roman" w:cs="Times New Roman"/>
          <w:sz w:val="24"/>
          <w:szCs w:val="24"/>
        </w:rPr>
        <w:t xml:space="preserve">a </w:t>
      </w:r>
      <w:r w:rsidR="001A468B">
        <w:rPr>
          <w:rFonts w:ascii="Times New Roman" w:hAnsi="Times New Roman" w:cs="Times New Roman"/>
          <w:sz w:val="24"/>
          <w:szCs w:val="24"/>
        </w:rPr>
        <w:t>short-term but</w:t>
      </w:r>
      <w:r w:rsidR="00C85DCC" w:rsidRPr="00C85DCC">
        <w:rPr>
          <w:rFonts w:ascii="Times New Roman" w:hAnsi="Times New Roman" w:cs="Times New Roman"/>
          <w:sz w:val="24"/>
          <w:szCs w:val="24"/>
        </w:rPr>
        <w:t xml:space="preserve"> significant Vmax decrease</w:t>
      </w:r>
      <w:r w:rsidR="00C85DCC" w:rsidRPr="00C85DCC">
        <w:rPr>
          <w:rFonts w:ascii="Times New Roman" w:eastAsia="宋体" w:hAnsi="Times New Roman" w:cs="Times New Roman"/>
          <w:sz w:val="24"/>
          <w:szCs w:val="24"/>
        </w:rPr>
        <w:t xml:space="preserve"> </w:t>
      </w:r>
      <w:r w:rsidR="00C85DCC" w:rsidRPr="00AC45E1">
        <w:rPr>
          <w:rFonts w:ascii="Times New Roman" w:eastAsia="宋体" w:hAnsi="Times New Roman" w:cs="Times New Roman"/>
          <w:sz w:val="24"/>
          <w:szCs w:val="24"/>
        </w:rPr>
        <w:t xml:space="preserve">after </w:t>
      </w:r>
      <w:bookmarkStart w:id="6" w:name="_Hlk526676572"/>
      <w:r w:rsidR="00C85DCC" w:rsidRPr="00AC45E1">
        <w:rPr>
          <w:rFonts w:ascii="Times New Roman" w:eastAsia="宋体" w:hAnsi="Times New Roman" w:cs="Times New Roman"/>
          <w:sz w:val="24"/>
          <w:szCs w:val="24"/>
        </w:rPr>
        <w:t>HWRF initialization</w:t>
      </w:r>
      <w:bookmarkEnd w:id="6"/>
      <w:r w:rsidR="00182D42" w:rsidRPr="00723DA9">
        <w:rPr>
          <w:rFonts w:ascii="Times New Roman" w:hAnsi="Times New Roman" w:cs="Times New Roman"/>
          <w:sz w:val="24"/>
          <w:szCs w:val="24"/>
        </w:rPr>
        <w:t>, is likely related to the deficienc</w:t>
      </w:r>
      <w:r w:rsidR="00DB480F">
        <w:rPr>
          <w:rFonts w:ascii="Times New Roman" w:hAnsi="Times New Roman" w:cs="Times New Roman"/>
          <w:sz w:val="24"/>
          <w:szCs w:val="24"/>
        </w:rPr>
        <w:t>ies in the model and DA configurations.  For example, the operational HWRF uses t</w:t>
      </w:r>
      <w:r w:rsidR="00182D42" w:rsidRPr="00723DA9">
        <w:rPr>
          <w:rFonts w:ascii="Times New Roman" w:hAnsi="Times New Roman" w:cs="Times New Roman"/>
          <w:sz w:val="24"/>
          <w:szCs w:val="24"/>
        </w:rPr>
        <w:t xml:space="preserve">he ensemble covariance from </w:t>
      </w:r>
      <w:r w:rsidR="005D37F8">
        <w:rPr>
          <w:rFonts w:ascii="Times New Roman" w:hAnsi="Times New Roman" w:cs="Times New Roman"/>
          <w:sz w:val="24"/>
          <w:szCs w:val="24"/>
        </w:rPr>
        <w:t>the</w:t>
      </w:r>
      <w:r w:rsidR="00DB480F">
        <w:rPr>
          <w:rFonts w:ascii="Times New Roman" w:hAnsi="Times New Roman" w:cs="Times New Roman"/>
          <w:sz w:val="24"/>
          <w:szCs w:val="24"/>
        </w:rPr>
        <w:t xml:space="preserve"> </w:t>
      </w:r>
      <w:r w:rsidR="005D37F8">
        <w:rPr>
          <w:rFonts w:ascii="Times New Roman" w:hAnsi="Times New Roman" w:cs="Times New Roman"/>
          <w:sz w:val="24"/>
          <w:szCs w:val="24"/>
        </w:rPr>
        <w:t>Global Forecast System (GFS)</w:t>
      </w:r>
      <w:r w:rsidR="00182D42" w:rsidRPr="00723DA9">
        <w:rPr>
          <w:rFonts w:ascii="Times New Roman" w:hAnsi="Times New Roman" w:cs="Times New Roman"/>
          <w:sz w:val="24"/>
          <w:szCs w:val="24"/>
        </w:rPr>
        <w:t xml:space="preserve"> during </w:t>
      </w:r>
      <w:r w:rsidR="00DB480F">
        <w:rPr>
          <w:rFonts w:ascii="Times New Roman" w:hAnsi="Times New Roman" w:cs="Times New Roman"/>
          <w:sz w:val="24"/>
          <w:szCs w:val="24"/>
        </w:rPr>
        <w:t xml:space="preserve">the 3DEnVar </w:t>
      </w:r>
      <w:r w:rsidR="00182D42" w:rsidRPr="00723DA9">
        <w:rPr>
          <w:rFonts w:ascii="Times New Roman" w:hAnsi="Times New Roman" w:cs="Times New Roman"/>
          <w:sz w:val="24"/>
          <w:szCs w:val="24"/>
        </w:rPr>
        <w:t xml:space="preserve">DA.  </w:t>
      </w:r>
      <w:r w:rsidR="00F806C4">
        <w:rPr>
          <w:rFonts w:ascii="Times New Roman" w:hAnsi="Times New Roman" w:cs="Times New Roman"/>
          <w:sz w:val="24"/>
          <w:szCs w:val="24"/>
        </w:rPr>
        <w:t>But</w:t>
      </w:r>
      <w:r w:rsidR="00244731">
        <w:rPr>
          <w:rFonts w:ascii="Times New Roman" w:hAnsi="Times New Roman" w:cs="Times New Roman"/>
          <w:sz w:val="24"/>
          <w:szCs w:val="24"/>
        </w:rPr>
        <w:t xml:space="preserve"> o</w:t>
      </w:r>
      <w:r w:rsidR="00182D42">
        <w:rPr>
          <w:rFonts w:ascii="Times New Roman" w:hAnsi="Times New Roman" w:cs="Times New Roman"/>
          <w:sz w:val="24"/>
          <w:szCs w:val="24"/>
        </w:rPr>
        <w:t xml:space="preserve">ur early </w:t>
      </w:r>
      <w:r w:rsidR="00182D42">
        <w:rPr>
          <w:rFonts w:ascii="Times New Roman" w:hAnsi="Times New Roman" w:cs="Times New Roman"/>
          <w:sz w:val="24"/>
          <w:szCs w:val="24"/>
        </w:rPr>
        <w:lastRenderedPageBreak/>
        <w:t>study (</w:t>
      </w:r>
      <w:r w:rsidR="00182D42" w:rsidRPr="00723DA9">
        <w:rPr>
          <w:rFonts w:ascii="Times New Roman" w:hAnsi="Times New Roman" w:cs="Times New Roman"/>
          <w:sz w:val="24"/>
          <w:szCs w:val="24"/>
        </w:rPr>
        <w:t>Lu et al. 2017a)</w:t>
      </w:r>
      <w:r w:rsidR="009E3524">
        <w:rPr>
          <w:rFonts w:ascii="Times New Roman" w:hAnsi="Times New Roman" w:cs="Times New Roman"/>
          <w:sz w:val="24"/>
          <w:szCs w:val="24"/>
        </w:rPr>
        <w:t xml:space="preserve"> showed that</w:t>
      </w:r>
      <w:r w:rsidR="00182D42">
        <w:rPr>
          <w:rFonts w:ascii="Times New Roman" w:hAnsi="Times New Roman" w:cs="Times New Roman"/>
          <w:sz w:val="24"/>
          <w:szCs w:val="24"/>
        </w:rPr>
        <w:t xml:space="preserve"> a</w:t>
      </w:r>
      <w:r w:rsidR="00182D42" w:rsidRPr="00723DA9">
        <w:rPr>
          <w:rFonts w:ascii="Times New Roman" w:hAnsi="Times New Roman" w:cs="Times New Roman"/>
          <w:sz w:val="24"/>
          <w:szCs w:val="24"/>
        </w:rPr>
        <w:t xml:space="preserve"> HWRF self-consistent ensemble </w:t>
      </w:r>
      <w:r w:rsidR="00DB480F">
        <w:rPr>
          <w:rFonts w:ascii="Times New Roman" w:hAnsi="Times New Roman" w:cs="Times New Roman"/>
          <w:sz w:val="24"/>
          <w:szCs w:val="24"/>
        </w:rPr>
        <w:t>should be used instead of</w:t>
      </w:r>
      <w:r w:rsidR="00182D42" w:rsidRPr="00723DA9">
        <w:rPr>
          <w:rFonts w:ascii="Times New Roman" w:hAnsi="Times New Roman" w:cs="Times New Roman"/>
          <w:sz w:val="24"/>
          <w:szCs w:val="24"/>
        </w:rPr>
        <w:t xml:space="preserve"> the global ensemble</w:t>
      </w:r>
      <w:r w:rsidR="00182D42">
        <w:rPr>
          <w:rFonts w:ascii="Times New Roman" w:hAnsi="Times New Roman" w:cs="Times New Roman"/>
          <w:sz w:val="24"/>
          <w:szCs w:val="24"/>
        </w:rPr>
        <w:t xml:space="preserve"> </w:t>
      </w:r>
      <w:r w:rsidR="00DB480F">
        <w:rPr>
          <w:rFonts w:ascii="Times New Roman" w:hAnsi="Times New Roman" w:cs="Times New Roman"/>
          <w:sz w:val="24"/>
          <w:szCs w:val="24"/>
        </w:rPr>
        <w:t>to</w:t>
      </w:r>
      <w:r w:rsidR="00182D42">
        <w:rPr>
          <w:rFonts w:ascii="Times New Roman" w:hAnsi="Times New Roman" w:cs="Times New Roman"/>
          <w:sz w:val="24"/>
          <w:szCs w:val="24"/>
        </w:rPr>
        <w:t xml:space="preserve"> improve the TC analysis and intensity predictions for the assimilation of vortex-scale observations.   </w:t>
      </w:r>
    </w:p>
    <w:p w14:paraId="284807EB" w14:textId="73429982" w:rsidR="00C668CA" w:rsidRDefault="5B610C6B" w:rsidP="5B610C6B">
      <w:pPr>
        <w:spacing w:after="0" w:line="480" w:lineRule="auto"/>
        <w:ind w:firstLine="432"/>
        <w:rPr>
          <w:rFonts w:ascii="Times New Roman" w:hAnsi="Times New Roman" w:cs="Times New Roman"/>
          <w:sz w:val="24"/>
          <w:szCs w:val="24"/>
        </w:rPr>
      </w:pPr>
      <w:r w:rsidRPr="5B610C6B">
        <w:rPr>
          <w:rFonts w:ascii="Times New Roman" w:hAnsi="Times New Roman" w:cs="Times New Roman"/>
          <w:sz w:val="24"/>
          <w:szCs w:val="24"/>
        </w:rPr>
        <w:t xml:space="preserve">Therefore, in this dissertation, a new GSI-based hybrid </w:t>
      </w:r>
      <w:proofErr w:type="spellStart"/>
      <w:r w:rsidRPr="5B610C6B">
        <w:rPr>
          <w:rFonts w:ascii="Times New Roman" w:hAnsi="Times New Roman" w:cs="Times New Roman"/>
          <w:sz w:val="24"/>
          <w:szCs w:val="24"/>
        </w:rPr>
        <w:t>EnVar</w:t>
      </w:r>
      <w:proofErr w:type="spellEnd"/>
      <w:r w:rsidRPr="5B610C6B">
        <w:rPr>
          <w:rFonts w:ascii="Times New Roman" w:hAnsi="Times New Roman" w:cs="Times New Roman"/>
          <w:sz w:val="24"/>
          <w:szCs w:val="24"/>
        </w:rPr>
        <w:t xml:space="preserve"> DA system for HWRF is developed to investigate the optimal way to digest vortex-scale observations.  The new DA system is developed with multiple capabilities to perform end-to-end, continuous DA and forecast cycles for the entire life of a TC.  The details about this DA system and the corresponding methodologies will be documented in Chapter 2.  </w:t>
      </w:r>
    </w:p>
    <w:p w14:paraId="44116A44" w14:textId="50B8C47E" w:rsidR="00CF2E11" w:rsidRPr="00B90A27" w:rsidRDefault="00054DF9" w:rsidP="5B610C6B">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Based on but</w:t>
      </w:r>
      <w:r w:rsidR="00F75BBA" w:rsidRPr="00723DA9">
        <w:rPr>
          <w:rFonts w:ascii="Times New Roman" w:hAnsi="Times New Roman" w:cs="Times New Roman"/>
          <w:sz w:val="24"/>
          <w:szCs w:val="24"/>
        </w:rPr>
        <w:t xml:space="preserve"> more</w:t>
      </w:r>
      <w:r w:rsidRPr="00723DA9">
        <w:rPr>
          <w:rFonts w:ascii="Times New Roman" w:hAnsi="Times New Roman" w:cs="Times New Roman"/>
          <w:sz w:val="24"/>
          <w:szCs w:val="24"/>
        </w:rPr>
        <w:t xml:space="preserve"> </w:t>
      </w:r>
      <w:r w:rsidR="00F75BBA" w:rsidRPr="00723DA9">
        <w:rPr>
          <w:rFonts w:ascii="Times New Roman" w:hAnsi="Times New Roman" w:cs="Times New Roman"/>
          <w:sz w:val="24"/>
          <w:szCs w:val="24"/>
        </w:rPr>
        <w:t>advanced than</w:t>
      </w:r>
      <w:r w:rsidRPr="00723DA9">
        <w:rPr>
          <w:rFonts w:ascii="Times New Roman" w:hAnsi="Times New Roman" w:cs="Times New Roman"/>
          <w:sz w:val="24"/>
          <w:szCs w:val="24"/>
        </w:rPr>
        <w:t xml:space="preserve"> the operational HWRF, the</w:t>
      </w:r>
      <w:r w:rsidR="00D574A4" w:rsidRPr="00723DA9">
        <w:rPr>
          <w:rFonts w:ascii="Times New Roman" w:hAnsi="Times New Roman" w:cs="Times New Roman"/>
          <w:sz w:val="24"/>
          <w:szCs w:val="24"/>
        </w:rPr>
        <w:t xml:space="preserve"> new</w:t>
      </w:r>
      <w:r w:rsidR="00414345">
        <w:rPr>
          <w:rFonts w:ascii="Times New Roman" w:hAnsi="Times New Roman" w:cs="Times New Roman"/>
          <w:sz w:val="24"/>
          <w:szCs w:val="24"/>
        </w:rPr>
        <w:t>ly</w:t>
      </w:r>
      <w:r w:rsidRPr="00723DA9">
        <w:rPr>
          <w:rFonts w:ascii="Times New Roman" w:hAnsi="Times New Roman" w:cs="Times New Roman"/>
          <w:sz w:val="24"/>
          <w:szCs w:val="24"/>
        </w:rPr>
        <w:t xml:space="preserve"> </w:t>
      </w:r>
      <w:r w:rsidR="00EF0A5B">
        <w:rPr>
          <w:rFonts w:ascii="Times New Roman" w:hAnsi="Times New Roman" w:cs="Times New Roman"/>
          <w:sz w:val="24"/>
          <w:szCs w:val="24"/>
        </w:rPr>
        <w:t>developed</w:t>
      </w:r>
      <w:r w:rsidRPr="00723DA9">
        <w:rPr>
          <w:rFonts w:ascii="Times New Roman" w:hAnsi="Times New Roman" w:cs="Times New Roman"/>
          <w:sz w:val="24"/>
          <w:szCs w:val="24"/>
        </w:rPr>
        <w:t xml:space="preserve"> DA system </w:t>
      </w:r>
      <w:r w:rsidR="00F75BBA" w:rsidRPr="00723DA9">
        <w:rPr>
          <w:rFonts w:ascii="Times New Roman" w:hAnsi="Times New Roman" w:cs="Times New Roman"/>
          <w:sz w:val="24"/>
          <w:szCs w:val="24"/>
        </w:rPr>
        <w:t>aims at</w:t>
      </w:r>
      <w:r w:rsidRPr="00723DA9">
        <w:rPr>
          <w:rFonts w:ascii="Times New Roman" w:hAnsi="Times New Roman" w:cs="Times New Roman"/>
          <w:sz w:val="24"/>
          <w:szCs w:val="24"/>
        </w:rPr>
        <w:t xml:space="preserve"> addres</w:t>
      </w:r>
      <w:r w:rsidR="00F75BBA" w:rsidRPr="00723DA9">
        <w:rPr>
          <w:rFonts w:ascii="Times New Roman" w:hAnsi="Times New Roman" w:cs="Times New Roman"/>
          <w:sz w:val="24"/>
          <w:szCs w:val="24"/>
        </w:rPr>
        <w:t>sing</w:t>
      </w:r>
      <w:r w:rsidRPr="00723DA9">
        <w:rPr>
          <w:rFonts w:ascii="Times New Roman" w:hAnsi="Times New Roman" w:cs="Times New Roman"/>
          <w:sz w:val="24"/>
          <w:szCs w:val="24"/>
        </w:rPr>
        <w:t xml:space="preserve"> </w:t>
      </w:r>
      <w:r w:rsidR="000C0876">
        <w:rPr>
          <w:rFonts w:ascii="Times New Roman" w:hAnsi="Times New Roman" w:cs="Times New Roman"/>
          <w:sz w:val="24"/>
          <w:szCs w:val="24"/>
        </w:rPr>
        <w:t>a few</w:t>
      </w:r>
      <w:r w:rsidRPr="00723DA9">
        <w:rPr>
          <w:rFonts w:ascii="Times New Roman" w:hAnsi="Times New Roman" w:cs="Times New Roman"/>
          <w:sz w:val="24"/>
          <w:szCs w:val="24"/>
        </w:rPr>
        <w:t xml:space="preserve"> scientific and technical challenges in assimilating the vortex-scale observations </w:t>
      </w:r>
      <w:r w:rsidR="00D20828">
        <w:rPr>
          <w:rFonts w:ascii="Times New Roman" w:hAnsi="Times New Roman" w:cs="Times New Roman"/>
          <w:sz w:val="24"/>
          <w:szCs w:val="24"/>
        </w:rPr>
        <w:t>to</w:t>
      </w:r>
      <w:r w:rsidRPr="00723DA9">
        <w:rPr>
          <w:rFonts w:ascii="Times New Roman" w:hAnsi="Times New Roman" w:cs="Times New Roman"/>
          <w:sz w:val="24"/>
          <w:szCs w:val="24"/>
        </w:rPr>
        <w:t xml:space="preserve"> improv</w:t>
      </w:r>
      <w:r w:rsidR="00D20828">
        <w:rPr>
          <w:rFonts w:ascii="Times New Roman" w:hAnsi="Times New Roman" w:cs="Times New Roman"/>
          <w:sz w:val="24"/>
          <w:szCs w:val="24"/>
        </w:rPr>
        <w:t>e</w:t>
      </w:r>
      <w:r w:rsidRPr="00723DA9">
        <w:rPr>
          <w:rFonts w:ascii="Times New Roman" w:hAnsi="Times New Roman" w:cs="Times New Roman"/>
          <w:sz w:val="24"/>
          <w:szCs w:val="24"/>
        </w:rPr>
        <w:t xml:space="preserve"> the </w:t>
      </w:r>
      <w:r w:rsidR="00CD767E">
        <w:rPr>
          <w:rFonts w:ascii="Times New Roman" w:hAnsi="Times New Roman" w:cs="Times New Roman"/>
          <w:sz w:val="24"/>
          <w:szCs w:val="24"/>
        </w:rPr>
        <w:t xml:space="preserve">numerical prediction </w:t>
      </w:r>
      <w:r w:rsidRPr="00723DA9">
        <w:rPr>
          <w:rFonts w:ascii="Times New Roman" w:hAnsi="Times New Roman" w:cs="Times New Roman"/>
          <w:sz w:val="24"/>
          <w:szCs w:val="24"/>
        </w:rPr>
        <w:t xml:space="preserve">of TCs. </w:t>
      </w:r>
      <w:r w:rsidR="00437417" w:rsidRPr="00723DA9">
        <w:rPr>
          <w:rFonts w:ascii="Times New Roman" w:hAnsi="Times New Roman" w:cs="Times New Roman"/>
          <w:sz w:val="24"/>
          <w:szCs w:val="24"/>
        </w:rPr>
        <w:t xml:space="preserve"> </w:t>
      </w:r>
      <w:r w:rsidR="00A42774">
        <w:rPr>
          <w:rFonts w:ascii="Times New Roman" w:hAnsi="Times New Roman" w:cs="Times New Roman"/>
          <w:sz w:val="24"/>
          <w:szCs w:val="24"/>
        </w:rPr>
        <w:t>For example, (1) the dual-resolution DA is a popular method to maintain the benefit of high-resolution background at convection-allowing model resolution</w:t>
      </w:r>
      <w:r w:rsidR="000C0876">
        <w:rPr>
          <w:rFonts w:ascii="Times New Roman" w:hAnsi="Times New Roman" w:cs="Times New Roman"/>
          <w:sz w:val="24"/>
          <w:szCs w:val="24"/>
        </w:rPr>
        <w:t>,</w:t>
      </w:r>
      <w:r w:rsidR="00A42774">
        <w:rPr>
          <w:rFonts w:ascii="Times New Roman" w:hAnsi="Times New Roman" w:cs="Times New Roman"/>
          <w:sz w:val="24"/>
          <w:szCs w:val="24"/>
        </w:rPr>
        <w:t xml:space="preserve"> while reducing computational cost by running the ensemble at a coarser resolution </w:t>
      </w:r>
      <w:r w:rsidR="00A42774" w:rsidRPr="5B610C6B">
        <w:fldChar w:fldCharType="begin" w:fldLock="1"/>
      </w:r>
      <w:r w:rsidR="003F0ED0">
        <w:rPr>
          <w:rFonts w:ascii="Times New Roman" w:hAnsi="Times New Roman" w:cs="Times New Roman"/>
          <w:sz w:val="24"/>
          <w:szCs w:val="24"/>
        </w:rPr>
        <w:instrText>ADDIN CSL_CITATION {"citationItems":[{"id":"ITEM-1","itemData":{"DOI":"10.1175/2007MWR2120.1","ISBN":"0027-0644","ISSN":"0027-0644","abstract":"A new efficient dual-resolution (DR) data assimilation algorithm is\\ndeveloped based on the ensemble Kalman filter (EnKF) method and tested\\nusing simulated radar radial velocity data for a supercell storm.\\nRadar observations are assimilated on both high-resolution and lower-resolution\\ngrids using the EnKF algorithm with flow-dependent background error\\ncovariances estimated from the lower-resolution ensemble. It is shown\\nthat the flow-dependent and dynamically evolved background error\\ncovariances thus estimated are effective in producing quality analyses\\non the high-resolution grid.The DR method has the advantage of being\\nable to significantly reduce the computational cost of the EnKF analysis.\\nIn the system, the lower-resolution ensemble provides the flow-dependent\\nbackground error covariance, while the single-high-resolution forecast\\nand analysis provides the benefit of higher resolution, which is\\nimportant for resolving the internal structures of thunderstorms.\\nThe relative smoothness of the covariance obtained from the lower\\n4-km-resolution ensemble does not appear to significantly degrade\\nthe quality of analysis. This is because the cross covariance among\\ndifferent variables is of first-order importance for \\textquotedblleftretrieving\\textquotedblright\\nunobserved variables from the radar radial velocity data.For the\\nDR analysis, an ensemble size of 40 appears to be a reasonable choice\\nwith the use of a 4-km horizontal resolution in the ensemble and\\na 1-km resolution in the high-resolution analysis. Several sensitivity\\ntests show that the DR EnKF system is quite robust to different observation\\nerrors. A 4-km thinned data resolution is a compromise that is acceptable\\nunder the constraint of real-time applications. A data density of\\n8 km leads to a significant degradation in the analysis.","author":[{"dropping-particle":"","family":"Gao","given":"Jidong","non-dropping-particle":"","parse-names":false,"suffix":""},{"dropping-particle":"","family":"Xue","given":"Ming","non-dropping-particle":"","parse-names":false,"suffix":""}],"container-title":"Monthly Weather Review","id":"ITEM-1","issue":"3","issued":{"date-parts":[["2008"]]},"page":"945-963","title":"An Efficient Dual-Resolution Approach for Ensemble Data Assimilation and Tests with Simulated Doppler Radar Data","type":"article-journal","volume":"136"},"uris":["http://www.mendeley.com/documents/?uuid=2b23f432-b71d-40e2-abcd-0559cf1aeb89"]},{"id":"ITEM-2","itemData":{"DOI":"10.1175/2009MWR3158.1","ISBN":"0027-0644","ISSN":"0027-0644","abstract":"An intercomparison of the Environment Canada variational and ensemble Kalman filter (EnKF) data assimilation systems is presented in the context of producing global deterministic numerical weather forecasts. Five different variational data assimilation approaches are considered including four-dimensional variational data assimilation (4D-Var) and three-dimensional variational data assimilation (3D-Var) with first guess at the appropriate time (3D-FGAT). Also included among these is a new approach, called Ensemble-4D-Var (En-4D-Var), that uses 4D ensemble background-error covariances from the EnKF. A description of the experimental configurations and results from single-observation experiments are presented in the first part of this two-part paper. The present paper focuses on results from medium-range deterministic forecasts initialized with analyses from the EnKF and the five variational data assimilation approaches for the period of February 2007. All experiments assimilate exactly the same full set of meteorological observations and use the same configuration of the forecast model to produce global deterministic medium-range forecasts. The quality of forecasts in the short (medium) range obtained by using the EnKF ensemble mean analysis is slightly degraded (improved) in the extratropics relative to using the 4D-Var analysis with background-error covariances similar to those used operationally. The use of the EnKF flow-dependent error covariances in the variational system (4D-Var or 3D-FGAT) leads to large (modest) forecast improvements in the southern extratropics (tropics) as compared with using covariances similar to the operational system (a gain of up to 9 h at day 5). The En-4D-Var approach leads to (i) either improved or similar forecast quality when compared with the 4D-Var experiment similar to the currently operational system, (ii) slightly worse forecast quality when compared with the 4D-Var experiment with EnKF error covariances, and (iii) generally similar forecast quality when compared with the EnKF experiment.","author":[{"dropping-particle":"","family":"Buehner","given":"Mark","non-dropping-particle":"","parse-names":false,"suffix":""},{"dropping-particle":"","family":"Houtekamer","given":"P. L.","non-dropping-particle":"","parse-names":false,"suffix":""},{"dropping-particle":"","family":"Charette","given":"Cecilien","non-dropping-particle":"","parse-names":false,"suffix":""},{"dropping-particle":"","family":"Mitchell","given":"Herschel L.","non-dropping-particle":"","parse-names":false,"suffix":""},{"dropping-particle":"","family":"He","given":"Bin","non-dropping-particle":"","parse-names":false,"suffix":""}],"container-title":"Monthly Weather Review","id":"ITEM-2","issue":"5","issued":{"date-parts":[["2010"]]},"page":"1567-1586","title":"Intercomparison of Variational Data Assimilation and the Ensemble Kalman Filter for Global Deterministic NWP. Part II: One-Month Experiments with Real Observations","type":"article-journal","volume":"138"},"uris":["http://www.mendeley.com/documents/?uuid=227cad7a-43c1-49af-8bd3-d2189ec23909"]},{"id":"ITEM-3","itemData":{"DOI":"10.1175/MWR-D-11-00079.1","ISSN":"0027-0644","author":[{"dropping-particle":"","family":"Hamill","given":"Thomas M.","non-dropping-particle":"","parse-names":false,"suffix":""},{"dropping-particle":"","family":"Whitaker","given":"Jeffrey S.","non-dropping-particle":"","parse-names":false,"suffix":""},{"dropping-particle":"","family":"Kleist","given":"Daryl T.","non-dropping-particle":"","parse-names":false,"suffix":""},{"dropping-particle":"","family":"Fiorino","given":"Michael","non-dropping-particle":"","parse-names":false,"suffix":""},{"dropping-particle":"","family":"Benjamin","given":"Stanley G.","non-dropping-particle":"","parse-names":false,"suffix":""}],"container-title":"Monthly Weather Review","id":"ITEM-3","issue":"10","issued":{"date-parts":[["2011"]]},"page":"3243-3247","title":"Predictions of 2010’s Tropical Cyclones Using the GFS and Ensemble-Based Data Assimilation Methods","type":"article-journal","volume":"139"},"uris":["http://www.mendeley.com/documents/?uuid=2e3c7bc8-d7fc-455c-a03f-be274e4da343"]},{"id":"ITEM-4","itemData":{"DOI":"10.1002/qj.2054","ISSN":"00359009","author":[{"dropping-particle":"","family":"Clayton","given":"a. M.","non-dropping-particle":"","parse-names":false,"suffix":""},{"dropping-particle":"","family":"Lorenc","given":"a. C.","non-dropping-particle":"","parse-names":false,"suffix":""},{"dropping-particle":"","family":"Barker","given":"D. M.","non-dropping-particle":"","parse-names":false,"suffix":""}],"container-title":"Quarterly Journal of the Royal Meteorological Society","id":"ITEM-4","issue":"675","issued":{"date-parts":[["2013"]]},"page":"1445-1461","title":"Operational implementation of a hybrid ensemble/4D-Var global data assimilation system at the Met Office","type":"article-journal","volume":"139"},"uris":["http://www.mendeley.com/documents/?uuid=c6cf64a2-0f22-4a00-a377-e7075ffde5b1"]},{"id":"ITEM-5","itemData":{"DOI":"10.1175/MWR-D-12-00182.1","abstract":"The effect on weather forecast performance of incorporating ensemble covariances into the initial co-variance model of the four-dimensional variational data assimilation (4D-Var) Naval Research Laboratory Atmospheric Variational Data Assimilation System-Accelerated Representer (NAVDAS-AR) is investigated. This NAVDAS-AR-hybrid scheme linearly combines the static NAVDAS-AR initial background error covariance with a covariance derived from an 80-member flow-dependent ensemble. The ensemble members are generated using the ensemble transform technique with a (three-dimensional variational data assimilation) 3D-Var-based estimate of analysis error variance. The ensemble covariances are localized using an efficient algorithm enabled via a separable formulation of the localization matrix. The authors describe the development and testing of this scheme, which allows for assimilation experiments using differing linear combinations of the static and flow-dependent background error covariances. The tests are performed for two months of summer and two months of winter using operational model resolution and the operational observational dataset, which is dominated by satellite observations. Results show that the hybrid mode data assimilation scheme significantly reduces the forecast error across a wide range of variables and regions. The improvements were particularly pronounced for tropical winds. The verification against radiosondes showed a greater than 0.5% reduction in vector wind RMS differences in areas of statistical significance. The verification against self-analysis showed a greater than 1% reduction from verifying against analyses between 2-and 5-day lead time at all eight vertical levels examined in areas of statistical significance. Using the Navy's summary of verification results, the Navy Operational Global Atmospheric Prediction System (NOGAPS) scorecard, the improvements resulted in a score (11) that justifies a major system upgrade.","author":[{"dropping-particle":"","family":"Kuhl","given":"David D","non-dropping-particle":"","parse-names":false,"suffix":""},{"dropping-particle":"","family":"Rosmond","given":"Thomas E","non-dropping-particle":"","parse-names":false,"suffix":""},{"dropping-particle":"","family":"Bishop","given":"Craig H","non-dropping-particle":"","parse-names":false,"suffix":""},{"dropping-particle":"","family":"Mclay","given":"Justin","non-dropping-particle":"","parse-names":false,"suffix":""},{"dropping-particle":"","family":"Baker","given":"Nancy L","non-dropping-particle":"","parse-names":false,"suffix":""}],"container-title":"Monthly Weather Review","id":"ITEM-5","issued":{"date-parts":[["2013"]]},"page":"2740-2758","title":"Comparison of Hybrid Ensemble/4DVar and 4DVar within the NAVDAS-AR Data Assimilation Framework","type":"article-journal","volume":"141"},"uris":["http://www.mendeley.com/documents/?uuid=5521e79f-5e34-307f-94e9-20f260262020"]},{"id":"ITEM-6","itemData":{"DOI":"10.1175/MWR-D-15-0286.1","ISSN":"0027-0644","author":[{"dropping-particle":"","family":"Schwartz","given":"Craig S.","non-dropping-particle":"","parse-names":false,"suffix":""}],"container-title":"Monthly Weather Review","id":"ITEM-6","issued":{"date-parts":[["2016"]]},"page":"160113112645003","title":"Improving large-domain convection-allowing forecasts with high-resolution analyses and ensemble data assimilation","type":"article-journal"},"uris":["http://www.mendeley.com/documents/?uuid=563ac710-f413-4095-9c62-99d9303f92ad"]}],"mendeley":{"formattedCitation":"(Gao and Xue 2008; Buehner et al. 2010; Hamill et al. 2011; Clayton et al. 2013; Kuhl et al. 2013; Schwartz 2016)","plainTextFormattedCitation":"(Gao and Xue 2008; Buehner et al. 2010; Hamill et al. 2011; Clayton et al. 2013; Kuhl et al. 2013; Schwartz 2016)","previouslyFormattedCitation":"(Gao and Xue 2008; Buehner et al. 2010; Hamill et al. 2011; Clayton et al. 2013; Kuhl et al. 2013; Schwartz 2016)"},"properties":{"noteIndex":0},"schema":"https://github.com/citation-style-language/schema/raw/master/csl-citation.json"}</w:instrText>
      </w:r>
      <w:r w:rsidR="00A42774" w:rsidRPr="5B610C6B">
        <w:rPr>
          <w:rFonts w:ascii="Times New Roman" w:hAnsi="Times New Roman" w:cs="Times New Roman"/>
          <w:sz w:val="24"/>
          <w:szCs w:val="24"/>
        </w:rPr>
        <w:fldChar w:fldCharType="separate"/>
      </w:r>
      <w:r w:rsidR="00A42774" w:rsidRPr="00A42774">
        <w:rPr>
          <w:rFonts w:ascii="Times New Roman" w:hAnsi="Times New Roman" w:cs="Times New Roman"/>
          <w:noProof/>
          <w:sz w:val="24"/>
          <w:szCs w:val="24"/>
        </w:rPr>
        <w:t>(Gao and Xue 2008; Buehner et al. 2010; Hamill et al. 2011; Clayton et al. 2013; Kuhl et al. 2013; Schwartz 2016)</w:t>
      </w:r>
      <w:r w:rsidR="00A42774" w:rsidRPr="5B610C6B">
        <w:fldChar w:fldCharType="end"/>
      </w:r>
      <w:r w:rsidR="00A42774">
        <w:rPr>
          <w:rFonts w:ascii="Times New Roman" w:hAnsi="Times New Roman" w:cs="Times New Roman"/>
          <w:sz w:val="24"/>
          <w:szCs w:val="24"/>
        </w:rPr>
        <w:t xml:space="preserve">.  However, </w:t>
      </w:r>
      <w:r w:rsidR="00A42774" w:rsidRPr="00723DA9">
        <w:rPr>
          <w:rFonts w:ascii="Times New Roman" w:hAnsi="Times New Roman" w:cs="Times New Roman"/>
          <w:sz w:val="24"/>
          <w:szCs w:val="24"/>
        </w:rPr>
        <w:t xml:space="preserve">such a method has not been examined for the convection-allowing model resolution </w:t>
      </w:r>
      <w:r w:rsidR="0095576C">
        <w:rPr>
          <w:rFonts w:ascii="Times New Roman" w:hAnsi="Times New Roman" w:cs="Times New Roman"/>
          <w:sz w:val="24"/>
          <w:szCs w:val="24"/>
        </w:rPr>
        <w:t>in</w:t>
      </w:r>
      <w:r w:rsidR="00A42774" w:rsidRPr="00723DA9">
        <w:rPr>
          <w:rFonts w:ascii="Times New Roman" w:hAnsi="Times New Roman" w:cs="Times New Roman"/>
          <w:sz w:val="24"/>
          <w:szCs w:val="24"/>
        </w:rPr>
        <w:t xml:space="preserve"> the hurricane predictions</w:t>
      </w:r>
      <w:r w:rsidR="00FA6029">
        <w:rPr>
          <w:rFonts w:ascii="Times New Roman" w:hAnsi="Times New Roman" w:cs="Times New Roman"/>
          <w:sz w:val="24"/>
          <w:szCs w:val="24"/>
        </w:rPr>
        <w:t>;</w:t>
      </w:r>
      <w:r w:rsidR="00A42774">
        <w:rPr>
          <w:rFonts w:ascii="Times New Roman" w:hAnsi="Times New Roman" w:cs="Times New Roman"/>
          <w:sz w:val="24"/>
          <w:szCs w:val="24"/>
        </w:rPr>
        <w:t xml:space="preserve"> (2) </w:t>
      </w:r>
      <w:r w:rsidR="00EA468F">
        <w:rPr>
          <w:rFonts w:ascii="Times New Roman" w:hAnsi="Times New Roman" w:cs="Times New Roman"/>
          <w:sz w:val="24"/>
          <w:szCs w:val="24"/>
        </w:rPr>
        <w:t xml:space="preserve">Studies have suggested that the </w:t>
      </w:r>
      <w:r w:rsidR="00A42774" w:rsidRPr="00723DA9">
        <w:rPr>
          <w:rFonts w:ascii="Times New Roman" w:hAnsi="Times New Roman" w:cs="Times New Roman"/>
          <w:sz w:val="24"/>
          <w:szCs w:val="24"/>
        </w:rPr>
        <w:t>vortex initialization (VI) method</w:t>
      </w:r>
      <w:r w:rsidR="00A42774">
        <w:rPr>
          <w:rFonts w:ascii="Times New Roman" w:hAnsi="Times New Roman" w:cs="Times New Roman"/>
          <w:sz w:val="24"/>
          <w:szCs w:val="24"/>
        </w:rPr>
        <w:t xml:space="preserve"> </w:t>
      </w:r>
      <w:r w:rsidR="00A42774" w:rsidRPr="00723DA9">
        <w:rPr>
          <w:rFonts w:ascii="Times New Roman" w:hAnsi="Times New Roman" w:cs="Times New Roman"/>
          <w:sz w:val="24"/>
          <w:szCs w:val="24"/>
        </w:rPr>
        <w:t>prior to DA</w:t>
      </w:r>
      <w:r w:rsidR="00EA468F">
        <w:rPr>
          <w:rFonts w:ascii="Times New Roman" w:hAnsi="Times New Roman" w:cs="Times New Roman"/>
          <w:sz w:val="24"/>
          <w:szCs w:val="24"/>
        </w:rPr>
        <w:t xml:space="preserve"> used by the operational HWRF</w:t>
      </w:r>
      <w:r w:rsidR="00A42774" w:rsidRPr="00723DA9">
        <w:rPr>
          <w:rFonts w:ascii="Times New Roman" w:hAnsi="Times New Roman" w:cs="Times New Roman"/>
          <w:sz w:val="24"/>
          <w:szCs w:val="24"/>
        </w:rPr>
        <w:t xml:space="preserve"> </w:t>
      </w:r>
      <w:r w:rsidR="00A42774" w:rsidRPr="5B610C6B">
        <w:fldChar w:fldCharType="begin" w:fldLock="1"/>
      </w:r>
      <w:r w:rsidR="00A42774" w:rsidRPr="00723DA9">
        <w:rPr>
          <w:rFonts w:ascii="Times New Roman" w:hAnsi="Times New Roman" w:cs="Times New Roman"/>
          <w:sz w:val="24"/>
          <w:szCs w:val="24"/>
        </w:rPr>
        <w:instrText>ADDIN CSL_CITATION {"citationItems":[{"id":"ITEM-1","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Note","id":"ITEM-1","issued":{"date-parts":[["2000"]]},"page":"472","title":"Improvements in Hurricane Initialization and Forecasting at NCEP with Global and Regional ( GFDL ) models","type":"paper-conference"},"uris":["http://www.mendeley.com/documents/?uuid=432c0949-751b-4f5a-b482-e8a093126d11"]},{"id":"ITEM-2","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Meteorology","id":"ITEM-2","issued":{"date-parts":[["2006"]]},"title":"Hurricane Relocation in Global Ensemble Forecast System","type":"paper-conference"},"uris":["http://www.mendeley.com/documents/?uuid=1a8cbd0a-b8d6-493d-9f17-38a64f3581ee"]},{"id":"ITEM-3","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Center","id":"ITEM-3","issued":{"date-parts":[["2015"]]},"number-of-pages":"1-81","title":"Hurricane Weather Research and Forecasting (HWRF) model: 2015 scientific documentation","type":"report"},"uris":["http://www.mendeley.com/documents/?uuid=b87ea64a-4059-481a-8188-da6f904806c8"]}],"mendeley":{"formattedCitation":"(Liu et al. 2000, 2006; Tallapragada et al. 2015)","plainTextFormattedCitation":"(Liu et al. 2000, 2006; Tallapragada et al. 2015)","previouslyFormattedCitation":"(Liu et al. 2000, 2006; Tallapragada et al. 2015)"},"properties":{"noteIndex":0},"schema":"https://github.com/citation-style-language/schema/raw/master/csl-citation.json"}</w:instrText>
      </w:r>
      <w:r w:rsidR="00A42774" w:rsidRPr="5B610C6B">
        <w:rPr>
          <w:rFonts w:ascii="Times New Roman" w:hAnsi="Times New Roman" w:cs="Times New Roman"/>
          <w:sz w:val="24"/>
          <w:szCs w:val="24"/>
        </w:rPr>
        <w:fldChar w:fldCharType="separate"/>
      </w:r>
      <w:r w:rsidR="00A42774" w:rsidRPr="00723DA9">
        <w:rPr>
          <w:rFonts w:ascii="Times New Roman" w:hAnsi="Times New Roman" w:cs="Times New Roman"/>
          <w:noProof/>
          <w:sz w:val="24"/>
          <w:szCs w:val="24"/>
        </w:rPr>
        <w:t>(Liu et al. 2000, 2006; Tallapragada et al. 2015)</w:t>
      </w:r>
      <w:r w:rsidR="00A42774" w:rsidRPr="5B610C6B">
        <w:fldChar w:fldCharType="end"/>
      </w:r>
      <w:r w:rsidR="00EA468F">
        <w:rPr>
          <w:rFonts w:ascii="Times New Roman" w:hAnsi="Times New Roman" w:cs="Times New Roman"/>
          <w:sz w:val="24"/>
          <w:szCs w:val="24"/>
        </w:rPr>
        <w:t xml:space="preserve"> </w:t>
      </w:r>
      <w:r w:rsidR="005A5B8F">
        <w:rPr>
          <w:rFonts w:ascii="Times New Roman" w:hAnsi="Times New Roman" w:cs="Times New Roman"/>
          <w:sz w:val="24"/>
          <w:szCs w:val="24"/>
        </w:rPr>
        <w:t>can</w:t>
      </w:r>
      <w:r w:rsidR="00EA468F">
        <w:rPr>
          <w:rFonts w:ascii="Times New Roman" w:hAnsi="Times New Roman" w:cs="Times New Roman"/>
          <w:sz w:val="24"/>
          <w:szCs w:val="24"/>
        </w:rPr>
        <w:t xml:space="preserve"> be unnecessary </w:t>
      </w:r>
      <w:r w:rsidR="00E21250">
        <w:rPr>
          <w:rFonts w:ascii="Times New Roman" w:hAnsi="Times New Roman" w:cs="Times New Roman"/>
          <w:sz w:val="24"/>
          <w:szCs w:val="24"/>
        </w:rPr>
        <w:t xml:space="preserve">when </w:t>
      </w:r>
      <w:r w:rsidR="00A24058">
        <w:rPr>
          <w:rFonts w:ascii="Times New Roman" w:hAnsi="Times New Roman" w:cs="Times New Roman"/>
          <w:sz w:val="24"/>
          <w:szCs w:val="24"/>
        </w:rPr>
        <w:t>having</w:t>
      </w:r>
      <w:r w:rsidR="001545C0">
        <w:rPr>
          <w:rFonts w:ascii="Times New Roman" w:hAnsi="Times New Roman" w:cs="Times New Roman"/>
          <w:sz w:val="24"/>
          <w:szCs w:val="24"/>
        </w:rPr>
        <w:t xml:space="preserve"> the</w:t>
      </w:r>
      <w:r w:rsidR="00EA468F">
        <w:rPr>
          <w:rFonts w:ascii="Times New Roman" w:hAnsi="Times New Roman" w:cs="Times New Roman"/>
          <w:sz w:val="24"/>
          <w:szCs w:val="24"/>
        </w:rPr>
        <w:t xml:space="preserve"> advanced inner-core DA </w:t>
      </w:r>
      <w:r w:rsidR="00EA468F" w:rsidRPr="5B610C6B">
        <w:fldChar w:fldCharType="begin" w:fldLock="1"/>
      </w:r>
      <w:r w:rsidR="00EA468F" w:rsidRPr="00723DA9">
        <w:rPr>
          <w:rFonts w:ascii="Times New Roman" w:hAnsi="Times New Roman" w:cs="Times New Roman"/>
          <w:sz w:val="24"/>
          <w:szCs w:val="24"/>
        </w:rPr>
        <w:instrText>ADDIN CSL_CITATION {"citationItems":[{"id":"ITEM-1","itemData":{"DOI":"10.1175/2009MWR2656.1","abstract":"An ensemble Kalman filter (EnKF) based on the Weather Research and Forecasting model is applied to generate ensemble analyses and forecasts of Hurricane Katrina (2005) and the surrounding area every 6 h over the lifetime of the storm on a nested domain. Analyses are derived from assimilating conventional in situ observations, reconnaissance dropsondes, including data taken during the Hurricane Rainband and Intensity Exchange Experiment (RAINEX), and tropical cyclone position estimates. Observation assimilation at individual times consistently reduces errors in tropical cyclone position, but not necessarily in intensity; however, withholding observations leads to significantly larger errors in both quantities. Analysis increments for observations near the tropical cyclone are dominated by changes in vortex position, and these increments increase the asymmetric structure of the storm. Data denial experiments indicate that dropsondes deployed in the synoptic environment provide minimal benefit to the outer domain; however, dropsondes deployed within the tropical cyclone lead to significant reductions in position and intensity errors on the inner domain. Specifically, errors in the inner domain ensemble-mean 6-h forecasts of minimum pressure are 70% larger when dropsonde data is not assimilated. Precipitation fields are qualitatively similar to Tropical Rainfall Measuring Mission (TRMM) satellite estimates, although model values are double the values of the satellite estimate. Moreover, the spinup period and initial imbalance in EnKF-initialized WRF forecasts is less than starting the model from a GFS analysis. Ensemble-mean 48-h forecasts initialized with EnKF analyses have track and intensity errors that are 50% smaller than GFS and NHC official forecasts.","author":[{"dropping-particle":"","family":"Torn","given":"Ryan D","non-dropping-particle":"","parse-names":false,"suffix":""},{"dropping-particle":"","family":"Hakim","given":"Gregory J","non-dropping-particle":"","parse-names":false,"suffix":""}],"container-title":"Mon. Wea. Rev.","id":"ITEM-1","issued":{"date-parts":[["2009"]]},"page":"2817-2829","title":"Ensemble Data Assimilation Applied to RAINEX Observations of Hurricane Katrina (2005)","type":"article-journal","volume":"137"},"uris":["http://www.mendeley.com/documents/?uuid=75bf1568-efc2-3972-9e62-65ef39b64f5b"]},{"id":"ITEM-2","itemData":{"DOI":"10.1175/2009MWR2828.1","ISBN":"0027-0644","ISSN":"0027-0644","abstract":"Initialization of the hurricane vortex in weather prediction models is vital to intensity forecasts out to at least 48 h. Airborne Doppler radar (ADR) data have sufficiently high horizontal and vertical resolution to resolve the hurricane vortex and its imbedded structures but have not been extensively used in hurricane initialization. Using the Weather Research and Forecasting (WRF) three-dimensional variational data assimilation (3DVAR) system, the ADR data are assimilated to recover the hurricane vortex dynamic and thermodynamic structures at the WRF model initial time. The impact of the ADR data on three hurricanes, Jeanne (2004), Katrina (2005) and Rita (2005), are examined during their rapid intensification and subsequent weakening periods before landfall. With the ADR wind data assimilated, the three-dimensional winds in the hurricane vortex become stronger and the maximum 10-m winds agree better with independent estimates from best-track data than without ADR data assimilation. Through the multivariate incremental structure in WRF3DVAR analysis, the central sea level pressures (CSLPs) for the three hurricanes are lower in response to the stronger vortex at initialization. The size and inner-core structure of each vortex are adjusted closer to observations of these attributes. Addition of reflectivity data in assimilation produces cloud water and rainwater analyses in the initial vortex. The temperature and moisture are also better represented in the hurricane initialization. Forty-eight-hour forecasts are conducted to evaluate the impact of ADR data using the Advanced Research Hurricane WRF (AHW), a derivative of the Advanced Research WRF (ARW) model. Assimilation of ADR data improves the hurricane-intensity forecasts. Vortex asymmetries, size, and rainbands are also simulated better. Hurricane initialization with ADR data is quite promising toward reducing intensity forecast errors at modest computational expense.","author":[{"dropping-particle":"","family":"Xiao","given":"Qingnong","non-dropping-particle":"","parse-names":false,"suffix":""},{"dropping-particle":"","family":"Zhang","given":"Xiaoyan","non-dropping-particle":"","parse-names":false,"suffix":""},{"dropping-particle":"","family":"Davis","given":"Christopher","non-dropping-particle":"","parse-names":false,"suffix":""},{"dropping-particle":"","family":"Tuttle","given":"John","non-dropping-particle":"","parse-names":false,"suffix":""},{"dropping-particle":"","family":"Holland","given":"Greg","non-dropping-particle":"","parse-names":false,"suffix":""},{"dropping-particle":"","family":"Fitzpatrick","given":"Patrick J.","non-dropping-particle":"","parse-names":false,"suffix":""}],"container-title":"Monthly Weather Review","id":"ITEM-2","issue":"9","issued":{"date-parts":[["2009"]]},"page":"2758-2777","title":"Experiments of Hurricane Initialization with Airborne Doppler Radar Data for the Advanced Research Hurricane WRF (AHW) Model","type":"article-journal","volume":"137"},"uris":["http://www.mendeley.com/documents/?uuid=6a3e0a0a-6311-46b1-b06d-f5cb61d65930"]},{"id":"ITEM-3","itemData":{"DOI":"10.1175/2009MWR2645.1","abstract":"This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 Wea. Rev.","id":"ITEM-3","issued":{"date-parts":[["2009"]]},"page":"2105-2125","title":"Cloud-Resolving Hurricane Initialization and Prediction through Assimilation of Doppler Radar Observations with an Ensemble Kalman Filter","type":"article-journal","volume":"137"},"uris":["http://www.mendeley.com/documents/?uuid=6d5295a0-779e-3cf3-99f1-15e6431eea78"]},{"id":"ITEM-4","itemData":{"DOI":"10.1029/2011GL048469","ISBN":"00948276","ISSN":"00948276","abstract":"This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Letters","id":"ITEM-4","issue":"15","issued":{"date-parts":[["2011"]]},"page":"2-7","title":"Performance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id":"ITEM-5","itemData":{"DOI":"10.1175/MWR-D-12-00043.1","ISSN":"0027-0644","author":[{"dropping-particle":"","family":"Li","given":"Yongzuo","non-dropping-particle":"","parse-names":false,"suffix":""},{"dropping-particle":"","family":"Wang","given":"Xuguang","non-dropping-particle":"","parse-names":false,"suffix":""},{"dropping-particle":"","family":"Xue","given":"Ming","non-dropping-particle":"","parse-names":false,"suffix":""}],"container-title":"Monthly Weather Review","id":"ITEM-5","issued":{"date-parts":[["2012"]]},"page":"3507-3524","title":"Assimilation of Radar Radial Velocity Data with the WRF Hybrid Ensemble-3DVAR System for the Prediction of Hurricane Ike (2008)","type":"article-journal","volume":"140"},"uris":["http://www.mendeley.com/documents/?uuid=25af83c9-af9b-491a-9dcc-6d65193ee01f"]},{"id":"ITEM-6","itemData":{"DOI":"10.1175/2011MWR3602.1","ISBN":"0027-0644","ISSN":"0027-0644","abstract":"Through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Review","id":"ITEM-6","issue":"3","issued":{"date-parts":[["2012"]]},"page":"841-859","title":"Assimilating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(2005)","type":"article-journal","volume":"140"},"uris":["http://www.mendeley.com/documents/?uuid=9c276441-a30a-4c8f-a760-f5a89a55b497"]},{"id":"ITEM-7","itemData":{"DOI":"Doi 10.1175/Mwr-D-12-00194.1","ISBN":"0027-0644","ISSN":"0027-0644","abstract":"The Hurricane Weather Research and Forecasting (HWRF) Ensemble Data Assimilation System (HEDAS) is developed to assimilate tropical cyclone inner-core observations for high-resolution vortex initialization. It is based on a serial implementation of the square root ensemble Kalman filter (EnKF). In this study, HWRF is used in an experimental configuration with horizontal grid spacing of 9 (3) km on the outer (inner) domain. HEDAS is applied to 83 cases from years 2008 to 2011. With the exception of two Hurricane Hilary (2011) cases in the eastern North Pacific basin, all cases are observed in the Atlantic basin. Observed storm intensity for these cases ranges from tropical depression to category-4 hurricane. Overall, it is found that high-resolution tropical cyclone observations, when assimilated with an advanced data assimilation technique such as the EnKF, result in analyses of the primary circulation that are realistic in terms of intensity, wavenumber-0 radial structure, as well as wavenumber-1 azimuthal structure. Representing the secondary circulation in the analyses is found to be more challenging with systematic errors in the magnitude and depth of the low-level radial inflow. This is believed to result from a model bias in the experimental HWRF caused by the overdiffusive nature of the planetary boundary layer parameterization utilized. Thermodynamic deviations from the observed structure are believed to be caused by both an imbalance between the number of the kinematic and thermodynamic observations in general and the suboptimal ensemble covariances between kinematic and thermodynamic fields. Future plans are discussed to address these challenges.","author":[{"dropping-particle":"","family":"Aksoy","given":"a","non-dropping-particle":"","parse-names":false,"suffix":""},{"dropping-particle":"","family":"Aberson","given":"S D","non-dropping-particle":"","parse-names":false,"suffix":""},{"dropping-particle":"","family":"Vukicevic","given":"T","non-dropping-particle":"","parse-names":false,"suffix":""},{"dropping-particle":"","family":"Sellwood","given":"K J","non-dropping-particle":"","parse-names":false,"suffix":""},{"dropping-particle":"","family":"Lorsolo","given":"S","non-dropping-particle":"","parse-names":false,"suffix":""},{"dropping-particle":"","family":"Zhang","given":"X J","non-dropping-particle":"","parse-names":false,"suffix":""}],"container-title":"Monthly Weather Review","id":"ITEM-7","issue":"6","issued":{"date-parts":[["2013"]]},"page":"1842-1865","title":"Assimilation of High-Resolution Tropical Cyclone Observations with an Ensemble Kalman Filter Using NOAA/AOML/HRD's HEDAS: Evaluation of the 2008-11 Vortex-Scale Analyses","type":"article-journal","volume":"141"},"uris":["http://www.mendeley.com/documents/?uuid=dadd0527-a3c7-4bfb-9481-e1798e142e70"]},{"id":"ITEM-8","itemData":{"DOI":"10.1175/MWR-D-13-00028.1","ISSN":"0027-0644","author":[{"dropping-particle":"","family":"Schwartz","given":"Craig S.","non-dropping-particle":"","parse-names":false,"suffix":""},{"dropping-particle":"","family":"Liu","given":"Zhiquan","non-dropping-particle":"","parse-names":false,"suffix":""},{"dropping-particle":"","family":"Huang","given":"Xiang-Yu","non-dropping-particle":"","parse-names":false,"suffix":""},{"dropping-particle":"","family":"Kuo","given":"Ying-Hwa","non-dropping-particle":"","parse-names":false,"suffix":""},{"dropping-particle":"","family":"Fong","given":"Chin-Tzu","non-dropping-particle":"","parse-names":false,"suffix":""}],"container-title":"Monthly Weather Review","id":"ITEM-8","issue":"12","issued":{"date-parts":[["2013"]]},"page":"4350-4372","title":"Comparing Limited-Area 3DVAR and Hybrid Variational-Ensemble Data Assimilation Methods for Typhoon Track Forecasts: Sensitivity to Outer Loops and Vortex Relocation","type":"article-journal","volume":"141"},"uris":["http://www.mendeley.com/documents/?uuid=fa751570-18c1-4905-9093-c6007a890181"]},{"id":"ITEM-9","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Society","id":"ITEM-9","issue":"702","issued":{"date-parts":[["2017"]]},"page":"223-239","title":"GSI-based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assimilation","type":"article-journal","volume":"143"},"uris":["http://www.mendeley.com/documents/?uuid=c3225f76-d6f6-4c30-9c20-7f67e167eeaf"]}],"mendeley":{"formattedCitation":"(Torn and Hakim 2009a; Xiao et al. 2009; Zhang et al. 2009b, 2011; Li et al. 2012; Weng and Zhang 2012; Aksoy et al. 2013; Schwartz et al. 2013; Lu et al. 2017a)","plainTextFormattedCitation":"(Torn and Hakim 2009a; Xiao et al. 2009; Zhang et al. 2009b, 2011; Li et al. 2012; Weng and Zhang 2012; Aksoy et al. 2013; Schwartz et al. 2013; Lu et al. 2017a)","previouslyFormattedCitation":"(Torn and Hakim 2009a; Xiao et al. 2009; Zhang et al. 2009b, 2011; Li et al. 2012; Weng and Zhang 2012; Aksoy et al. 2013; Schwartz et al. 2013; Lu et al. 2017a)"},"properties":{"noteIndex":0},"schema":"https://github.com/citation-style-language/schema/raw/master/csl-citation.json"}</w:instrText>
      </w:r>
      <w:r w:rsidR="00EA468F" w:rsidRPr="5B610C6B">
        <w:rPr>
          <w:rFonts w:ascii="Times New Roman" w:hAnsi="Times New Roman" w:cs="Times New Roman"/>
          <w:sz w:val="24"/>
          <w:szCs w:val="24"/>
        </w:rPr>
        <w:fldChar w:fldCharType="separate"/>
      </w:r>
      <w:r w:rsidR="00EA468F" w:rsidRPr="00723DA9">
        <w:rPr>
          <w:rFonts w:ascii="Times New Roman" w:hAnsi="Times New Roman" w:cs="Times New Roman"/>
          <w:noProof/>
          <w:sz w:val="24"/>
          <w:szCs w:val="24"/>
        </w:rPr>
        <w:t>(Torn and Hakim 2009a; Xiao et al. 2009; Zhang et al. 2009b, 2011; Li et al. 2012; Weng and Zhang 2012; Aksoy et al. 2013; Schwartz et al. 2013; Lu et al. 2017a)</w:t>
      </w:r>
      <w:r w:rsidR="00EA468F" w:rsidRPr="5B610C6B">
        <w:fldChar w:fldCharType="end"/>
      </w:r>
      <w:r w:rsidR="00A42774" w:rsidRPr="00723DA9">
        <w:rPr>
          <w:rFonts w:ascii="Times New Roman" w:hAnsi="Times New Roman" w:cs="Times New Roman"/>
          <w:sz w:val="24"/>
          <w:szCs w:val="24"/>
        </w:rPr>
        <w:t>.</w:t>
      </w:r>
      <w:r w:rsidR="00A42774">
        <w:rPr>
          <w:rFonts w:ascii="Times New Roman" w:hAnsi="Times New Roman" w:cs="Times New Roman"/>
          <w:sz w:val="24"/>
          <w:szCs w:val="24"/>
        </w:rPr>
        <w:t xml:space="preserve">  </w:t>
      </w:r>
      <w:r w:rsidR="00105285">
        <w:rPr>
          <w:rFonts w:ascii="Times New Roman" w:hAnsi="Times New Roman" w:cs="Times New Roman"/>
          <w:sz w:val="24"/>
          <w:szCs w:val="24"/>
        </w:rPr>
        <w:t>N</w:t>
      </w:r>
      <w:r w:rsidR="00105285" w:rsidRPr="00105285">
        <w:rPr>
          <w:rFonts w:ascii="Times New Roman" w:hAnsi="Times New Roman" w:cs="Times New Roman"/>
          <w:sz w:val="24"/>
          <w:szCs w:val="24"/>
        </w:rPr>
        <w:t>evertheless</w:t>
      </w:r>
      <w:r w:rsidR="00FD1F72">
        <w:rPr>
          <w:rFonts w:ascii="Times New Roman" w:hAnsi="Times New Roman" w:cs="Times New Roman"/>
          <w:sz w:val="24"/>
          <w:szCs w:val="24"/>
        </w:rPr>
        <w:t xml:space="preserve">, it is unknown how the VI </w:t>
      </w:r>
      <w:r w:rsidR="00533A58">
        <w:rPr>
          <w:rFonts w:ascii="Times New Roman" w:hAnsi="Times New Roman" w:cs="Times New Roman"/>
          <w:sz w:val="24"/>
          <w:szCs w:val="24"/>
        </w:rPr>
        <w:t>should</w:t>
      </w:r>
      <w:r w:rsidR="00FD1F72">
        <w:rPr>
          <w:rFonts w:ascii="Times New Roman" w:hAnsi="Times New Roman" w:cs="Times New Roman"/>
          <w:sz w:val="24"/>
          <w:szCs w:val="24"/>
        </w:rPr>
        <w:t xml:space="preserve"> be integrated with DA in a continuously cycled DA system when the inner-core observations are </w:t>
      </w:r>
      <w:r w:rsidR="009E3EAC">
        <w:rPr>
          <w:rFonts w:ascii="Times New Roman" w:hAnsi="Times New Roman" w:cs="Times New Roman"/>
          <w:sz w:val="24"/>
          <w:szCs w:val="24"/>
        </w:rPr>
        <w:t xml:space="preserve">only </w:t>
      </w:r>
      <w:r w:rsidR="00FD1F72">
        <w:rPr>
          <w:rFonts w:ascii="Times New Roman" w:hAnsi="Times New Roman" w:cs="Times New Roman"/>
          <w:sz w:val="24"/>
          <w:szCs w:val="24"/>
        </w:rPr>
        <w:t>irregularly available</w:t>
      </w:r>
      <w:r w:rsidR="00FA6029">
        <w:rPr>
          <w:rFonts w:ascii="Times New Roman" w:hAnsi="Times New Roman" w:cs="Times New Roman"/>
          <w:sz w:val="24"/>
          <w:szCs w:val="24"/>
        </w:rPr>
        <w:t>;</w:t>
      </w:r>
      <w:r w:rsidR="00D20828">
        <w:rPr>
          <w:rFonts w:ascii="Times New Roman" w:hAnsi="Times New Roman" w:cs="Times New Roman"/>
          <w:sz w:val="24"/>
          <w:szCs w:val="24"/>
        </w:rPr>
        <w:t xml:space="preserve"> And (3) </w:t>
      </w:r>
      <w:r w:rsidR="00B47BB8">
        <w:rPr>
          <w:rFonts w:ascii="Times New Roman" w:hAnsi="Times New Roman" w:cs="Times New Roman"/>
          <w:sz w:val="24"/>
          <w:szCs w:val="24"/>
        </w:rPr>
        <w:t xml:space="preserve">TCs can be fast-evolving, especially during the rapid intensification or eyewall replacement processes.  Therefore, the </w:t>
      </w:r>
      <w:r w:rsidR="00124678" w:rsidRPr="00723DA9">
        <w:rPr>
          <w:rFonts w:ascii="Times New Roman" w:hAnsi="Times New Roman" w:cs="Times New Roman"/>
          <w:sz w:val="24"/>
          <w:szCs w:val="24"/>
        </w:rPr>
        <w:lastRenderedPageBreak/>
        <w:t xml:space="preserve">three-dimensional </w:t>
      </w:r>
      <w:r w:rsidR="00124678">
        <w:rPr>
          <w:rFonts w:ascii="Times New Roman" w:hAnsi="Times New Roman" w:cs="Times New Roman"/>
          <w:sz w:val="24"/>
          <w:szCs w:val="24"/>
        </w:rPr>
        <w:t>(</w:t>
      </w:r>
      <w:r w:rsidR="00B47BB8">
        <w:rPr>
          <w:rFonts w:ascii="Times New Roman" w:hAnsi="Times New Roman" w:cs="Times New Roman"/>
          <w:sz w:val="24"/>
          <w:szCs w:val="24"/>
        </w:rPr>
        <w:t>3D</w:t>
      </w:r>
      <w:r w:rsidR="00E20ABB">
        <w:rPr>
          <w:rFonts w:ascii="Times New Roman" w:hAnsi="Times New Roman" w:cs="Times New Roman"/>
          <w:sz w:val="24"/>
          <w:szCs w:val="24"/>
        </w:rPr>
        <w:t xml:space="preserve">) </w:t>
      </w:r>
      <w:proofErr w:type="spellStart"/>
      <w:r w:rsidR="00B47BB8">
        <w:rPr>
          <w:rFonts w:ascii="Times New Roman" w:hAnsi="Times New Roman" w:cs="Times New Roman"/>
          <w:sz w:val="24"/>
          <w:szCs w:val="24"/>
        </w:rPr>
        <w:t>EnVar</w:t>
      </w:r>
      <w:proofErr w:type="spellEnd"/>
      <w:r w:rsidR="00B47BB8">
        <w:rPr>
          <w:rFonts w:ascii="Times New Roman" w:hAnsi="Times New Roman" w:cs="Times New Roman"/>
          <w:sz w:val="24"/>
          <w:szCs w:val="24"/>
        </w:rPr>
        <w:t xml:space="preserve"> DA may not be enough to properly update the state at the analysis time in such scenarios </w:t>
      </w:r>
      <w:r w:rsidR="00B47BB8" w:rsidRPr="5B610C6B">
        <w:fldChar w:fldCharType="begin" w:fldLock="1"/>
      </w:r>
      <w:r w:rsidR="00B47BB8" w:rsidRPr="00723DA9">
        <w:rPr>
          <w:rFonts w:ascii="Times New Roman" w:hAnsi="Times New Roman" w:cs="Times New Roman"/>
          <w:sz w:val="24"/>
          <w:szCs w:val="24"/>
        </w:rPr>
        <w:instrText>ADDIN CSL_CITATION {"citationItems":[{"id":"ITEM-1","itemData":{"DOI":"10.1175/MWR-D-13-00303.1","ISSN":"0027-0644","author":[{"dropping-particle":"","family":"Wang","given":"Xuguang","non-dropping-particle":"","parse-names":false,"suffix":""},{"dropping-particle":"","family":"Lei","given":"Ting","non-dropping-particle":"","parse-names":false,"suffix":""}],"container-title":"Monthly Weather Review","id":"ITEM-1","issue":"9","issued":{"date-parts":[["2014"]]},"page":"3303-3325","title":"GSI-Based Four-Dimensional Ensemble–Variational (4DEnsVar) Data Assimilation: Formulation and Single-Resolution Experiments with Real Data for NCEP Global Forecast System","type":"article-journal","volume":"142"},"uris":["http://www.mendeley.com/documents/?uuid=f295b23c-2791-41f1-8a74-218a53b815e3"]}],"mendeley":{"formattedCitation":"(Wang and Lei 2014)","plainTextFormattedCitation":"(Wang and Lei 2014)","previouslyFormattedCitation":"(Wang and Lei 2014)"},"properties":{"noteIndex":0},"schema":"https://github.com/citation-style-language/schema/raw/master/csl-citation.json"}</w:instrText>
      </w:r>
      <w:r w:rsidR="00B47BB8" w:rsidRPr="5B610C6B">
        <w:rPr>
          <w:rFonts w:ascii="Times New Roman" w:hAnsi="Times New Roman" w:cs="Times New Roman"/>
          <w:sz w:val="24"/>
          <w:szCs w:val="24"/>
        </w:rPr>
        <w:fldChar w:fldCharType="separate"/>
      </w:r>
      <w:r w:rsidR="00B47BB8" w:rsidRPr="00723DA9">
        <w:rPr>
          <w:rFonts w:ascii="Times New Roman" w:hAnsi="Times New Roman" w:cs="Times New Roman"/>
          <w:noProof/>
          <w:sz w:val="24"/>
          <w:szCs w:val="24"/>
        </w:rPr>
        <w:t>(Wang and Lei 2014)</w:t>
      </w:r>
      <w:r w:rsidR="00B47BB8" w:rsidRPr="5B610C6B">
        <w:fldChar w:fldCharType="end"/>
      </w:r>
      <w:r w:rsidR="00FA6029">
        <w:rPr>
          <w:rFonts w:ascii="Times New Roman" w:hAnsi="Times New Roman" w:cs="Times New Roman"/>
          <w:sz w:val="24"/>
          <w:szCs w:val="24"/>
        </w:rPr>
        <w:t xml:space="preserve">.  </w:t>
      </w:r>
      <w:r w:rsidR="00A42774">
        <w:rPr>
          <w:rFonts w:ascii="Times New Roman" w:hAnsi="Times New Roman" w:cs="Times New Roman"/>
          <w:sz w:val="24"/>
          <w:szCs w:val="24"/>
        </w:rPr>
        <w:t xml:space="preserve">These scientific </w:t>
      </w:r>
      <w:r w:rsidR="00FD1F72">
        <w:rPr>
          <w:rFonts w:ascii="Times New Roman" w:hAnsi="Times New Roman" w:cs="Times New Roman"/>
          <w:sz w:val="24"/>
          <w:szCs w:val="24"/>
        </w:rPr>
        <w:t xml:space="preserve">challenges </w:t>
      </w:r>
      <w:r w:rsidR="006220E0">
        <w:rPr>
          <w:rFonts w:ascii="Times New Roman" w:hAnsi="Times New Roman" w:cs="Times New Roman"/>
          <w:sz w:val="24"/>
          <w:szCs w:val="24"/>
        </w:rPr>
        <w:t>then</w:t>
      </w:r>
      <w:r w:rsidR="00FD1F72">
        <w:rPr>
          <w:rFonts w:ascii="Times New Roman" w:hAnsi="Times New Roman" w:cs="Times New Roman"/>
          <w:sz w:val="24"/>
          <w:szCs w:val="24"/>
        </w:rPr>
        <w:t xml:space="preserve"> trigger the </w:t>
      </w:r>
      <w:r w:rsidR="00A42774">
        <w:rPr>
          <w:rFonts w:ascii="Times New Roman" w:hAnsi="Times New Roman" w:cs="Times New Roman"/>
          <w:sz w:val="24"/>
          <w:szCs w:val="24"/>
        </w:rPr>
        <w:t>i</w:t>
      </w:r>
      <w:r w:rsidR="00204972">
        <w:rPr>
          <w:rFonts w:ascii="Times New Roman" w:hAnsi="Times New Roman" w:cs="Times New Roman"/>
          <w:sz w:val="24"/>
          <w:szCs w:val="24"/>
        </w:rPr>
        <w:t xml:space="preserve">nvestigations on the optimal DA and system configurations to assimilate the vortex-scale inner-core observations in Chapter 3.  </w:t>
      </w:r>
      <w:r w:rsidR="00973DD0" w:rsidRPr="00723DA9">
        <w:rPr>
          <w:rFonts w:ascii="Times New Roman" w:hAnsi="Times New Roman" w:cs="Times New Roman"/>
          <w:sz w:val="24"/>
          <w:szCs w:val="24"/>
        </w:rPr>
        <w:t xml:space="preserve">With some of the results presented in this </w:t>
      </w:r>
      <w:r w:rsidR="00484A04" w:rsidRPr="00723DA9">
        <w:rPr>
          <w:rFonts w:ascii="Times New Roman" w:hAnsi="Times New Roman" w:cs="Times New Roman"/>
          <w:sz w:val="24"/>
          <w:szCs w:val="24"/>
        </w:rPr>
        <w:t>dissertation</w:t>
      </w:r>
      <w:r w:rsidR="00973DD0" w:rsidRPr="00723DA9">
        <w:rPr>
          <w:rFonts w:ascii="Times New Roman" w:hAnsi="Times New Roman" w:cs="Times New Roman"/>
          <w:sz w:val="24"/>
          <w:szCs w:val="24"/>
        </w:rPr>
        <w:t xml:space="preserve"> (e.g. the self-cycled background error covariances to be discussed in </w:t>
      </w:r>
      <w:r w:rsidR="00E22E12" w:rsidRPr="00723DA9">
        <w:rPr>
          <w:rFonts w:ascii="Times New Roman" w:hAnsi="Times New Roman" w:cs="Times New Roman"/>
          <w:sz w:val="24"/>
          <w:szCs w:val="24"/>
        </w:rPr>
        <w:t>Chapter</w:t>
      </w:r>
      <w:r w:rsidR="00973DD0" w:rsidRPr="00723DA9">
        <w:rPr>
          <w:rFonts w:ascii="Times New Roman" w:hAnsi="Times New Roman" w:cs="Times New Roman"/>
          <w:sz w:val="24"/>
          <w:szCs w:val="24"/>
        </w:rPr>
        <w:t xml:space="preserve"> 3), t</w:t>
      </w:r>
      <w:r w:rsidR="007429FD" w:rsidRPr="00723DA9">
        <w:rPr>
          <w:rFonts w:ascii="Times New Roman" w:hAnsi="Times New Roman" w:cs="Times New Roman"/>
          <w:sz w:val="24"/>
          <w:szCs w:val="24"/>
        </w:rPr>
        <w:t xml:space="preserve">he </w:t>
      </w:r>
      <w:r w:rsidR="00307AD0" w:rsidRPr="00723DA9">
        <w:rPr>
          <w:rFonts w:ascii="Times New Roman" w:hAnsi="Times New Roman" w:cs="Times New Roman"/>
          <w:sz w:val="24"/>
          <w:szCs w:val="24"/>
        </w:rPr>
        <w:t xml:space="preserve">new </w:t>
      </w:r>
      <w:r w:rsidR="007429FD" w:rsidRPr="00723DA9">
        <w:rPr>
          <w:rFonts w:ascii="Times New Roman" w:hAnsi="Times New Roman" w:cs="Times New Roman"/>
          <w:sz w:val="24"/>
          <w:szCs w:val="24"/>
        </w:rPr>
        <w:t>system</w:t>
      </w:r>
      <w:r w:rsidR="00440072" w:rsidRPr="00723DA9">
        <w:rPr>
          <w:rFonts w:ascii="Times New Roman" w:hAnsi="Times New Roman" w:cs="Times New Roman"/>
          <w:sz w:val="24"/>
          <w:szCs w:val="24"/>
        </w:rPr>
        <w:t xml:space="preserve"> ha</w:t>
      </w:r>
      <w:r w:rsidR="007429FD" w:rsidRPr="00723DA9">
        <w:rPr>
          <w:rFonts w:ascii="Times New Roman" w:hAnsi="Times New Roman" w:cs="Times New Roman"/>
          <w:sz w:val="24"/>
          <w:szCs w:val="24"/>
        </w:rPr>
        <w:t>s</w:t>
      </w:r>
      <w:r w:rsidR="00440072" w:rsidRPr="00723DA9">
        <w:rPr>
          <w:rFonts w:ascii="Times New Roman" w:hAnsi="Times New Roman" w:cs="Times New Roman"/>
          <w:sz w:val="24"/>
          <w:szCs w:val="24"/>
        </w:rPr>
        <w:t xml:space="preserve"> been </w:t>
      </w:r>
      <w:r w:rsidR="007429FD" w:rsidRPr="00723DA9">
        <w:rPr>
          <w:rFonts w:ascii="Times New Roman" w:hAnsi="Times New Roman" w:cs="Times New Roman"/>
          <w:sz w:val="24"/>
          <w:szCs w:val="24"/>
        </w:rPr>
        <w:t>partially implemented into</w:t>
      </w:r>
      <w:r w:rsidR="00555BFE" w:rsidRPr="00723DA9">
        <w:rPr>
          <w:rFonts w:ascii="Times New Roman" w:hAnsi="Times New Roman" w:cs="Times New Roman"/>
          <w:sz w:val="24"/>
          <w:szCs w:val="24"/>
        </w:rPr>
        <w:t xml:space="preserve"> the</w:t>
      </w:r>
      <w:r w:rsidR="00900CC9" w:rsidRPr="00723DA9">
        <w:rPr>
          <w:rFonts w:ascii="Times New Roman" w:hAnsi="Times New Roman" w:cs="Times New Roman"/>
          <w:sz w:val="24"/>
          <w:szCs w:val="24"/>
        </w:rPr>
        <w:t xml:space="preserve"> operational HWRF</w:t>
      </w:r>
      <w:r w:rsidR="00555BFE" w:rsidRPr="00723DA9">
        <w:rPr>
          <w:rFonts w:ascii="Times New Roman" w:hAnsi="Times New Roman" w:cs="Times New Roman"/>
          <w:sz w:val="24"/>
          <w:szCs w:val="24"/>
        </w:rPr>
        <w:t xml:space="preserve"> since </w:t>
      </w:r>
      <w:r w:rsidR="00973DD0" w:rsidRPr="00B90A27">
        <w:rPr>
          <w:rFonts w:ascii="Times New Roman" w:hAnsi="Times New Roman" w:cs="Times New Roman"/>
          <w:sz w:val="24"/>
          <w:szCs w:val="24"/>
        </w:rPr>
        <w:t>2017</w:t>
      </w:r>
      <w:r w:rsidR="005C1A60" w:rsidRPr="00B90A27">
        <w:rPr>
          <w:rFonts w:ascii="Times New Roman" w:hAnsi="Times New Roman" w:cs="Times New Roman"/>
          <w:sz w:val="24"/>
          <w:szCs w:val="24"/>
        </w:rPr>
        <w:t xml:space="preserve"> (Tong et al. 2018)</w:t>
      </w:r>
      <w:r w:rsidR="00900CC9" w:rsidRPr="00B90A27">
        <w:rPr>
          <w:rFonts w:ascii="Times New Roman" w:hAnsi="Times New Roman" w:cs="Times New Roman"/>
          <w:sz w:val="24"/>
          <w:szCs w:val="24"/>
        </w:rPr>
        <w:t>.</w:t>
      </w:r>
    </w:p>
    <w:p w14:paraId="7C2D10E8" w14:textId="6BC4E716" w:rsidR="00595CF7" w:rsidRPr="00723DA9" w:rsidRDefault="008254CD" w:rsidP="5B610C6B">
      <w:pPr>
        <w:spacing w:after="0" w:line="480" w:lineRule="auto"/>
        <w:ind w:firstLine="432"/>
        <w:rPr>
          <w:rFonts w:ascii="Times New Roman" w:hAnsi="Times New Roman" w:cs="Times New Roman"/>
          <w:sz w:val="24"/>
          <w:szCs w:val="24"/>
        </w:rPr>
      </w:pPr>
      <w:r>
        <w:rPr>
          <w:rFonts w:ascii="Times New Roman" w:hAnsi="Times New Roman" w:cs="Times New Roman"/>
          <w:sz w:val="24"/>
          <w:szCs w:val="24"/>
        </w:rPr>
        <w:t>The spin-down has been a well-</w:t>
      </w:r>
      <w:r w:rsidRPr="003F0ED0">
        <w:rPr>
          <w:rFonts w:ascii="Times New Roman" w:hAnsi="Times New Roman" w:cs="Times New Roman"/>
          <w:sz w:val="24"/>
          <w:szCs w:val="24"/>
        </w:rPr>
        <w:t xml:space="preserve">known issue for the HWRF model for almost a decade </w:t>
      </w:r>
      <w:r w:rsidR="003F0ED0" w:rsidRPr="003F0ED0">
        <w:rPr>
          <w:rFonts w:ascii="Times New Roman" w:hAnsi="Times New Roman"/>
          <w:sz w:val="24"/>
          <w:szCs w:val="24"/>
        </w:rPr>
        <w:fldChar w:fldCharType="begin" w:fldLock="1"/>
      </w:r>
      <w:r w:rsidR="00711C4D">
        <w:rPr>
          <w:rFonts w:ascii="Times New Roman" w:hAnsi="Times New Roman"/>
          <w:sz w:val="24"/>
          <w:szCs w:val="24"/>
        </w:rPr>
        <w:instrText>ADDIN CSL_CITATION {"citationItems":[{"id":"ITEM-1","itemData":{"URL":"http://www.rsmas.miami.edu/assets/pdfs/mpo/seminars/2011fall/Sellwood_Abstract.pdf","accessed":{"date-parts":[["2017","11","19"]]},"author":[{"dropping-particle":"","family":"Sellwood","given":"Kathryn","non-dropping-particle":"","parse-names":false,"suffix":""}],"id":"ITEM-1","issued":{"date-parts":[["2011"]]},"title":"Investigating the Spin Down Problem in the HWRF model initialized from HEDAS initial condition","type":"webpage"},"uris":["http://www.mendeley.com/documents/?uuid=bfdb1495-bc18-3d9e-96e2-2593ccb1a2c9"]},{"id":"ITEM-2","itemData":{"author":[{"dropping-particle":"","family":"Bernardet","given":"Ligia","non-dropping-particle":"","parse-names":false,"suffix":""},{"dropping-particle":"","family":"Tallapragada","given":"","non-dropping-particle":"V.","parse-names":false,"suffix":""},{"dropping-particle":"","family":"C. Holt","given":"","non-dropping-particle":"","parse-names":false,"suffix":""},{"dropping-particle":"","family":"S. Trahan","given":"","non-dropping-particle":"","parse-names":false,"suffix":""},{"dropping-particle":"","family":"M. Biswas","given":"","non-dropping-particle":"","parse-names":false,"suffix":""},{"dropping-particle":"","family":"L. Carson","given":"","non-dropping-particle":"","parse-names":false,"suffix":""},{"dropping-particle":"","family":"H. Shao","given":"","non-dropping-particle":"","parse-names":false,"suffix":""},{"dropping-particle":"","family":"C. Zhou","given":"","non-dropping-particle":"","parse-names":false,"suffix":""}],"container-title":"6th NOAA Testbeds and Proving Grounds Workshop","id":"ITEM-2","issued":{"date-parts":[["2015"]]},"publisher-place":"Boulder, CO","title":"Transition of Research to the Operational Hurricane WRF model: the Role of the Developmental Testbed Center","type":"paper-conference"},"uris":["http://www.mendeley.com/documents/?uuid=2256ac2e-4fb8-3508-89ae-796fd9670344"]},{"id":"ITEM-3","itemData":{"author":[{"dropping-particle":"","family":"Tong","given":"Mingjing","non-dropping-particle":"","parse-names":false,"suffix":""},{"dropping-particle":"","family":"Tallapragada","given":"Vijay","non-dropping-particle":"","parse-names":false,"suffix":""},{"dropping-particle":"","family":"Liu","given":"Emily","non-dropping-particle":"","parse-names":false,"suffix":""},{"dropping-particle":"","family":"Wang","given":"Weiguo","non-dropping-particle":"","parse-names":false,"suffix":""},{"dropping-particle":"","family":"Kieu","given":"Chanh","non-dropping-particle":"","parse-names":false,"suffix":""},{"dropping-particle":"","family":"Liu","given":"Qingfu","non-dropping-particle":"","parse-names":false,"suffix":""},{"dropping-particle":"","family":"Zhan","given":"Banglin","non-dropping-particle":"","parse-names":false,"suffix":""}],"container-title":"2014 HFIP annual meeting","id":"ITEM-3","issued":{"date-parts":[["2014"]]},"title":"Impact of Assimilating Aircraft Reconnaissance Observations in Operational HWRF","type":"paper-conference"},"uris":["http://www.mendeley.com/documents/?uuid=0f52dd70-2e22-3712-aa59-e5d3850e6a5a"]},{"id":"ITEM-4","itemData":{"abstract":"In collabora7on with research and opera7onal centers , the Developmental Testbed Center (DTC) workstowardtheimprovementofDataAssimila7on(DA)andini7aliza7onofnumericalmodelsfortropicalcycloneforecas7ng.Recentworkhasbeenperformedintheframeworkofthe2014opera7onalHurricaneWeatherResearchandForecast(HWRF)model,whichappliedsomecri7calupdatestovariousaspectsofthesystemcomparedtothe2013HWRFsystem,including,butnotlimitedto,th</w:instrText>
      </w:r>
      <w:r w:rsidR="00711C4D">
        <w:rPr>
          <w:rFonts w:ascii="Times New Roman" w:hAnsi="Times New Roman" w:hint="eastAsia"/>
          <w:sz w:val="24"/>
          <w:szCs w:val="24"/>
        </w:rPr>
        <w:instrText>eupgradedvortexini7aliza7onscheme,andsomeimportantchangestothehybridvaria7onal-</w:instrText>
      </w:r>
      <w:r w:rsidR="00711C4D">
        <w:rPr>
          <w:rFonts w:ascii="Times New Roman" w:hAnsi="Times New Roman" w:hint="eastAsia"/>
          <w:sz w:val="24"/>
          <w:szCs w:val="24"/>
        </w:rPr>
        <w:instrText>­‐</w:instrText>
      </w:r>
      <w:r w:rsidR="00711C4D">
        <w:rPr>
          <w:rFonts w:ascii="Times New Roman" w:hAnsi="Times New Roman" w:hint="eastAsia"/>
          <w:sz w:val="24"/>
          <w:szCs w:val="24"/>
        </w:rPr>
        <w:instrText>ensembleconfigura7onoftheGridpointSta7s7calInterpola7on(GSI)system.Basedondiagnos7csofthetropicalstormintensityforecastsfromtheNa7onalCenterforEnvironmentalPredic7on(NCEP)/EnvironmentalModelingcenter(EMC)2014HWRFpre-</w:instrText>
      </w:r>
      <w:r w:rsidR="00711C4D">
        <w:rPr>
          <w:rFonts w:ascii="Times New Roman" w:hAnsi="Times New Roman" w:hint="eastAsia"/>
          <w:sz w:val="24"/>
          <w:szCs w:val="24"/>
        </w:rPr>
        <w:instrText>­‐</w:instrText>
      </w:r>
      <w:r w:rsidR="00711C4D">
        <w:rPr>
          <w:rFonts w:ascii="Times New Roman" w:hAnsi="Times New Roman" w:hint="eastAsia"/>
          <w:sz w:val="24"/>
          <w:szCs w:val="24"/>
        </w:rPr>
        <w:instrText>implementa7onruns,mul7pletropicalstormcaseshavebeenselectedforextensiveinves7ga7onsinthiswork,whoseintensityforecastschangerapidlyfromtoostrongtotooweakcomparedtotheobservedattheini7alforecasthours.Mul7plerunshavebeenconductedfortheselectedcasestostudytheimpactofnumerousconfigura7onsonhurricaneforecasts,withthemainfocusontacklingthetropicalstormintensityspin-</w:instrText>
      </w:r>
      <w:r w:rsidR="00711C4D">
        <w:rPr>
          <w:rFonts w:ascii="Times New Roman" w:hAnsi="Times New Roman" w:hint="eastAsia"/>
          <w:sz w:val="24"/>
          <w:szCs w:val="24"/>
        </w:rPr>
        <w:instrText>­‐</w:instrText>
      </w:r>
      <w:r w:rsidR="00711C4D">
        <w:rPr>
          <w:rFonts w:ascii="Times New Roman" w:hAnsi="Times New Roman" w:hint="eastAsia"/>
          <w:sz w:val="24"/>
          <w:szCs w:val="24"/>
        </w:rPr>
        <w:instrText>downissueswithinthe2014HWRFruns.Acknowledgments:ThisworkissponsoredbytheHurricaneForecastImprovementPro</w:instrText>
      </w:r>
      <w:r w:rsidR="00711C4D">
        <w:rPr>
          <w:rFonts w:ascii="Times New Roman" w:hAnsi="Times New Roman"/>
          <w:sz w:val="24"/>
          <w:szCs w:val="24"/>
        </w:rPr>
        <w:instrText>gram(HFIP).","author":[{"dropping-particle":"","family":"Zhou","given":"Chunhua","non-dropping-particle":"","parse-names":false,"suffix":""},{"dropping-particle":"","family":"Shao","given":"Hui","non-dropping-particle":"","parse-names":false,"suffix":""},</w:instrText>
      </w:r>
      <w:r w:rsidR="00711C4D">
        <w:rPr>
          <w:rFonts w:ascii="Times New Roman" w:hAnsi="Times New Roman" w:hint="eastAsia"/>
          <w:sz w:val="24"/>
          <w:szCs w:val="24"/>
        </w:rPr>
        <w:instrText>{"dropping-particle":"","family":"Bernardet","given":"Ligia","non-dropping-particle":"","parse-names":false,"suffix":""}],"container-title":"16th WRF users Workshop","id":"ITEM-4","issued":{"date-parts":[["2015"]]},"title":"Applications of the GSI</w:instrText>
      </w:r>
      <w:r w:rsidR="00711C4D">
        <w:rPr>
          <w:rFonts w:ascii="Times New Roman" w:hAnsi="Times New Roman" w:hint="eastAsia"/>
          <w:sz w:val="24"/>
          <w:szCs w:val="24"/>
        </w:rPr>
        <w:instrText>‐</w:instrText>
      </w:r>
      <w:r w:rsidR="00711C4D">
        <w:rPr>
          <w:rFonts w:ascii="Times New Roman" w:hAnsi="Times New Roman" w:hint="eastAsia"/>
          <w:sz w:val="24"/>
          <w:szCs w:val="24"/>
        </w:rPr>
        <w:instrText>Hybrid Data Assimilation for High</w:instrText>
      </w:r>
      <w:r w:rsidR="00711C4D">
        <w:rPr>
          <w:rFonts w:ascii="Times New Roman" w:hAnsi="Times New Roman" w:hint="eastAsia"/>
          <w:sz w:val="24"/>
          <w:szCs w:val="24"/>
        </w:rPr>
        <w:instrText>‐</w:instrText>
      </w:r>
      <w:r w:rsidR="00711C4D">
        <w:rPr>
          <w:rFonts w:ascii="Times New Roman" w:hAnsi="Times New Roman" w:hint="eastAsia"/>
          <w:sz w:val="24"/>
          <w:szCs w:val="24"/>
        </w:rPr>
        <w:instrText>Resolution Tropical Storm Forecasts: tackling the intensity spin-</w:instrText>
      </w:r>
      <w:r w:rsidR="00711C4D">
        <w:rPr>
          <w:rFonts w:ascii="Times New Roman" w:hAnsi="Times New Roman" w:hint="eastAsia"/>
          <w:sz w:val="24"/>
          <w:szCs w:val="24"/>
        </w:rPr>
        <w:instrText>­</w:instrText>
      </w:r>
      <w:r w:rsidR="00711C4D">
        <w:rPr>
          <w:rFonts w:ascii="Times New Roman" w:hAnsi="Times New Roman" w:hint="eastAsia"/>
          <w:sz w:val="24"/>
          <w:szCs w:val="24"/>
        </w:rPr>
        <w:instrText>down issue in 2014 HWRF","type":"paper-conference"},"uris":["http://www.mendeley.com/documents/?uuid=d4360853-3d14-3757-ac54-0ca97e08e787"]},{"id":"ITEM-5","itemD</w:instrText>
      </w:r>
      <w:r w:rsidR="00711C4D">
        <w:rPr>
          <w:rFonts w:ascii="Times New Roman" w:hAnsi="Times New Roman"/>
          <w:sz w:val="24"/>
          <w:szCs w:val="24"/>
        </w:rPr>
        <w:instrText>ata":{"URL":"https://ams.confex.com/ams/95Annual/webprogram/Paper269008.html","accessed":{"date-parts":[["2017","11","19"]]},"author":[{"dropping-particle":"","family":"Zhou","given":"Chunhua","non-dropping-particle":"","parse-names":false,"suffix":""},{"dropping-particle":"","family":"Shao","given":"H.","non-dropping-particle":"","parse-names":false,"suffix":""},{"dropping-particle":"","family":"Bernardet","given":"L. R.","non-dropping-particle":"","parse-names":false,"suffix":""},{"dropping-particle":"","family":"M. Tong","given":"","non-dropping-particle":"","parse-names":false,"suffix":""},{"dropping-particle":"","family":"Tallapragada","given":"","non-dropping-particle":"V.","parse-names":false,"suffix":""}],"container-title":"95th AMS Annual","id":"ITEM-5","issued":{"date-parts":[["2015"]]},"title":"Regional Applications of the GSI-Hybrid Data Assimilation for High-Resolution Tropical Storm Forecasts (95th American Meteorological Society Annual Meeting)","type":"webpage"},"uris":["http://www.mendeley.com/documents/?uuid=d950c86f-cf87-3969-ac28-e4ed7b50776b"]},{"id":"ITEM-6","itemData":{"DOI":"10.1175/JAS-D-16-0017.1","ISSN":"15200469","abstract":"AbstractAn initial vortex spindown, or strong adjustment to the structure and intensity of a hurricane’s initial vortex, presents a significant problem in hurricane forecasting, as with the NCEP Hurricane Weather Research and Forecasting Model (HWRF), because it can cause significantly degraded intensity forecasts. In this study, the influence of the self-consistent regional ensemble background error covariance on assimilating hurricane inner-core tail Doppler radar (TDR) observations in HWRF is examined with the NCEP gridpoint statistical interpolation (GSI)-based ensemble–three-dimensional variational (3DVAR) hybrid data assimilation system. It is found that the resolution of the background error covariance term, coming from the ensemble forecasts, has notable influence on the assimilation of hurricane inner-core observations and subsequent forecasting results. Specifically, the use of ensemble forecasting at high-resolution native grids results in significant reduction of the vortex spindown problem an...","author":[{"dropping-particle":"","family":"Pu","given":"Zhaoxia","non-dropping-particle":"","parse-names":false,"suffix":""},{"dropping-particle":"","family":"Zhang","given":"Shixuan","non-dropping-particle":"","parse-names":false,"suffix":""},{"dropping-particle":"","family":"Tong","given":"Mingjing","non-dropping-particle":"","parse-names":false,"suffix":""},{"dropping-particle":"","family":"Tallapragada","given":"Vijay","non-dropping-particle":"","parse-names":false,"suffix":""}],"container-title":"Journal of the Atmospheric Sciences","id":"ITEM-6","issue":"12","issued":{"date-parts":[["2016"]]},"page":"4911-4925","title":"Influence of the Self-Consistent Regional Ensemble Background Error Covariance on Hurricane Inner-Core Data Assimilation with the GSI-Based Hybrid System for HWRF","type":"article-journal","volume":"73"},"uris":["http://www.mendeley.com/documents/?uuid=dd4b5d30-3ca3-4d01-9a81-7ca30d07b7f4"]}],"mendeley":{"formattedCitation":"(Sellwood 2011; Bernardet et al. 2015; Tong et al. 2014; Zhou et al. 2015a,b; Pu et al. 2016)","manualFormatting":"(Bernardet et al. 2015; Zhou et al. 2015a,b; Pu et al. 2016; Tong et al. 2018)","plainTextFormattedCitation":"(Sellwood 2011; Bernardet et al. 2015; Tong et al. 2014; Zhou et al. 2015a,b; Pu et al. 2016)","previouslyFormattedCitation":"(Sellwood 2011; Bernardet et al. 2015; Tong et al. 2014; Zhou et al. 2015a,b; Pu et al. 2016)"},"properties":{"noteIndex":0},"schema":"https://github.com/citation-style-language/schema/raw/master/csl-citation.json"}</w:instrText>
      </w:r>
      <w:r w:rsidR="003F0ED0" w:rsidRPr="003F0ED0">
        <w:rPr>
          <w:rFonts w:ascii="Times New Roman" w:hAnsi="Times New Roman"/>
          <w:sz w:val="24"/>
          <w:szCs w:val="24"/>
        </w:rPr>
        <w:fldChar w:fldCharType="separate"/>
      </w:r>
      <w:r w:rsidR="003F0ED0" w:rsidRPr="003F0ED0">
        <w:rPr>
          <w:rFonts w:ascii="Times New Roman" w:hAnsi="Times New Roman"/>
          <w:noProof/>
          <w:sz w:val="24"/>
          <w:szCs w:val="24"/>
        </w:rPr>
        <w:t>(Bernardet et al. 2015; Zhou et al. 2015a,b; Pu et al. 2016; Tong et al. 2018)</w:t>
      </w:r>
      <w:r w:rsidR="003F0ED0" w:rsidRPr="003F0ED0">
        <w:rPr>
          <w:rFonts w:ascii="Times New Roman" w:hAnsi="Times New Roman"/>
          <w:sz w:val="24"/>
          <w:szCs w:val="24"/>
        </w:rPr>
        <w:fldChar w:fldCharType="end"/>
      </w:r>
      <w:r w:rsidR="003F0ED0" w:rsidRPr="003F0ED0">
        <w:rPr>
          <w:rFonts w:ascii="Times New Roman" w:hAnsi="Times New Roman"/>
          <w:sz w:val="24"/>
          <w:szCs w:val="24"/>
        </w:rPr>
        <w:t xml:space="preserve">. </w:t>
      </w:r>
      <w:r w:rsidR="003D12E6" w:rsidRPr="003F0ED0">
        <w:rPr>
          <w:rFonts w:ascii="Times New Roman" w:hAnsi="Times New Roman" w:cs="Times New Roman"/>
          <w:sz w:val="24"/>
          <w:szCs w:val="24"/>
        </w:rPr>
        <w:t>Some e</w:t>
      </w:r>
      <w:r w:rsidR="00B90A27" w:rsidRPr="003F0ED0">
        <w:rPr>
          <w:rFonts w:ascii="Times New Roman" w:hAnsi="Times New Roman" w:cs="Times New Roman"/>
          <w:sz w:val="24"/>
          <w:szCs w:val="24"/>
        </w:rPr>
        <w:t xml:space="preserve">arly studies attributed the issue to </w:t>
      </w:r>
      <w:r w:rsidR="00B90A27" w:rsidRPr="003F0ED0">
        <w:rPr>
          <w:rFonts w:ascii="Times New Roman" w:hAnsi="Times New Roman"/>
          <w:sz w:val="24"/>
          <w:szCs w:val="24"/>
        </w:rPr>
        <w:t>the unrealistic initial analysi</w:t>
      </w:r>
      <w:r w:rsidR="00B90A27" w:rsidRPr="00B90A27">
        <w:rPr>
          <w:rFonts w:ascii="Times New Roman" w:hAnsi="Times New Roman"/>
          <w:sz w:val="24"/>
          <w:szCs w:val="24"/>
        </w:rPr>
        <w:t xml:space="preserve">s </w:t>
      </w:r>
      <w:r w:rsidR="00B90A27" w:rsidRPr="5B610C6B">
        <w:fldChar w:fldCharType="begin" w:fldLock="1"/>
      </w:r>
      <w:r w:rsidR="007D0875">
        <w:rPr>
          <w:rFonts w:ascii="Times New Roman" w:hAnsi="Times New Roman"/>
          <w:sz w:val="24"/>
          <w:szCs w:val="24"/>
        </w:rPr>
        <w:instrText>ADDIN CSL_CITATION {"citationItems":[{"id":"ITEM-1","itemData":{"author":[{"dropping-particle":"","family":"Bernardet","given":"Ligia","non-dropping-particle":"","parse-names":false,"suffix":""},{"dropping-particle":"","family":"Tallapragada","given":"","non-dropping-particle":"V.","parse-names":false,"suffix":""},{"dropping-particle":"","family":"C. Holt","given":"","non-dropping-particle":"","parse-names":false,"suffix":""},{"dropping-particle":"","family":"S. Trahan","given":"","non-dropping-particle":"","parse-names":false,"suffix":""},{"dropping-particle":"","family":"M. Biswas","given":"","non-dropping-particle":"","parse-names":false,"suffix":""},{"dropping-particle":"","family":"L. Carson","given":"","non-dropping-particle":"","parse-names":false,"suffix":""},{"dropping-particle":"","family":"H. Shao","given":"","non-dropping-particle":"","parse-names":false,"suffix":""},{"dropping-particle":"","family":"C. Zhou","given":"","non-dropping-particle":"","parse-names":false,"suffix":""}],"container-title":"6th NOAA Testbeds and Proving Grounds Workshop","id":"ITEM-1","issued":{"date-parts":[["2015"]]},"publisher-place":"Boulder, CO","title":"Transition of Research to the Operational Hurricane WRF model: the Role of the Developmental Testbed Center","type":"paper-conference"},"uris":["http://www.mendeley.com/documents/?uuid=2256ac2e-4fb8-3508-89ae-796fd9670344"]},{"id":"ITEM-2","itemData":{"URL":"https://ams.confex.com/ams/95Annual/webprogram/Paper269008.html","accessed":{"date-parts":[["2017","11","19"]]},"author":[{"dropping-particle":"","family":"Zhou","given":"Chunhua","non-dropping-particle":"","parse-names":false,"suffix":""},{"dropping-particle":"","family":"Shao","given":"H.","non-dropping-particle":"","parse-names":false,"suffix":""},{"dropping-particle":"","family":"Bernardet","given":"L. R.","non-dropping-particle":"","parse-names":false,"suffix":""},{"dropping-particle":"","family":"M. Tong","given":"","non-dropping-particle":"","parse-names":false,"suffix":""},{"dropping-particle":"","family":"Tallapragada","given":"","non-dropping-particle":"V.","parse-names":false,"suffix":""}],"container-title":"95th AMS Annual","id":"ITEM-2","issued":{"date-parts":[["2015"]]},"title":"Regional Applications of the GSI-Hybrid Data Assimilation for High-Resolution Tropical Storm Forecasts (95th American Meteorological Society Annual Meeting)","type":"webpage"},"uris":["http://www.mendeley.com/documents/?uuid=d950c86f-cf87-3969-ac28-e4ed7b50776b"]},{"id":"ITEM-3","itemData":{"DOI":"10.1175/JAS-D-16-0017.1","ISSN":"15200469","abstract":"AbstractAn initial vortex spindown, or strong adjustment to the structure and intensity of a hurricane’s initial vortex, presents a significant problem in hurricane forecasting, as with the NCEP Hurricane Weather Research and Forecasting Model (HWRF), because it can cause significantly degraded intensity forecasts. In this study, the influence of the self-consistent regional ensemble background error covariance on assimilating hurricane inner-core tail Doppler radar (TDR) observations in HWRF is examined with the NCEP gridpoint statistical interpolation (GSI)-based ensemble–three-dimensional variational (3DVAR) hybrid data assimilation system. It is found that the resolution of the background error covariance term, coming from the ensemble forecasts, has notable influence on the assimilation of hurricane inner-core observations and subsequent forecasting results. Specifically, the use of ensemble forecasting at high-resolution native grids results in significant reduction of the vortex spindown problem an...","author":[{"dropping-particle":"","family":"Pu","given":"Zhaoxia","non-dropping-particle":"","parse-names":false,"suffix":""},{"dropping-particle":"","family":"Zhang","given":"Shixuan","non-dropping-particle":"","parse-names":false,"suffix":""},{"dropping-particle":"","family":"Tong","given":"Mingjing","non-dropping-particle":"","parse-names":false,"suffix":""},{"dropping-particle":"","family":"Tallapragada","given":"Vijay","non-dropping-particle":"","parse-names":false,"suffix":""}],"container-title":"Journal of the Atmospheric Sciences","id":"ITEM-3","issue":"12","issued":{"date-parts":[["2016"]]},"page":"4911-4925","title":"Influence of the Self-Consistent Regional Ensemble Background Error Covariance on Hurricane Inner-Core Data Assimilation with the GSI-Based Hybrid System for HWRF","type":"article-journal","volume":"73"},"uris":["http://www.mendeley.com/documents/?uuid=dd4b5d30-3ca3-4d01-9a81-7ca30d07b7f4"]}],"mendeley":{"formattedCitation":"(Bernardet et al. 2015; Zhou et al. 2015b; Pu et al. 2016)","plainTextFormattedCitation":"(Bernardet et al. 2015; Zhou et al. 2015b; Pu et al. 2016)","previouslyFormattedCitation":"(Bernardet et al. 2015; Zhou et al. 2015b; Pu et al. 2016)"},"properties":{"noteIndex":0},"schema":"https://github.com/citation-style-language/schema/raw/master/csl-citation.json"}</w:instrText>
      </w:r>
      <w:r w:rsidR="00B90A27" w:rsidRPr="5B610C6B">
        <w:rPr>
          <w:rFonts w:ascii="Times New Roman" w:hAnsi="Times New Roman"/>
          <w:sz w:val="24"/>
          <w:szCs w:val="24"/>
        </w:rPr>
        <w:fldChar w:fldCharType="separate"/>
      </w:r>
      <w:r w:rsidR="003F0ED0" w:rsidRPr="003F0ED0">
        <w:rPr>
          <w:rFonts w:ascii="Times New Roman" w:hAnsi="Times New Roman"/>
          <w:noProof/>
          <w:sz w:val="24"/>
          <w:szCs w:val="24"/>
        </w:rPr>
        <w:t>(Bernardet et al. 2015; Zhou et al. 2015b; Pu et al. 2016)</w:t>
      </w:r>
      <w:r w:rsidR="00B90A27" w:rsidRPr="5B610C6B">
        <w:fldChar w:fldCharType="end"/>
      </w:r>
      <w:r w:rsidR="003D12E6">
        <w:rPr>
          <w:rFonts w:ascii="Times New Roman" w:hAnsi="Times New Roman"/>
          <w:sz w:val="24"/>
          <w:szCs w:val="24"/>
        </w:rPr>
        <w:t>, and some other studies associated the issue with the insufficient model physics</w:t>
      </w:r>
      <w:r w:rsidR="003D12E6" w:rsidRPr="003D12E6">
        <w:t xml:space="preserve"> </w:t>
      </w:r>
      <w:r w:rsidR="003D12E6" w:rsidRPr="003D12E6">
        <w:rPr>
          <w:rFonts w:ascii="Times New Roman" w:hAnsi="Times New Roman"/>
          <w:sz w:val="24"/>
          <w:szCs w:val="24"/>
        </w:rPr>
        <w:t>(</w:t>
      </w:r>
      <w:proofErr w:type="spellStart"/>
      <w:r w:rsidR="003D12E6" w:rsidRPr="003D12E6">
        <w:rPr>
          <w:rFonts w:ascii="Times New Roman" w:hAnsi="Times New Roman"/>
          <w:sz w:val="24"/>
          <w:szCs w:val="24"/>
        </w:rPr>
        <w:t>Vukicevic</w:t>
      </w:r>
      <w:proofErr w:type="spellEnd"/>
      <w:r w:rsidR="003D12E6" w:rsidRPr="003D12E6">
        <w:rPr>
          <w:rFonts w:ascii="Times New Roman" w:hAnsi="Times New Roman"/>
          <w:sz w:val="24"/>
          <w:szCs w:val="24"/>
        </w:rPr>
        <w:t xml:space="preserve"> et al. 2013; Tong et al. 2018)</w:t>
      </w:r>
      <w:r w:rsidR="00B90A27" w:rsidRPr="00B90A27">
        <w:rPr>
          <w:rFonts w:ascii="Times New Roman" w:hAnsi="Times New Roman"/>
          <w:sz w:val="24"/>
          <w:szCs w:val="24"/>
        </w:rPr>
        <w:t xml:space="preserve">.  </w:t>
      </w:r>
      <w:r w:rsidR="002A0EBB">
        <w:rPr>
          <w:rFonts w:ascii="Times New Roman" w:hAnsi="Times New Roman"/>
          <w:sz w:val="24"/>
          <w:szCs w:val="24"/>
        </w:rPr>
        <w:t>Nevertheless</w:t>
      </w:r>
      <w:r w:rsidR="00CF4DD4">
        <w:rPr>
          <w:rFonts w:ascii="Times New Roman" w:hAnsi="Times New Roman"/>
          <w:sz w:val="24"/>
          <w:szCs w:val="24"/>
        </w:rPr>
        <w:t>, th</w:t>
      </w:r>
      <w:r w:rsidR="00EC47C2">
        <w:rPr>
          <w:rFonts w:ascii="Times New Roman" w:hAnsi="Times New Roman"/>
          <w:sz w:val="24"/>
          <w:szCs w:val="24"/>
        </w:rPr>
        <w:t>e</w:t>
      </w:r>
      <w:r w:rsidR="00CF4DD4">
        <w:rPr>
          <w:rFonts w:ascii="Times New Roman" w:hAnsi="Times New Roman"/>
          <w:sz w:val="24"/>
          <w:szCs w:val="24"/>
        </w:rPr>
        <w:t>se</w:t>
      </w:r>
      <w:r w:rsidR="00C90556">
        <w:rPr>
          <w:rFonts w:ascii="Times New Roman" w:hAnsi="Times New Roman"/>
          <w:sz w:val="24"/>
          <w:szCs w:val="24"/>
        </w:rPr>
        <w:t xml:space="preserve"> studies were </w:t>
      </w:r>
      <w:r w:rsidR="00DB713F">
        <w:rPr>
          <w:rFonts w:ascii="Times New Roman" w:hAnsi="Times New Roman"/>
          <w:sz w:val="24"/>
          <w:szCs w:val="24"/>
        </w:rPr>
        <w:t>based on</w:t>
      </w:r>
      <w:r w:rsidR="00C90556">
        <w:rPr>
          <w:rFonts w:ascii="Times New Roman" w:hAnsi="Times New Roman"/>
          <w:sz w:val="24"/>
          <w:szCs w:val="24"/>
        </w:rPr>
        <w:t xml:space="preserve"> a DA and system configuration similar or equivalent to the operational HWRF.  </w:t>
      </w:r>
      <w:r w:rsidR="00C050DB">
        <w:rPr>
          <w:rFonts w:ascii="Times New Roman" w:hAnsi="Times New Roman"/>
          <w:sz w:val="24"/>
          <w:szCs w:val="24"/>
        </w:rPr>
        <w:t>Hence</w:t>
      </w:r>
      <w:r w:rsidR="00EC47C2">
        <w:rPr>
          <w:rFonts w:ascii="Times New Roman" w:hAnsi="Times New Roman"/>
          <w:sz w:val="24"/>
          <w:szCs w:val="24"/>
        </w:rPr>
        <w:t xml:space="preserve">, the unrealistic </w:t>
      </w:r>
      <w:r w:rsidR="00BF79C7">
        <w:rPr>
          <w:rFonts w:ascii="Times New Roman" w:hAnsi="Times New Roman"/>
          <w:sz w:val="24"/>
          <w:szCs w:val="24"/>
        </w:rPr>
        <w:t>initial conditions</w:t>
      </w:r>
      <w:r w:rsidR="00EC47C2">
        <w:rPr>
          <w:rFonts w:ascii="Times New Roman" w:hAnsi="Times New Roman"/>
          <w:sz w:val="24"/>
          <w:szCs w:val="24"/>
        </w:rPr>
        <w:t xml:space="preserve"> can be a result of lacking efficient DA configuration</w:t>
      </w:r>
      <w:r w:rsidR="00721B0E">
        <w:rPr>
          <w:rFonts w:ascii="Times New Roman" w:hAnsi="Times New Roman"/>
          <w:sz w:val="24"/>
          <w:szCs w:val="24"/>
        </w:rPr>
        <w:t xml:space="preserve"> and may complicate the </w:t>
      </w:r>
      <w:r w:rsidR="00B078BE">
        <w:rPr>
          <w:rFonts w:ascii="Times New Roman" w:hAnsi="Times New Roman"/>
          <w:sz w:val="24"/>
          <w:szCs w:val="24"/>
        </w:rPr>
        <w:t>factors</w:t>
      </w:r>
      <w:r w:rsidR="00721B0E">
        <w:rPr>
          <w:rFonts w:ascii="Times New Roman" w:hAnsi="Times New Roman"/>
          <w:sz w:val="24"/>
          <w:szCs w:val="24"/>
        </w:rPr>
        <w:t xml:space="preserve"> for </w:t>
      </w:r>
      <w:r w:rsidR="00AD77EF">
        <w:rPr>
          <w:rFonts w:ascii="Times New Roman" w:hAnsi="Times New Roman"/>
          <w:sz w:val="24"/>
          <w:szCs w:val="24"/>
        </w:rPr>
        <w:t xml:space="preserve">the </w:t>
      </w:r>
      <w:r w:rsidR="00721B0E">
        <w:rPr>
          <w:rFonts w:ascii="Times New Roman" w:hAnsi="Times New Roman"/>
          <w:sz w:val="24"/>
          <w:szCs w:val="24"/>
        </w:rPr>
        <w:t>spin-down issue</w:t>
      </w:r>
      <w:r w:rsidR="00EC47C2">
        <w:rPr>
          <w:rFonts w:ascii="Times New Roman" w:hAnsi="Times New Roman"/>
          <w:sz w:val="24"/>
          <w:szCs w:val="24"/>
        </w:rPr>
        <w:t xml:space="preserve">.  </w:t>
      </w:r>
      <w:r w:rsidR="00C90556">
        <w:rPr>
          <w:rFonts w:ascii="Times New Roman" w:hAnsi="Times New Roman"/>
          <w:sz w:val="24"/>
          <w:szCs w:val="24"/>
        </w:rPr>
        <w:t>Therefore,</w:t>
      </w:r>
      <w:r w:rsidR="00CF4DD4">
        <w:rPr>
          <w:rFonts w:ascii="Times New Roman" w:hAnsi="Times New Roman"/>
          <w:sz w:val="24"/>
          <w:szCs w:val="24"/>
        </w:rPr>
        <w:t xml:space="preserve"> </w:t>
      </w:r>
      <w:r w:rsidR="000D47FF">
        <w:rPr>
          <w:rFonts w:ascii="Times New Roman" w:hAnsi="Times New Roman"/>
          <w:sz w:val="24"/>
          <w:szCs w:val="24"/>
        </w:rPr>
        <w:t>it is worth</w:t>
      </w:r>
      <w:r w:rsidR="00555BCB">
        <w:rPr>
          <w:rFonts w:ascii="Times New Roman" w:hAnsi="Times New Roman"/>
          <w:sz w:val="24"/>
          <w:szCs w:val="24"/>
        </w:rPr>
        <w:t>y of</w:t>
      </w:r>
      <w:r w:rsidR="000D47FF">
        <w:rPr>
          <w:rFonts w:ascii="Times New Roman" w:hAnsi="Times New Roman"/>
          <w:sz w:val="24"/>
          <w:szCs w:val="24"/>
        </w:rPr>
        <w:t xml:space="preserve"> further investigations on </w:t>
      </w:r>
      <w:r w:rsidR="00B078BE">
        <w:rPr>
          <w:rFonts w:ascii="Times New Roman" w:hAnsi="Times New Roman"/>
          <w:sz w:val="24"/>
          <w:szCs w:val="24"/>
        </w:rPr>
        <w:t>the</w:t>
      </w:r>
      <w:r w:rsidR="000D47FF">
        <w:rPr>
          <w:rFonts w:ascii="Times New Roman" w:hAnsi="Times New Roman"/>
          <w:sz w:val="24"/>
          <w:szCs w:val="24"/>
        </w:rPr>
        <w:t xml:space="preserve"> issue with a more realistic </w:t>
      </w:r>
      <w:r w:rsidR="00F16F8A">
        <w:rPr>
          <w:rFonts w:ascii="Times New Roman" w:hAnsi="Times New Roman"/>
          <w:sz w:val="24"/>
          <w:szCs w:val="24"/>
        </w:rPr>
        <w:t xml:space="preserve">initial </w:t>
      </w:r>
      <w:r w:rsidR="000D47FF">
        <w:rPr>
          <w:rFonts w:ascii="Times New Roman" w:hAnsi="Times New Roman"/>
          <w:sz w:val="24"/>
          <w:szCs w:val="24"/>
        </w:rPr>
        <w:t xml:space="preserve">analysis produced through </w:t>
      </w:r>
      <w:r w:rsidR="00933D68">
        <w:rPr>
          <w:rFonts w:ascii="Times New Roman" w:hAnsi="Times New Roman"/>
          <w:sz w:val="24"/>
          <w:szCs w:val="24"/>
        </w:rPr>
        <w:t>our</w:t>
      </w:r>
      <w:r w:rsidR="000D47FF">
        <w:rPr>
          <w:rFonts w:ascii="Times New Roman" w:hAnsi="Times New Roman"/>
          <w:sz w:val="24"/>
          <w:szCs w:val="24"/>
        </w:rPr>
        <w:t xml:space="preserve"> advanced </w:t>
      </w:r>
      <w:r w:rsidR="0079160E">
        <w:rPr>
          <w:rFonts w:ascii="Times New Roman" w:hAnsi="Times New Roman"/>
          <w:sz w:val="24"/>
          <w:szCs w:val="24"/>
        </w:rPr>
        <w:t xml:space="preserve">DA system.  </w:t>
      </w:r>
      <w:r w:rsidR="00ED59E5" w:rsidRPr="00B90A27">
        <w:rPr>
          <w:rFonts w:ascii="Times New Roman" w:hAnsi="Times New Roman" w:cs="Times New Roman"/>
          <w:sz w:val="24"/>
          <w:szCs w:val="24"/>
        </w:rPr>
        <w:t xml:space="preserve">It will </w:t>
      </w:r>
      <w:r w:rsidR="00281E0D" w:rsidRPr="00B90A27">
        <w:rPr>
          <w:rFonts w:ascii="Times New Roman" w:hAnsi="Times New Roman" w:cs="Times New Roman"/>
          <w:sz w:val="24"/>
          <w:szCs w:val="24"/>
        </w:rPr>
        <w:t xml:space="preserve">be </w:t>
      </w:r>
      <w:r w:rsidR="00ED59E5" w:rsidRPr="00B90A27">
        <w:rPr>
          <w:rFonts w:ascii="Times New Roman" w:hAnsi="Times New Roman" w:cs="Times New Roman"/>
          <w:sz w:val="24"/>
          <w:szCs w:val="24"/>
        </w:rPr>
        <w:t>show</w:t>
      </w:r>
      <w:r w:rsidR="00281E0D" w:rsidRPr="00B90A27">
        <w:rPr>
          <w:rFonts w:ascii="Times New Roman" w:hAnsi="Times New Roman" w:cs="Times New Roman"/>
          <w:sz w:val="24"/>
          <w:szCs w:val="24"/>
        </w:rPr>
        <w:t>n in Chapter 4.3</w:t>
      </w:r>
      <w:r w:rsidR="00ED59E5" w:rsidRPr="00B90A27">
        <w:rPr>
          <w:rFonts w:ascii="Times New Roman" w:hAnsi="Times New Roman" w:cs="Times New Roman"/>
          <w:sz w:val="24"/>
          <w:szCs w:val="24"/>
        </w:rPr>
        <w:t xml:space="preserve"> that the spin-down is more likely to</w:t>
      </w:r>
      <w:r w:rsidR="00ED59E5">
        <w:rPr>
          <w:rFonts w:ascii="Times New Roman" w:hAnsi="Times New Roman" w:cs="Times New Roman"/>
          <w:sz w:val="24"/>
          <w:szCs w:val="24"/>
        </w:rPr>
        <w:t xml:space="preserve"> be related to the model physics deficiencies</w:t>
      </w:r>
      <w:r w:rsidR="00105353">
        <w:rPr>
          <w:rFonts w:ascii="Times New Roman" w:hAnsi="Times New Roman" w:cs="Times New Roman"/>
          <w:sz w:val="24"/>
          <w:szCs w:val="24"/>
        </w:rPr>
        <w:t xml:space="preserve"> given a realistic DA analysi</w:t>
      </w:r>
      <w:r w:rsidR="002F3228">
        <w:rPr>
          <w:rFonts w:ascii="Times New Roman" w:hAnsi="Times New Roman" w:cs="Times New Roman"/>
          <w:sz w:val="24"/>
          <w:szCs w:val="24"/>
        </w:rPr>
        <w:t>s</w:t>
      </w:r>
      <w:r w:rsidR="00ED59E5">
        <w:rPr>
          <w:rFonts w:ascii="Times New Roman" w:hAnsi="Times New Roman" w:cs="Times New Roman"/>
          <w:sz w:val="24"/>
          <w:szCs w:val="24"/>
        </w:rPr>
        <w:t xml:space="preserve">.  </w:t>
      </w:r>
      <w:r w:rsidR="003A164A">
        <w:rPr>
          <w:rFonts w:ascii="Times New Roman" w:hAnsi="Times New Roman" w:cs="Times New Roman"/>
          <w:sz w:val="24"/>
          <w:szCs w:val="24"/>
        </w:rPr>
        <w:t>Then</w:t>
      </w:r>
      <w:r w:rsidR="00ED59E5">
        <w:rPr>
          <w:rFonts w:ascii="Times New Roman" w:hAnsi="Times New Roman" w:cs="Times New Roman"/>
          <w:sz w:val="24"/>
          <w:szCs w:val="24"/>
        </w:rPr>
        <w:t>, Chapter 4.4</w:t>
      </w:r>
      <w:r w:rsidR="00700A88">
        <w:rPr>
          <w:rFonts w:ascii="Times New Roman" w:hAnsi="Times New Roman" w:cs="Times New Roman"/>
          <w:sz w:val="24"/>
          <w:szCs w:val="24"/>
        </w:rPr>
        <w:t xml:space="preserve"> and Chapter 4.5</w:t>
      </w:r>
      <w:r w:rsidR="60B54FDB" w:rsidRPr="00723DA9">
        <w:rPr>
          <w:rFonts w:ascii="Times New Roman" w:hAnsi="Times New Roman" w:cs="Times New Roman"/>
          <w:sz w:val="24"/>
          <w:szCs w:val="24"/>
        </w:rPr>
        <w:t xml:space="preserve"> </w:t>
      </w:r>
      <w:r w:rsidR="009E370C">
        <w:rPr>
          <w:rFonts w:ascii="Times New Roman" w:hAnsi="Times New Roman" w:cs="Times New Roman"/>
          <w:sz w:val="24"/>
          <w:szCs w:val="24"/>
        </w:rPr>
        <w:t>explores</w:t>
      </w:r>
      <w:r w:rsidR="60B54FDB" w:rsidRPr="00723DA9">
        <w:rPr>
          <w:rFonts w:ascii="Times New Roman" w:hAnsi="Times New Roman" w:cs="Times New Roman"/>
          <w:sz w:val="24"/>
          <w:szCs w:val="24"/>
        </w:rPr>
        <w:t xml:space="preserve"> </w:t>
      </w:r>
      <w:r w:rsidR="007B0E91">
        <w:rPr>
          <w:rFonts w:ascii="Times New Roman" w:hAnsi="Times New Roman" w:cs="Times New Roman"/>
          <w:sz w:val="24"/>
          <w:szCs w:val="24"/>
        </w:rPr>
        <w:t>how can we improve</w:t>
      </w:r>
      <w:r w:rsidR="00093316">
        <w:rPr>
          <w:rFonts w:ascii="Times New Roman" w:hAnsi="Times New Roman" w:cs="Times New Roman"/>
          <w:sz w:val="24"/>
          <w:szCs w:val="24"/>
        </w:rPr>
        <w:t xml:space="preserve"> the TC intensity prediction</w:t>
      </w:r>
      <w:r w:rsidR="007B0E91">
        <w:rPr>
          <w:rFonts w:ascii="Times New Roman" w:hAnsi="Times New Roman" w:cs="Times New Roman"/>
          <w:sz w:val="24"/>
          <w:szCs w:val="24"/>
        </w:rPr>
        <w:t xml:space="preserve"> by improving the model physics and model resolution, respectively</w:t>
      </w:r>
      <w:r w:rsidR="60B54FDB" w:rsidRPr="00723DA9">
        <w:rPr>
          <w:rFonts w:ascii="Times New Roman" w:hAnsi="Times New Roman" w:cs="Times New Roman"/>
          <w:sz w:val="24"/>
          <w:szCs w:val="24"/>
        </w:rPr>
        <w:t>.</w:t>
      </w:r>
    </w:p>
    <w:p w14:paraId="3386100B" w14:textId="1D3E6F1F" w:rsidR="00195E4C" w:rsidRPr="00723DA9" w:rsidRDefault="00D50977" w:rsidP="5B610C6B">
      <w:pPr>
        <w:spacing w:after="0" w:line="480" w:lineRule="auto"/>
        <w:ind w:firstLine="432"/>
        <w:rPr>
          <w:rFonts w:ascii="Times New Roman" w:hAnsi="Times New Roman" w:cs="Times New Roman"/>
          <w:sz w:val="24"/>
          <w:szCs w:val="24"/>
        </w:rPr>
      </w:pPr>
      <w:r>
        <w:rPr>
          <w:rFonts w:ascii="Times New Roman" w:hAnsi="Times New Roman" w:cs="Times New Roman"/>
          <w:sz w:val="24"/>
          <w:szCs w:val="24"/>
        </w:rPr>
        <w:t>Although</w:t>
      </w:r>
      <w:r w:rsidR="00212952">
        <w:rPr>
          <w:rFonts w:ascii="Times New Roman" w:hAnsi="Times New Roman" w:cs="Times New Roman"/>
          <w:sz w:val="24"/>
          <w:szCs w:val="24"/>
        </w:rPr>
        <w:t xml:space="preserve"> there are</w:t>
      </w:r>
      <w:r>
        <w:rPr>
          <w:rFonts w:ascii="Times New Roman" w:hAnsi="Times New Roman" w:cs="Times New Roman"/>
          <w:sz w:val="24"/>
          <w:szCs w:val="24"/>
        </w:rPr>
        <w:t xml:space="preserve"> increasing </w:t>
      </w:r>
      <w:r w:rsidR="00194D43">
        <w:rPr>
          <w:rFonts w:ascii="Times New Roman" w:hAnsi="Times New Roman" w:cs="Times New Roman"/>
          <w:sz w:val="24"/>
          <w:szCs w:val="24"/>
        </w:rPr>
        <w:t>numbers of types</w:t>
      </w:r>
      <w:r>
        <w:rPr>
          <w:rFonts w:ascii="Times New Roman" w:hAnsi="Times New Roman" w:cs="Times New Roman"/>
          <w:sz w:val="24"/>
          <w:szCs w:val="24"/>
        </w:rPr>
        <w:t xml:space="preserve"> of in-situ inner-core observations sampled by </w:t>
      </w:r>
      <w:r w:rsidR="00506487">
        <w:rPr>
          <w:rFonts w:ascii="Times New Roman" w:hAnsi="Times New Roman" w:cs="Times New Roman"/>
          <w:sz w:val="24"/>
          <w:szCs w:val="24"/>
        </w:rPr>
        <w:t>various</w:t>
      </w:r>
      <w:r>
        <w:rPr>
          <w:rFonts w:ascii="Times New Roman" w:hAnsi="Times New Roman" w:cs="Times New Roman"/>
          <w:sz w:val="24"/>
          <w:szCs w:val="24"/>
        </w:rPr>
        <w:t xml:space="preserve"> field campaigns, the chance </w:t>
      </w:r>
      <w:r w:rsidR="00B17F53">
        <w:rPr>
          <w:rFonts w:ascii="Times New Roman" w:hAnsi="Times New Roman" w:cs="Times New Roman"/>
          <w:sz w:val="24"/>
          <w:szCs w:val="24"/>
        </w:rPr>
        <w:t>for</w:t>
      </w:r>
      <w:r>
        <w:rPr>
          <w:rFonts w:ascii="Times New Roman" w:hAnsi="Times New Roman" w:cs="Times New Roman"/>
          <w:sz w:val="24"/>
          <w:szCs w:val="24"/>
        </w:rPr>
        <w:t xml:space="preserve"> the co-existence of multiple datasets</w:t>
      </w:r>
      <w:r w:rsidR="001A0B2D">
        <w:rPr>
          <w:rFonts w:ascii="Times New Roman" w:hAnsi="Times New Roman" w:cs="Times New Roman"/>
          <w:sz w:val="24"/>
          <w:szCs w:val="24"/>
        </w:rPr>
        <w:t xml:space="preserve"> from different field campaigns</w:t>
      </w:r>
      <w:r>
        <w:rPr>
          <w:rFonts w:ascii="Times New Roman" w:hAnsi="Times New Roman" w:cs="Times New Roman"/>
          <w:sz w:val="24"/>
          <w:szCs w:val="24"/>
        </w:rPr>
        <w:t xml:space="preserve"> is rare.  </w:t>
      </w:r>
      <w:r w:rsidR="00016035">
        <w:rPr>
          <w:rFonts w:ascii="Times New Roman" w:hAnsi="Times New Roman" w:cs="Times New Roman"/>
          <w:sz w:val="24"/>
          <w:szCs w:val="24"/>
        </w:rPr>
        <w:t xml:space="preserve">Thus, </w:t>
      </w:r>
      <w:r w:rsidR="000B611A">
        <w:rPr>
          <w:rFonts w:ascii="Times New Roman" w:hAnsi="Times New Roman" w:cs="Times New Roman"/>
          <w:sz w:val="24"/>
          <w:szCs w:val="24"/>
        </w:rPr>
        <w:t xml:space="preserve">even with </w:t>
      </w:r>
      <w:r w:rsidR="009F09F7">
        <w:rPr>
          <w:rFonts w:ascii="Times New Roman" w:hAnsi="Times New Roman" w:cs="Times New Roman"/>
          <w:sz w:val="24"/>
          <w:szCs w:val="24"/>
        </w:rPr>
        <w:t xml:space="preserve">early </w:t>
      </w:r>
      <w:r w:rsidR="000B611A">
        <w:rPr>
          <w:rFonts w:ascii="Times New Roman" w:hAnsi="Times New Roman" w:cs="Times New Roman"/>
          <w:sz w:val="24"/>
          <w:szCs w:val="24"/>
        </w:rPr>
        <w:t>studies focusing on some of the datasets individually</w:t>
      </w:r>
      <w:r w:rsidR="00C6028A">
        <w:rPr>
          <w:rFonts w:ascii="Times New Roman" w:hAnsi="Times New Roman" w:cs="Times New Roman"/>
          <w:sz w:val="24"/>
          <w:szCs w:val="24"/>
        </w:rPr>
        <w:t xml:space="preserve"> or in small sub-sets </w:t>
      </w:r>
      <w:r w:rsidR="00C6028A" w:rsidRPr="001B0FB2">
        <w:rPr>
          <w:rFonts w:ascii="Times New Roman" w:hAnsi="Times New Roman" w:cs="Times New Roman"/>
          <w:sz w:val="24"/>
          <w:szCs w:val="24"/>
        </w:rPr>
        <w:t>(</w:t>
      </w:r>
      <w:r w:rsidR="00C6028A" w:rsidRPr="00154977">
        <w:rPr>
          <w:rFonts w:ascii="Times New Roman" w:eastAsia="宋体" w:hAnsi="Times New Roman" w:cs="Times New Roman"/>
          <w:sz w:val="24"/>
          <w:szCs w:val="24"/>
        </w:rPr>
        <w:t xml:space="preserve">Weng and Zhang 2012; </w:t>
      </w:r>
      <w:r w:rsidR="00C6028A">
        <w:rPr>
          <w:rFonts w:ascii="Times New Roman" w:eastAsia="宋体" w:hAnsi="Times New Roman" w:cs="Times New Roman"/>
          <w:sz w:val="24"/>
          <w:szCs w:val="24"/>
        </w:rPr>
        <w:t xml:space="preserve">Aksoy et al. 2012, 2013; </w:t>
      </w:r>
      <w:proofErr w:type="spellStart"/>
      <w:r w:rsidR="00C6028A" w:rsidRPr="003705BE">
        <w:rPr>
          <w:rFonts w:ascii="Times New Roman" w:eastAsia="宋体" w:hAnsi="Times New Roman" w:cs="Times New Roman"/>
          <w:sz w:val="24"/>
          <w:szCs w:val="24"/>
        </w:rPr>
        <w:t>Po</w:t>
      </w:r>
      <w:r w:rsidR="00C6028A" w:rsidRPr="00B05107">
        <w:rPr>
          <w:rFonts w:ascii="Times New Roman" w:eastAsia="宋体" w:hAnsi="Times New Roman" w:cs="Times New Roman"/>
          <w:sz w:val="24"/>
          <w:szCs w:val="24"/>
        </w:rPr>
        <w:t>terjoy</w:t>
      </w:r>
      <w:proofErr w:type="spellEnd"/>
      <w:r w:rsidR="00C6028A" w:rsidRPr="00B05107">
        <w:rPr>
          <w:rFonts w:ascii="Times New Roman" w:eastAsia="宋体" w:hAnsi="Times New Roman" w:cs="Times New Roman"/>
          <w:sz w:val="24"/>
          <w:szCs w:val="24"/>
        </w:rPr>
        <w:t xml:space="preserve"> et al. 2014; </w:t>
      </w:r>
      <w:r w:rsidR="00C6028A" w:rsidRPr="00154977">
        <w:rPr>
          <w:rFonts w:ascii="Times New Roman" w:eastAsia="宋体" w:hAnsi="Times New Roman" w:cs="Times New Roman"/>
          <w:sz w:val="24"/>
          <w:szCs w:val="24"/>
        </w:rPr>
        <w:t>Wu et al., 2014, 2015</w:t>
      </w:r>
      <w:r w:rsidR="00C6028A">
        <w:rPr>
          <w:rFonts w:ascii="Times New Roman" w:eastAsia="宋体" w:hAnsi="Times New Roman" w:cs="Times New Roman"/>
          <w:sz w:val="24"/>
          <w:szCs w:val="24"/>
        </w:rPr>
        <w:t xml:space="preserve">; </w:t>
      </w:r>
      <w:r w:rsidR="00C6028A" w:rsidRPr="00B05107">
        <w:rPr>
          <w:rFonts w:ascii="Times New Roman" w:eastAsia="宋体" w:hAnsi="Times New Roman" w:cs="Times New Roman"/>
          <w:sz w:val="24"/>
          <w:szCs w:val="24"/>
        </w:rPr>
        <w:t>Lu et al. 2017a</w:t>
      </w:r>
      <w:r w:rsidR="00C6028A" w:rsidRPr="001B0FB2">
        <w:rPr>
          <w:rFonts w:ascii="Times New Roman" w:hAnsi="Times New Roman" w:cs="Times New Roman"/>
          <w:sz w:val="24"/>
          <w:szCs w:val="24"/>
        </w:rPr>
        <w:t>)</w:t>
      </w:r>
      <w:r w:rsidR="00C6028A">
        <w:rPr>
          <w:rFonts w:ascii="Times New Roman" w:hAnsi="Times New Roman" w:cs="Times New Roman"/>
          <w:sz w:val="24"/>
          <w:szCs w:val="24"/>
        </w:rPr>
        <w:t xml:space="preserve">, we are lacking </w:t>
      </w:r>
      <w:r w:rsidR="000B611A">
        <w:rPr>
          <w:rFonts w:ascii="Times New Roman" w:hAnsi="Times New Roman" w:cs="Times New Roman"/>
          <w:sz w:val="24"/>
          <w:szCs w:val="24"/>
        </w:rPr>
        <w:t xml:space="preserve">a </w:t>
      </w:r>
      <w:r w:rsidR="00C6028A">
        <w:rPr>
          <w:rFonts w:ascii="Times New Roman" w:hAnsi="Times New Roman" w:cs="Times New Roman"/>
          <w:sz w:val="24"/>
          <w:szCs w:val="24"/>
        </w:rPr>
        <w:t xml:space="preserve">thorough understanding of the </w:t>
      </w:r>
      <w:r w:rsidR="00C6028A">
        <w:rPr>
          <w:rFonts w:ascii="Times New Roman" w:hAnsi="Times New Roman" w:cs="Times New Roman"/>
          <w:sz w:val="24"/>
          <w:szCs w:val="24"/>
        </w:rPr>
        <w:lastRenderedPageBreak/>
        <w:t>relative importance for each type of observations</w:t>
      </w:r>
      <w:r w:rsidR="00016035">
        <w:rPr>
          <w:rFonts w:ascii="Times New Roman" w:hAnsi="Times New Roman" w:cs="Times New Roman"/>
          <w:sz w:val="24"/>
          <w:szCs w:val="24"/>
        </w:rPr>
        <w:t xml:space="preserve">.  </w:t>
      </w:r>
      <w:r w:rsidR="00EC71BC">
        <w:rPr>
          <w:rFonts w:ascii="Times New Roman" w:hAnsi="Times New Roman" w:cs="Times New Roman"/>
          <w:sz w:val="24"/>
          <w:szCs w:val="24"/>
        </w:rPr>
        <w:t>D</w:t>
      </w:r>
      <w:r w:rsidR="0038006B">
        <w:rPr>
          <w:rFonts w:ascii="Times New Roman" w:hAnsi="Times New Roman" w:cs="Times New Roman"/>
          <w:sz w:val="24"/>
          <w:szCs w:val="24"/>
        </w:rPr>
        <w:t xml:space="preserve">uring Hurricane Patricia in 2015, the coordination between IFEX and TCI field campaigns </w:t>
      </w:r>
      <w:r w:rsidR="00A57169">
        <w:rPr>
          <w:rFonts w:ascii="Times New Roman" w:hAnsi="Times New Roman" w:cs="Times New Roman"/>
          <w:sz w:val="24"/>
          <w:szCs w:val="24"/>
        </w:rPr>
        <w:t xml:space="preserve">provides an unprecedented chance to </w:t>
      </w:r>
      <w:r w:rsidR="000A588E">
        <w:rPr>
          <w:rFonts w:ascii="Times New Roman" w:hAnsi="Times New Roman" w:cs="Times New Roman"/>
          <w:sz w:val="24"/>
          <w:szCs w:val="24"/>
        </w:rPr>
        <w:t>sample</w:t>
      </w:r>
      <w:r w:rsidR="00CC454C">
        <w:rPr>
          <w:rFonts w:ascii="Times New Roman" w:hAnsi="Times New Roman" w:cs="Times New Roman"/>
          <w:sz w:val="24"/>
          <w:szCs w:val="24"/>
        </w:rPr>
        <w:t xml:space="preserve"> the same storm with </w:t>
      </w:r>
      <w:r w:rsidR="006B06F5">
        <w:rPr>
          <w:rFonts w:ascii="Times New Roman" w:hAnsi="Times New Roman" w:cs="Times New Roman"/>
          <w:sz w:val="24"/>
          <w:szCs w:val="24"/>
        </w:rPr>
        <w:t xml:space="preserve">a </w:t>
      </w:r>
      <w:r w:rsidR="006B3F31">
        <w:rPr>
          <w:rFonts w:ascii="Times New Roman" w:hAnsi="Times New Roman" w:cs="Times New Roman"/>
          <w:sz w:val="24"/>
          <w:szCs w:val="24"/>
        </w:rPr>
        <w:t>great number</w:t>
      </w:r>
      <w:r w:rsidR="00CC454C">
        <w:rPr>
          <w:rFonts w:ascii="Times New Roman" w:hAnsi="Times New Roman" w:cs="Times New Roman"/>
          <w:sz w:val="24"/>
          <w:szCs w:val="24"/>
        </w:rPr>
        <w:t xml:space="preserve"> of </w:t>
      </w:r>
      <w:r w:rsidR="0026473F">
        <w:rPr>
          <w:rFonts w:ascii="Times New Roman" w:hAnsi="Times New Roman" w:cs="Times New Roman"/>
          <w:sz w:val="24"/>
          <w:szCs w:val="24"/>
        </w:rPr>
        <w:t xml:space="preserve">independent </w:t>
      </w:r>
      <w:r w:rsidR="00CC454C">
        <w:rPr>
          <w:rFonts w:ascii="Times New Roman" w:hAnsi="Times New Roman" w:cs="Times New Roman"/>
          <w:sz w:val="24"/>
          <w:szCs w:val="24"/>
        </w:rPr>
        <w:t>instruments simultaneously and intensively</w:t>
      </w:r>
      <w:r w:rsidR="00670D57">
        <w:rPr>
          <w:rFonts w:ascii="Times New Roman" w:hAnsi="Times New Roman" w:cs="Times New Roman"/>
          <w:sz w:val="24"/>
          <w:szCs w:val="24"/>
        </w:rPr>
        <w:t xml:space="preserve"> </w:t>
      </w:r>
      <w:r w:rsidR="00670D57" w:rsidRPr="5B610C6B">
        <w:fldChar w:fldCharType="begin" w:fldLock="1"/>
      </w:r>
      <w:r w:rsidR="00670D57" w:rsidRPr="00723DA9">
        <w:rPr>
          <w:rFonts w:ascii="Times New Roman" w:hAnsi="Times New Roman" w:cs="Times New Roman"/>
          <w:sz w:val="24"/>
          <w:szCs w:val="24"/>
        </w:rPr>
        <w:instrText>ADDIN CSL_CITATION {"citationItems":[{"id":"ITEM-1","itemData":{"DOI":"10.1175/BAMS-D-16-0055.1","ISSN":"0003-0007","author":[{"dropping-particle":"","family":"Doyle","given":"James D.","non-dropping-particle":"","parse-names":false,"suffix":""},{"dropping-particle":"","family":"Moskaitis","given":"Jon","non-dropping-particle":"","parse-names":false,"suffix":""},{"dropping-particle":"","family":"Feldmeier","given":"Joel","non-dropping-particle":"","parse-names":false,"suffix":""},{"dropping-particle":"","family":"Ferek","given":"Ronald","non-dropping-particle":"","parse-names":false,"suffix":""},{"dropping-particle":"","family":"Beaubien","given":"Mark","non-dropping-particle":"","parse-names":false,"suffix":""},{"dropping-particle":"","family":"Bell","given":"Michael","non-dropping-particle":"","parse-names":false,"suffix":""},{"dropping-particle":"","family":"Cecil","given":"Daniel","non-dropping-particle":"","parse-names":false,"suffix":""},{"dropping-particle":"","family":"Creasey","given":"Robert","non-dropping-particle":"","parse-names":false,"suffix":""},{"dropping-particle":"","family":"Duran","given":"Patrick","non-dropping-particle":"","parse-names":false,"suffix":""},{"dropping-particle":"","family":"Elsberry","given":"Russ","non-dropping-particle":"","parse-names":false,"suffix":""},{"dropping-particle":"","family":"Komaromi","given":"Will","non-dropping-particle":"","parse-names":false,"suffix":""},{"dropping-particle":"","family":"Molinari","given":"John","non-dropping-particle":"","parse-names":false,"suffix":""},{"dropping-particle":"","family":"Ryglicki","given":"David","non-dropping-particle":"","parse-names":false,"suffix":""},{"dropping-particle":"","family":"Stern","given":"Daniel","non-dropping-particle":"","parse-names":false,"suffix":""},{"dropping-particle":"","family":"Velden","given":"Chris","non-dropping-particle":"","parse-names":false,"suffix":""},{"dropping-particle":"","family":"Wang","given":"Xuguang","non-dropping-particle":"","parse-names":false,"suffix":""},{"dropping-particle":"","family":"Allen","given":"Todd","non-dropping-particle":"","parse-names":false,"suffix":""},{"dropping-particle":"","family":"Barrett","given":"Bradford","non-dropping-particle":"","parse-names":false,"suffix":""},{"dropping-particle":"","family":"Black","given":"Peter","non-dropping-particle":"","parse-names":false,"suffix":""},{"dropping-particle":"","family":"Dunion","given":"Jason","non-dropping-particle":"","parse-names":false,"suffix":""},{"dropping-particle":"","family":"Emanuel","given":"Kerry","non-dropping-particle":"","parse-names":false,"suffix":""},{"dropping-particle":"","family":"Harr","given":"Pat","non-dropping-particle":"","parse-names":false,"suffix":""},{"dropping-particle":"","family":"Harrison","given":"Lee","non-dropping-particle":"","parse-names":false,"suffix":""},{"dropping-particle":"","family":"Hendricks","given":"Eric","non-dropping-particle":"","parse-names":false,"suffix":""},{"dropping-particle":"","family":"Herndon","given":"Derrick","non-dropping-particle":"","parse-names":false,"suffix":""},{"dropping-particle":"","family":"Jeffries","given":"William","non-dropping-particle":"","parse-names":false,"suffix":""},{"dropping-particle":"","family":"Majumdar","given":"Sharanya J.","non-dropping-particle":"","parse-names":false,"suffix":""},{"dropping-particle":"","family":"Moore","given":"James","non-dropping-particle":"","parse-names":false,"suffix":""},{"dropping-particle":"","family":"Pu","given":"Zhaoxia","non-dropping-particle":"","parse-names":false,"suffix":""},{"dropping-particle":"","family":"Rogers","given":"Robert","non-dropping-particle":"","parse-names":false,"suffix":""},{"dropping-particle":"","family":"Sanabia","given":"Elizabeth","non-dropping-particle":"","parse-names":false,"suffix":""},{"dropping-particle":"","family":"Tripoli","given":"Gregory","non-dropping-particle":"","parse-names":false,"suffix":""},{"dropping-particle":"","family":"Zhang","given":"Da-Lin","non-dropping-particle":"","parse-names":false,"suffix":""}],"container-title":"Bulletin of the American Meteorological Society","id":"ITEM-1","issued":{"date-parts":[["2017"]]},"page":"2113-2134","title":"A View of Tropical Cyclones from Above: The Tropical Cyclone Intensity (TCI) Experiment","type":"article-journal","volume":"98"},"uris":["http://www.mendeley.com/documents/?uuid=60c3c0a0-836e-40e1-9511-4e4e563a9101"]}],"mendeley":{"formattedCitation":"(Doyle et al. 2017)","plainTextFormattedCitation":"(Doyle et al. 2017)","previouslyFormattedCitation":"(Doyle et al. 2017)"},"properties":{"noteIndex":0},"schema":"https://github.com/citation-style-language/schema/raw/master/csl-citation.json"}</w:instrText>
      </w:r>
      <w:r w:rsidR="00670D57" w:rsidRPr="5B610C6B">
        <w:rPr>
          <w:rFonts w:ascii="Times New Roman" w:hAnsi="Times New Roman" w:cs="Times New Roman"/>
          <w:sz w:val="24"/>
          <w:szCs w:val="24"/>
        </w:rPr>
        <w:fldChar w:fldCharType="separate"/>
      </w:r>
      <w:r w:rsidR="00670D57" w:rsidRPr="00723DA9">
        <w:rPr>
          <w:rFonts w:ascii="Times New Roman" w:hAnsi="Times New Roman" w:cs="Times New Roman"/>
          <w:noProof/>
          <w:sz w:val="24"/>
          <w:szCs w:val="24"/>
        </w:rPr>
        <w:t>(Doyle et al. 2017)</w:t>
      </w:r>
      <w:r w:rsidR="00670D57" w:rsidRPr="5B610C6B">
        <w:fldChar w:fldCharType="end"/>
      </w:r>
      <w:r w:rsidR="0038006B">
        <w:rPr>
          <w:rFonts w:ascii="Times New Roman" w:hAnsi="Times New Roman" w:cs="Times New Roman"/>
          <w:sz w:val="24"/>
          <w:szCs w:val="24"/>
        </w:rPr>
        <w:t xml:space="preserve">.  </w:t>
      </w:r>
      <w:r w:rsidR="002579D6">
        <w:rPr>
          <w:rFonts w:ascii="Times New Roman" w:hAnsi="Times New Roman" w:cs="Times New Roman"/>
          <w:sz w:val="24"/>
          <w:szCs w:val="24"/>
        </w:rPr>
        <w:t xml:space="preserve">Such a </w:t>
      </w:r>
      <w:r w:rsidR="00F31C59">
        <w:rPr>
          <w:rFonts w:ascii="Times New Roman" w:hAnsi="Times New Roman" w:cs="Times New Roman"/>
          <w:sz w:val="24"/>
          <w:szCs w:val="24"/>
        </w:rPr>
        <w:t xml:space="preserve">scarce </w:t>
      </w:r>
      <w:r w:rsidR="002579D6">
        <w:rPr>
          <w:rFonts w:ascii="Times New Roman" w:hAnsi="Times New Roman" w:cs="Times New Roman"/>
          <w:sz w:val="24"/>
          <w:szCs w:val="24"/>
        </w:rPr>
        <w:t xml:space="preserve">case </w:t>
      </w:r>
      <w:r w:rsidR="00F31C59">
        <w:rPr>
          <w:rFonts w:ascii="Times New Roman" w:hAnsi="Times New Roman" w:cs="Times New Roman"/>
          <w:sz w:val="24"/>
          <w:szCs w:val="24"/>
        </w:rPr>
        <w:t xml:space="preserve">allows us to utilize the advanced DA system to </w:t>
      </w:r>
      <w:r w:rsidR="00A7259F">
        <w:rPr>
          <w:rFonts w:ascii="Times New Roman" w:hAnsi="Times New Roman" w:cs="Times New Roman"/>
          <w:sz w:val="24"/>
          <w:szCs w:val="24"/>
        </w:rPr>
        <w:t xml:space="preserve">explore </w:t>
      </w:r>
      <w:r w:rsidR="00E83180">
        <w:rPr>
          <w:rFonts w:ascii="Times New Roman" w:hAnsi="Times New Roman" w:cs="Times New Roman"/>
          <w:sz w:val="24"/>
          <w:szCs w:val="24"/>
        </w:rPr>
        <w:t xml:space="preserve">the </w:t>
      </w:r>
      <w:r w:rsidR="001907EF">
        <w:rPr>
          <w:rFonts w:ascii="Times New Roman" w:hAnsi="Times New Roman" w:cs="Times New Roman"/>
          <w:sz w:val="24"/>
          <w:szCs w:val="24"/>
        </w:rPr>
        <w:t xml:space="preserve">relative </w:t>
      </w:r>
      <w:r w:rsidR="00E83180">
        <w:rPr>
          <w:rFonts w:ascii="Times New Roman" w:hAnsi="Times New Roman" w:cs="Times New Roman"/>
          <w:sz w:val="24"/>
          <w:szCs w:val="24"/>
        </w:rPr>
        <w:t xml:space="preserve">impacts of </w:t>
      </w:r>
      <w:r w:rsidR="001907EF">
        <w:rPr>
          <w:rFonts w:ascii="Times New Roman" w:hAnsi="Times New Roman" w:cs="Times New Roman"/>
          <w:sz w:val="24"/>
          <w:szCs w:val="24"/>
        </w:rPr>
        <w:t xml:space="preserve">various </w:t>
      </w:r>
      <w:r w:rsidR="00E83180">
        <w:rPr>
          <w:rFonts w:ascii="Times New Roman" w:hAnsi="Times New Roman" w:cs="Times New Roman"/>
          <w:sz w:val="24"/>
          <w:szCs w:val="24"/>
        </w:rPr>
        <w:t>types of observations</w:t>
      </w:r>
      <w:r w:rsidR="00C76079">
        <w:rPr>
          <w:rFonts w:ascii="Times New Roman" w:hAnsi="Times New Roman" w:cs="Times New Roman"/>
          <w:sz w:val="24"/>
          <w:szCs w:val="24"/>
        </w:rPr>
        <w:t xml:space="preserve"> </w:t>
      </w:r>
      <w:r w:rsidR="00447667">
        <w:rPr>
          <w:rFonts w:ascii="Times New Roman" w:hAnsi="Times New Roman" w:cs="Times New Roman"/>
          <w:sz w:val="24"/>
          <w:szCs w:val="24"/>
        </w:rPr>
        <w:t xml:space="preserve">on the analysis and forecast of a same hurricane </w:t>
      </w:r>
      <w:r w:rsidR="00C76079">
        <w:rPr>
          <w:rFonts w:ascii="Times New Roman" w:hAnsi="Times New Roman" w:cs="Times New Roman"/>
          <w:sz w:val="24"/>
          <w:szCs w:val="24"/>
        </w:rPr>
        <w:t>in Chapter 5</w:t>
      </w:r>
      <w:r w:rsidR="002579D6">
        <w:rPr>
          <w:rFonts w:ascii="Times New Roman" w:hAnsi="Times New Roman" w:cs="Times New Roman"/>
          <w:sz w:val="24"/>
          <w:szCs w:val="24"/>
        </w:rPr>
        <w:t xml:space="preserve">.  </w:t>
      </w:r>
      <w:r w:rsidR="002D5DEA">
        <w:rPr>
          <w:rFonts w:ascii="Times New Roman" w:hAnsi="Times New Roman" w:cs="Times New Roman"/>
          <w:sz w:val="24"/>
          <w:szCs w:val="24"/>
        </w:rPr>
        <w:t xml:space="preserve">Instead of drawing statistically robust conclusions from the </w:t>
      </w:r>
      <w:r w:rsidR="00B9180C">
        <w:rPr>
          <w:rFonts w:ascii="Times New Roman" w:hAnsi="Times New Roman" w:cs="Times New Roman"/>
          <w:sz w:val="24"/>
          <w:szCs w:val="24"/>
        </w:rPr>
        <w:t>investigation</w:t>
      </w:r>
      <w:r w:rsidR="00346F3B">
        <w:rPr>
          <w:rFonts w:ascii="Times New Roman" w:hAnsi="Times New Roman" w:cs="Times New Roman"/>
          <w:sz w:val="24"/>
          <w:szCs w:val="24"/>
        </w:rPr>
        <w:t xml:space="preserve"> with only one case</w:t>
      </w:r>
      <w:r w:rsidR="001F55CD">
        <w:rPr>
          <w:rFonts w:ascii="Times New Roman" w:hAnsi="Times New Roman" w:cs="Times New Roman"/>
          <w:sz w:val="24"/>
          <w:szCs w:val="24"/>
        </w:rPr>
        <w:t xml:space="preserve"> study</w:t>
      </w:r>
      <w:r w:rsidR="002D5DEA">
        <w:rPr>
          <w:rFonts w:ascii="Times New Roman" w:hAnsi="Times New Roman" w:cs="Times New Roman"/>
          <w:sz w:val="24"/>
          <w:szCs w:val="24"/>
        </w:rPr>
        <w:t xml:space="preserve">, </w:t>
      </w:r>
      <w:r w:rsidR="00EA710E">
        <w:rPr>
          <w:rFonts w:ascii="Times New Roman" w:hAnsi="Times New Roman" w:cs="Times New Roman"/>
          <w:sz w:val="24"/>
          <w:szCs w:val="24"/>
        </w:rPr>
        <w:t>t</w:t>
      </w:r>
      <w:r w:rsidR="60B54FDB" w:rsidRPr="00723DA9">
        <w:rPr>
          <w:rFonts w:ascii="Times New Roman" w:hAnsi="Times New Roman" w:cs="Times New Roman"/>
          <w:sz w:val="24"/>
          <w:szCs w:val="24"/>
        </w:rPr>
        <w:t>he</w:t>
      </w:r>
      <w:r w:rsidR="002A22E2">
        <w:rPr>
          <w:rFonts w:ascii="Times New Roman" w:hAnsi="Times New Roman" w:cs="Times New Roman"/>
          <w:sz w:val="24"/>
          <w:szCs w:val="24"/>
        </w:rPr>
        <w:t xml:space="preserve"> </w:t>
      </w:r>
      <w:r w:rsidR="60B54FDB" w:rsidRPr="00723DA9">
        <w:rPr>
          <w:rFonts w:ascii="Times New Roman" w:hAnsi="Times New Roman" w:cs="Times New Roman"/>
          <w:sz w:val="24"/>
          <w:szCs w:val="24"/>
        </w:rPr>
        <w:t xml:space="preserve">goal of </w:t>
      </w:r>
      <w:r w:rsidR="00E22E12" w:rsidRPr="00723DA9">
        <w:rPr>
          <w:rFonts w:ascii="Times New Roman" w:hAnsi="Times New Roman" w:cs="Times New Roman"/>
          <w:sz w:val="24"/>
          <w:szCs w:val="24"/>
        </w:rPr>
        <w:t>Chapter</w:t>
      </w:r>
      <w:r w:rsidR="60B54FDB" w:rsidRPr="00723DA9">
        <w:rPr>
          <w:rFonts w:ascii="Times New Roman" w:hAnsi="Times New Roman" w:cs="Times New Roman"/>
          <w:sz w:val="24"/>
          <w:szCs w:val="24"/>
        </w:rPr>
        <w:t xml:space="preserve"> 5 in this dissertation is to </w:t>
      </w:r>
      <w:r w:rsidR="00882425">
        <w:rPr>
          <w:rFonts w:ascii="Times New Roman" w:hAnsi="Times New Roman" w:cs="Times New Roman"/>
          <w:sz w:val="24"/>
          <w:szCs w:val="24"/>
        </w:rPr>
        <w:t>provide</w:t>
      </w:r>
      <w:r w:rsidR="60B54FDB" w:rsidRPr="00723DA9">
        <w:rPr>
          <w:rFonts w:ascii="Times New Roman" w:hAnsi="Times New Roman" w:cs="Times New Roman"/>
          <w:sz w:val="24"/>
          <w:szCs w:val="24"/>
        </w:rPr>
        <w:t xml:space="preserve"> a </w:t>
      </w:r>
      <w:r w:rsidR="00882425">
        <w:rPr>
          <w:rFonts w:ascii="Times New Roman" w:hAnsi="Times New Roman" w:cs="Times New Roman"/>
          <w:sz w:val="24"/>
          <w:szCs w:val="24"/>
        </w:rPr>
        <w:t>r</w:t>
      </w:r>
      <w:r w:rsidR="00D55909" w:rsidRPr="00723DA9">
        <w:rPr>
          <w:rFonts w:ascii="Times New Roman" w:hAnsi="Times New Roman" w:cs="Times New Roman"/>
          <w:sz w:val="24"/>
          <w:szCs w:val="24"/>
        </w:rPr>
        <w:t>eference</w:t>
      </w:r>
      <w:r w:rsidR="60B54FDB" w:rsidRPr="00723DA9">
        <w:rPr>
          <w:rFonts w:ascii="Times New Roman" w:hAnsi="Times New Roman" w:cs="Times New Roman"/>
          <w:sz w:val="24"/>
          <w:szCs w:val="24"/>
        </w:rPr>
        <w:t xml:space="preserve"> for </w:t>
      </w:r>
      <w:r w:rsidR="00D55909" w:rsidRPr="00723DA9">
        <w:rPr>
          <w:rFonts w:ascii="Times New Roman" w:hAnsi="Times New Roman" w:cs="Times New Roman"/>
          <w:sz w:val="24"/>
          <w:szCs w:val="24"/>
        </w:rPr>
        <w:t xml:space="preserve">future </w:t>
      </w:r>
      <w:r w:rsidR="60B54FDB" w:rsidRPr="00723DA9">
        <w:rPr>
          <w:rFonts w:ascii="Times New Roman" w:hAnsi="Times New Roman" w:cs="Times New Roman"/>
          <w:sz w:val="24"/>
          <w:szCs w:val="24"/>
        </w:rPr>
        <w:t xml:space="preserve">observation sampling strategies and </w:t>
      </w:r>
      <w:r w:rsidR="00D55909" w:rsidRPr="00723DA9">
        <w:rPr>
          <w:rFonts w:ascii="Times New Roman" w:hAnsi="Times New Roman" w:cs="Times New Roman"/>
          <w:sz w:val="24"/>
          <w:szCs w:val="24"/>
        </w:rPr>
        <w:t xml:space="preserve">follow-on </w:t>
      </w:r>
      <w:r w:rsidR="60B54FDB" w:rsidRPr="00723DA9">
        <w:rPr>
          <w:rFonts w:ascii="Times New Roman" w:hAnsi="Times New Roman" w:cs="Times New Roman"/>
          <w:sz w:val="24"/>
          <w:szCs w:val="24"/>
        </w:rPr>
        <w:t xml:space="preserve">DA </w:t>
      </w:r>
      <w:r w:rsidR="00D55909" w:rsidRPr="00723DA9">
        <w:rPr>
          <w:rFonts w:ascii="Times New Roman" w:hAnsi="Times New Roman" w:cs="Times New Roman"/>
          <w:sz w:val="24"/>
          <w:szCs w:val="24"/>
        </w:rPr>
        <w:t>studies</w:t>
      </w:r>
      <w:r w:rsidR="60B54FDB" w:rsidRPr="00723DA9">
        <w:rPr>
          <w:rFonts w:ascii="Times New Roman" w:hAnsi="Times New Roman" w:cs="Times New Roman"/>
          <w:sz w:val="24"/>
          <w:szCs w:val="24"/>
        </w:rPr>
        <w:t>.</w:t>
      </w:r>
    </w:p>
    <w:p w14:paraId="7C67A007" w14:textId="146883A0" w:rsidR="00F63DD4" w:rsidRPr="00723DA9" w:rsidRDefault="00F63DD4" w:rsidP="006562DB">
      <w:pPr>
        <w:pStyle w:val="Heading2"/>
        <w:numPr>
          <w:ilvl w:val="1"/>
          <w:numId w:val="1"/>
        </w:numPr>
        <w:spacing w:line="480" w:lineRule="auto"/>
        <w:ind w:left="0" w:firstLine="0"/>
        <w:rPr>
          <w:rFonts w:ascii="Times New Roman" w:hAnsi="Times New Roman" w:cs="Times New Roman"/>
          <w:b/>
          <w:color w:val="auto"/>
          <w:sz w:val="24"/>
          <w:szCs w:val="24"/>
        </w:rPr>
      </w:pPr>
      <w:bookmarkStart w:id="7" w:name="_Toc21623972"/>
      <w:r w:rsidRPr="00723DA9">
        <w:rPr>
          <w:rFonts w:ascii="Times New Roman" w:hAnsi="Times New Roman" w:cs="Times New Roman"/>
          <w:b/>
          <w:color w:val="auto"/>
          <w:sz w:val="24"/>
          <w:szCs w:val="24"/>
        </w:rPr>
        <w:t>Overview of the dissertation</w:t>
      </w:r>
      <w:bookmarkEnd w:id="7"/>
    </w:p>
    <w:p w14:paraId="37CBC27E" w14:textId="0DBF61DC" w:rsidR="004776FB" w:rsidRDefault="5B610C6B" w:rsidP="5B610C6B">
      <w:pPr>
        <w:spacing w:after="0" w:line="480" w:lineRule="auto"/>
        <w:ind w:firstLine="432"/>
        <w:rPr>
          <w:rFonts w:ascii="Times New Roman" w:hAnsi="Times New Roman" w:cs="Times New Roman"/>
          <w:sz w:val="24"/>
          <w:szCs w:val="24"/>
        </w:rPr>
      </w:pPr>
      <w:r w:rsidRPr="5B610C6B">
        <w:rPr>
          <w:rFonts w:ascii="Times New Roman" w:hAnsi="Times New Roman" w:cs="Times New Roman"/>
          <w:sz w:val="24"/>
          <w:szCs w:val="24"/>
        </w:rPr>
        <w:t>This dissertation first describes the newly developed HWRF DA system and related methodologies in Chapter 2.  Using the advanced HWRF DA system, the optimal way to utilize the vortex-scale observations to improve TC intensity predictions is studied</w:t>
      </w:r>
      <w:r w:rsidR="008A3EBA">
        <w:rPr>
          <w:rFonts w:ascii="Times New Roman" w:hAnsi="Times New Roman" w:cs="Times New Roman"/>
          <w:sz w:val="24"/>
          <w:szCs w:val="24"/>
        </w:rPr>
        <w:t xml:space="preserve"> in the rest of this dissertation</w:t>
      </w:r>
      <w:r w:rsidRPr="5B610C6B">
        <w:rPr>
          <w:rFonts w:ascii="Times New Roman" w:hAnsi="Times New Roman" w:cs="Times New Roman"/>
          <w:sz w:val="24"/>
          <w:szCs w:val="24"/>
        </w:rPr>
        <w:t>.  Specifically, the following three scientific questions are addressed: (</w:t>
      </w:r>
      <w:proofErr w:type="spellStart"/>
      <w:r w:rsidRPr="5B610C6B">
        <w:rPr>
          <w:rFonts w:ascii="Times New Roman" w:hAnsi="Times New Roman" w:cs="Times New Roman"/>
          <w:sz w:val="24"/>
          <w:szCs w:val="24"/>
        </w:rPr>
        <w:t>i</w:t>
      </w:r>
      <w:proofErr w:type="spellEnd"/>
      <w:r w:rsidRPr="5B610C6B">
        <w:rPr>
          <w:rFonts w:ascii="Times New Roman" w:hAnsi="Times New Roman" w:cs="Times New Roman"/>
          <w:sz w:val="24"/>
          <w:szCs w:val="24"/>
        </w:rPr>
        <w:t xml:space="preserve">) Would using a more advance data assimilation system to assimilate vortex-scale observations help improve the TC analysis and intensity prediction?  (ii) Is a realistic DA analysis produced by the advanced DA system sufficient to improve TC intensity prediction?  And (iii) What’s the relative impact of various in-situ vortex-scale observations on TC prediction? </w:t>
      </w:r>
    </w:p>
    <w:p w14:paraId="5D871378" w14:textId="49E1DF5C" w:rsidR="002C420E" w:rsidRPr="00723DA9" w:rsidRDefault="00F66994" w:rsidP="00771F99">
      <w:pPr>
        <w:spacing w:after="0" w:line="480" w:lineRule="auto"/>
        <w:ind w:firstLine="432"/>
        <w:rPr>
          <w:rFonts w:ascii="Times New Roman" w:hAnsi="Times New Roman" w:cs="Times New Roman"/>
          <w:sz w:val="24"/>
          <w:szCs w:val="24"/>
        </w:rPr>
      </w:pPr>
      <w:r>
        <w:rPr>
          <w:rFonts w:ascii="Times New Roman" w:hAnsi="Times New Roman" w:cs="Times New Roman"/>
          <w:sz w:val="24"/>
          <w:szCs w:val="24"/>
        </w:rPr>
        <w:t xml:space="preserve">A detailed study with </w:t>
      </w:r>
      <w:r w:rsidR="001E493C">
        <w:rPr>
          <w:rFonts w:ascii="Times New Roman" w:hAnsi="Times New Roman" w:cs="Times New Roman"/>
          <w:sz w:val="24"/>
          <w:szCs w:val="24"/>
        </w:rPr>
        <w:t>H</w:t>
      </w:r>
      <w:r>
        <w:rPr>
          <w:rFonts w:ascii="Times New Roman" w:hAnsi="Times New Roman" w:cs="Times New Roman"/>
          <w:sz w:val="24"/>
          <w:szCs w:val="24"/>
        </w:rPr>
        <w:t xml:space="preserve">urricane Edouard (2014) </w:t>
      </w:r>
      <w:r w:rsidR="003439CC">
        <w:rPr>
          <w:rFonts w:ascii="Times New Roman" w:hAnsi="Times New Roman" w:cs="Times New Roman"/>
          <w:sz w:val="24"/>
          <w:szCs w:val="24"/>
        </w:rPr>
        <w:t>to</w:t>
      </w:r>
      <w:r>
        <w:rPr>
          <w:rFonts w:ascii="Times New Roman" w:hAnsi="Times New Roman" w:cs="Times New Roman"/>
          <w:sz w:val="24"/>
          <w:szCs w:val="24"/>
        </w:rPr>
        <w:t xml:space="preserve"> investigat</w:t>
      </w:r>
      <w:r w:rsidR="003439CC">
        <w:rPr>
          <w:rFonts w:ascii="Times New Roman" w:hAnsi="Times New Roman" w:cs="Times New Roman"/>
          <w:sz w:val="24"/>
          <w:szCs w:val="24"/>
        </w:rPr>
        <w:t>e</w:t>
      </w:r>
      <w:r>
        <w:rPr>
          <w:rFonts w:ascii="Times New Roman" w:hAnsi="Times New Roman" w:cs="Times New Roman"/>
          <w:sz w:val="24"/>
          <w:szCs w:val="24"/>
        </w:rPr>
        <w:t xml:space="preserve"> the optimal DA configuration is documented first in </w:t>
      </w:r>
      <w:r w:rsidR="00E22E12" w:rsidRPr="00723DA9">
        <w:rPr>
          <w:rFonts w:ascii="Times New Roman" w:hAnsi="Times New Roman" w:cs="Times New Roman"/>
          <w:sz w:val="24"/>
          <w:szCs w:val="24"/>
        </w:rPr>
        <w:t>Chapter</w:t>
      </w:r>
      <w:r w:rsidR="60B54FDB" w:rsidRPr="00723DA9">
        <w:rPr>
          <w:rFonts w:ascii="Times New Roman" w:hAnsi="Times New Roman" w:cs="Times New Roman"/>
          <w:sz w:val="24"/>
          <w:szCs w:val="24"/>
        </w:rPr>
        <w:t xml:space="preserve"> 3</w:t>
      </w:r>
      <w:r>
        <w:rPr>
          <w:rFonts w:ascii="Times New Roman" w:hAnsi="Times New Roman" w:cs="Times New Roman"/>
          <w:sz w:val="24"/>
          <w:szCs w:val="24"/>
        </w:rPr>
        <w:t xml:space="preserve">. </w:t>
      </w:r>
      <w:r w:rsidR="60B54FDB" w:rsidRPr="00723DA9">
        <w:rPr>
          <w:rFonts w:ascii="Times New Roman" w:hAnsi="Times New Roman" w:cs="Times New Roman"/>
          <w:sz w:val="24"/>
          <w:szCs w:val="24"/>
        </w:rPr>
        <w:t xml:space="preserve"> </w:t>
      </w:r>
      <w:r>
        <w:rPr>
          <w:rFonts w:ascii="Times New Roman" w:hAnsi="Times New Roman" w:cs="Times New Roman"/>
          <w:sz w:val="24"/>
          <w:szCs w:val="24"/>
        </w:rPr>
        <w:t xml:space="preserve">As part of the investigation, detailed diagnostics are also performed in this chapter to explore </w:t>
      </w:r>
      <w:r w:rsidR="004B2E8E">
        <w:rPr>
          <w:rFonts w:ascii="Times New Roman" w:hAnsi="Times New Roman" w:cs="Times New Roman"/>
          <w:sz w:val="24"/>
          <w:szCs w:val="24"/>
        </w:rPr>
        <w:t xml:space="preserve">the </w:t>
      </w:r>
      <w:r>
        <w:rPr>
          <w:rFonts w:ascii="Times New Roman" w:hAnsi="Times New Roman" w:cs="Times New Roman"/>
          <w:sz w:val="24"/>
          <w:szCs w:val="24"/>
        </w:rPr>
        <w:t xml:space="preserve">potential of this newly developed DA system </w:t>
      </w:r>
      <w:r w:rsidR="001B411D">
        <w:rPr>
          <w:rFonts w:ascii="Times New Roman" w:hAnsi="Times New Roman" w:cs="Times New Roman"/>
          <w:sz w:val="24"/>
          <w:szCs w:val="24"/>
        </w:rPr>
        <w:t xml:space="preserve">to improve the intensity prediction of TCs </w:t>
      </w:r>
      <w:r>
        <w:rPr>
          <w:rFonts w:ascii="Times New Roman" w:hAnsi="Times New Roman" w:cs="Times New Roman"/>
          <w:sz w:val="24"/>
          <w:szCs w:val="24"/>
        </w:rPr>
        <w:t>over the operational HWRF by comparing the TC analysis and forecast</w:t>
      </w:r>
      <w:r w:rsidR="60B54FDB" w:rsidRPr="00723DA9">
        <w:rPr>
          <w:rFonts w:ascii="Times New Roman" w:hAnsi="Times New Roman" w:cs="Times New Roman"/>
          <w:sz w:val="24"/>
          <w:szCs w:val="24"/>
        </w:rPr>
        <w:t xml:space="preserve">.  </w:t>
      </w:r>
      <w:r w:rsidR="00AC573F">
        <w:rPr>
          <w:rFonts w:ascii="Times New Roman" w:hAnsi="Times New Roman" w:cs="Times New Roman"/>
          <w:sz w:val="24"/>
          <w:szCs w:val="24"/>
        </w:rPr>
        <w:t>Next in C</w:t>
      </w:r>
      <w:r w:rsidR="00E22E12" w:rsidRPr="00723DA9">
        <w:rPr>
          <w:rFonts w:ascii="Times New Roman" w:hAnsi="Times New Roman" w:cs="Times New Roman"/>
          <w:sz w:val="24"/>
          <w:szCs w:val="24"/>
        </w:rPr>
        <w:t>hapter</w:t>
      </w:r>
      <w:r w:rsidR="60B54FDB" w:rsidRPr="00723DA9">
        <w:rPr>
          <w:rFonts w:ascii="Times New Roman" w:hAnsi="Times New Roman" w:cs="Times New Roman"/>
          <w:sz w:val="24"/>
          <w:szCs w:val="24"/>
        </w:rPr>
        <w:t xml:space="preserve"> 4</w:t>
      </w:r>
      <w:r w:rsidR="00AC573F">
        <w:rPr>
          <w:rFonts w:ascii="Times New Roman" w:hAnsi="Times New Roman" w:cs="Times New Roman"/>
          <w:sz w:val="24"/>
          <w:szCs w:val="24"/>
        </w:rPr>
        <w:t>, th</w:t>
      </w:r>
      <w:r w:rsidR="008B2595">
        <w:rPr>
          <w:rFonts w:ascii="Times New Roman" w:hAnsi="Times New Roman" w:cs="Times New Roman"/>
          <w:sz w:val="24"/>
          <w:szCs w:val="24"/>
        </w:rPr>
        <w:t>e</w:t>
      </w:r>
      <w:r w:rsidR="00AC573F">
        <w:rPr>
          <w:rFonts w:ascii="Times New Roman" w:hAnsi="Times New Roman" w:cs="Times New Roman"/>
          <w:sz w:val="24"/>
          <w:szCs w:val="24"/>
        </w:rPr>
        <w:t xml:space="preserve"> dissertation</w:t>
      </w:r>
      <w:r w:rsidR="60B54FDB" w:rsidRPr="00723DA9">
        <w:rPr>
          <w:rFonts w:ascii="Times New Roman" w:hAnsi="Times New Roman" w:cs="Times New Roman"/>
          <w:sz w:val="24"/>
          <w:szCs w:val="24"/>
        </w:rPr>
        <w:t xml:space="preserve"> </w:t>
      </w:r>
      <w:r w:rsidR="001E493C">
        <w:rPr>
          <w:rFonts w:ascii="Times New Roman" w:hAnsi="Times New Roman" w:cs="Times New Roman"/>
          <w:sz w:val="24"/>
          <w:szCs w:val="24"/>
        </w:rPr>
        <w:t>investigates</w:t>
      </w:r>
      <w:r w:rsidR="60B54FDB" w:rsidRPr="00723DA9">
        <w:rPr>
          <w:rFonts w:ascii="Times New Roman" w:hAnsi="Times New Roman" w:cs="Times New Roman"/>
          <w:sz w:val="24"/>
          <w:szCs w:val="24"/>
        </w:rPr>
        <w:t xml:space="preserve"> the </w:t>
      </w:r>
      <w:r w:rsidR="001E493C">
        <w:rPr>
          <w:rFonts w:ascii="Times New Roman" w:hAnsi="Times New Roman" w:cs="Times New Roman"/>
          <w:sz w:val="24"/>
          <w:szCs w:val="24"/>
        </w:rPr>
        <w:t xml:space="preserve">reason why a more realistic DA analysis cannot produce an improved intensity forecast over the more unrealistic </w:t>
      </w:r>
      <w:r w:rsidR="00A42774">
        <w:rPr>
          <w:rFonts w:ascii="Times New Roman" w:hAnsi="Times New Roman" w:cs="Times New Roman"/>
          <w:sz w:val="24"/>
          <w:szCs w:val="24"/>
        </w:rPr>
        <w:t xml:space="preserve">Vortex </w:t>
      </w:r>
      <w:r w:rsidR="00A42774">
        <w:rPr>
          <w:rFonts w:ascii="Times New Roman" w:hAnsi="Times New Roman" w:cs="Times New Roman"/>
          <w:sz w:val="24"/>
          <w:szCs w:val="24"/>
        </w:rPr>
        <w:lastRenderedPageBreak/>
        <w:t>Modification (VM)</w:t>
      </w:r>
      <w:r w:rsidR="001E493C">
        <w:rPr>
          <w:rFonts w:ascii="Times New Roman" w:hAnsi="Times New Roman" w:cs="Times New Roman"/>
          <w:sz w:val="24"/>
          <w:szCs w:val="24"/>
        </w:rPr>
        <w:t xml:space="preserve"> analysis during Hurricane Patricia (2015).   A hypothesis about the incompatibility between the realistic DA and unrealistic model physics has been proposed, and experiments with improved model physics are conducted in this chapter to support the hypothesis.  Additionally, experiments with model resolution changes are also conducted to explore the impact of model resolution</w:t>
      </w:r>
      <w:r w:rsidR="00035359">
        <w:rPr>
          <w:rFonts w:ascii="Times New Roman" w:hAnsi="Times New Roman" w:cs="Times New Roman"/>
          <w:sz w:val="24"/>
          <w:szCs w:val="24"/>
        </w:rPr>
        <w:t xml:space="preserve"> in the intensification and peak intensity prediction</w:t>
      </w:r>
      <w:r w:rsidR="003211CC">
        <w:rPr>
          <w:rFonts w:ascii="Times New Roman" w:hAnsi="Times New Roman" w:cs="Times New Roman"/>
          <w:sz w:val="24"/>
          <w:szCs w:val="24"/>
        </w:rPr>
        <w:t xml:space="preserve"> of TCs</w:t>
      </w:r>
      <w:r w:rsidR="001E493C">
        <w:rPr>
          <w:rFonts w:ascii="Times New Roman" w:hAnsi="Times New Roman" w:cs="Times New Roman"/>
          <w:sz w:val="24"/>
          <w:szCs w:val="24"/>
        </w:rPr>
        <w:t xml:space="preserve">.  Finally, </w:t>
      </w:r>
      <w:r w:rsidR="00E22E12" w:rsidRPr="00723DA9">
        <w:rPr>
          <w:rFonts w:ascii="Times New Roman" w:hAnsi="Times New Roman" w:cs="Times New Roman"/>
          <w:sz w:val="24"/>
          <w:szCs w:val="24"/>
        </w:rPr>
        <w:t>Chapter</w:t>
      </w:r>
      <w:r w:rsidR="60B54FDB" w:rsidRPr="00723DA9">
        <w:rPr>
          <w:rFonts w:ascii="Times New Roman" w:hAnsi="Times New Roman" w:cs="Times New Roman"/>
          <w:sz w:val="24"/>
          <w:szCs w:val="24"/>
        </w:rPr>
        <w:t xml:space="preserve"> 5 </w:t>
      </w:r>
      <w:r w:rsidR="00867BBD">
        <w:rPr>
          <w:rFonts w:ascii="Times New Roman" w:hAnsi="Times New Roman" w:cs="Times New Roman"/>
          <w:sz w:val="24"/>
          <w:szCs w:val="24"/>
        </w:rPr>
        <w:t>explores</w:t>
      </w:r>
      <w:r w:rsidR="60B54FDB" w:rsidRPr="00723DA9">
        <w:rPr>
          <w:rFonts w:ascii="Times New Roman" w:hAnsi="Times New Roman" w:cs="Times New Roman"/>
          <w:sz w:val="24"/>
          <w:szCs w:val="24"/>
        </w:rPr>
        <w:t xml:space="preserve"> </w:t>
      </w:r>
      <w:r w:rsidR="00B44166" w:rsidRPr="00723DA9">
        <w:rPr>
          <w:rFonts w:ascii="Times New Roman" w:hAnsi="Times New Roman" w:cs="Times New Roman"/>
          <w:sz w:val="24"/>
          <w:szCs w:val="24"/>
        </w:rPr>
        <w:t>the</w:t>
      </w:r>
      <w:r w:rsidR="00867BBD">
        <w:rPr>
          <w:rFonts w:ascii="Times New Roman" w:hAnsi="Times New Roman" w:cs="Times New Roman"/>
          <w:sz w:val="24"/>
          <w:szCs w:val="24"/>
        </w:rPr>
        <w:t xml:space="preserve"> relative</w:t>
      </w:r>
      <w:r w:rsidR="00B44166" w:rsidRPr="00723DA9">
        <w:rPr>
          <w:rFonts w:ascii="Times New Roman" w:hAnsi="Times New Roman" w:cs="Times New Roman"/>
          <w:sz w:val="24"/>
          <w:szCs w:val="24"/>
        </w:rPr>
        <w:t xml:space="preserve"> impacts of various</w:t>
      </w:r>
      <w:r w:rsidR="00714391">
        <w:rPr>
          <w:rFonts w:ascii="Times New Roman" w:hAnsi="Times New Roman" w:cs="Times New Roman"/>
          <w:sz w:val="24"/>
          <w:szCs w:val="24"/>
        </w:rPr>
        <w:t xml:space="preserve"> vortex-scale</w:t>
      </w:r>
      <w:r w:rsidR="00B44166" w:rsidRPr="00723DA9">
        <w:rPr>
          <w:rFonts w:ascii="Times New Roman" w:hAnsi="Times New Roman" w:cs="Times New Roman"/>
          <w:sz w:val="24"/>
          <w:szCs w:val="24"/>
        </w:rPr>
        <w:t xml:space="preserve"> observations on the analysis and prediction of Patricia</w:t>
      </w:r>
      <w:r w:rsidR="60B54FDB" w:rsidRPr="00723DA9">
        <w:rPr>
          <w:rFonts w:ascii="Times New Roman" w:hAnsi="Times New Roman" w:cs="Times New Roman"/>
          <w:sz w:val="24"/>
          <w:szCs w:val="24"/>
        </w:rPr>
        <w:t>.</w:t>
      </w:r>
      <w:r w:rsidR="00635555" w:rsidRPr="00723DA9">
        <w:rPr>
          <w:rFonts w:ascii="Times New Roman" w:hAnsi="Times New Roman" w:cs="Times New Roman"/>
          <w:sz w:val="24"/>
          <w:szCs w:val="24"/>
        </w:rPr>
        <w:t xml:space="preserve">  </w:t>
      </w:r>
      <w:r w:rsidR="60B54FDB" w:rsidRPr="00723DA9">
        <w:rPr>
          <w:rFonts w:ascii="Times New Roman" w:hAnsi="Times New Roman" w:cs="Times New Roman"/>
          <w:sz w:val="24"/>
          <w:szCs w:val="24"/>
        </w:rPr>
        <w:t xml:space="preserve">A general summary and future plans are given in </w:t>
      </w:r>
      <w:r w:rsidR="00E22E12" w:rsidRPr="00723DA9">
        <w:rPr>
          <w:rFonts w:ascii="Times New Roman" w:hAnsi="Times New Roman" w:cs="Times New Roman"/>
          <w:sz w:val="24"/>
          <w:szCs w:val="24"/>
        </w:rPr>
        <w:t>Chapter</w:t>
      </w:r>
      <w:r w:rsidR="60B54FDB" w:rsidRPr="00723DA9">
        <w:rPr>
          <w:rFonts w:ascii="Times New Roman" w:hAnsi="Times New Roman" w:cs="Times New Roman"/>
          <w:sz w:val="24"/>
          <w:szCs w:val="24"/>
        </w:rPr>
        <w:t xml:space="preserve"> 6.</w:t>
      </w:r>
    </w:p>
    <w:p w14:paraId="43F6E00D" w14:textId="0E11636D" w:rsidR="008B33D8" w:rsidRPr="00723DA9" w:rsidRDefault="008B33D8" w:rsidP="00771F99">
      <w:pPr>
        <w:spacing w:after="0" w:line="480" w:lineRule="auto"/>
        <w:rPr>
          <w:rFonts w:ascii="Times New Roman" w:eastAsiaTheme="majorEastAsia" w:hAnsi="Times New Roman" w:cs="Times New Roman"/>
          <w:b/>
          <w:sz w:val="24"/>
          <w:szCs w:val="24"/>
        </w:rPr>
      </w:pPr>
      <w:r w:rsidRPr="00723DA9">
        <w:rPr>
          <w:rFonts w:ascii="Times New Roman" w:hAnsi="Times New Roman" w:cs="Times New Roman"/>
          <w:b/>
          <w:sz w:val="24"/>
          <w:szCs w:val="24"/>
        </w:rPr>
        <w:br w:type="page"/>
      </w:r>
    </w:p>
    <w:p w14:paraId="2DDEE147" w14:textId="3852F66B" w:rsidR="006E1813" w:rsidRPr="00723DA9" w:rsidRDefault="00E22E12" w:rsidP="004D6806">
      <w:pPr>
        <w:pStyle w:val="Heading1"/>
        <w:spacing w:before="0" w:after="240" w:line="480" w:lineRule="auto"/>
        <w:rPr>
          <w:rFonts w:ascii="Times New Roman" w:hAnsi="Times New Roman" w:cs="Times New Roman"/>
          <w:b/>
          <w:color w:val="auto"/>
          <w:sz w:val="24"/>
          <w:szCs w:val="24"/>
        </w:rPr>
      </w:pPr>
      <w:bookmarkStart w:id="8" w:name="_Toc21623973"/>
      <w:r w:rsidRPr="00723DA9">
        <w:rPr>
          <w:rFonts w:ascii="Times New Roman" w:hAnsi="Times New Roman" w:cs="Times New Roman"/>
          <w:b/>
          <w:color w:val="auto"/>
          <w:sz w:val="24"/>
          <w:szCs w:val="24"/>
        </w:rPr>
        <w:lastRenderedPageBreak/>
        <w:t>Chapter</w:t>
      </w:r>
      <w:r w:rsidR="008B33D8" w:rsidRPr="00723DA9">
        <w:rPr>
          <w:rFonts w:ascii="Times New Roman" w:hAnsi="Times New Roman" w:cs="Times New Roman"/>
          <w:b/>
          <w:color w:val="auto"/>
          <w:sz w:val="24"/>
          <w:szCs w:val="24"/>
        </w:rPr>
        <w:t xml:space="preserve"> 2: </w:t>
      </w:r>
      <w:r w:rsidR="006C69C0" w:rsidRPr="00723DA9">
        <w:rPr>
          <w:rFonts w:ascii="Times New Roman" w:hAnsi="Times New Roman" w:cs="Times New Roman"/>
          <w:b/>
          <w:color w:val="auto"/>
          <w:sz w:val="24"/>
          <w:szCs w:val="24"/>
        </w:rPr>
        <w:t>Methodolog</w:t>
      </w:r>
      <w:r w:rsidR="00C176CC">
        <w:rPr>
          <w:rFonts w:ascii="Times New Roman" w:hAnsi="Times New Roman" w:cs="Times New Roman"/>
          <w:b/>
          <w:color w:val="auto"/>
          <w:sz w:val="24"/>
          <w:szCs w:val="24"/>
        </w:rPr>
        <w:t>ies</w:t>
      </w:r>
      <w:r w:rsidR="00701585" w:rsidRPr="00723DA9">
        <w:rPr>
          <w:rFonts w:ascii="Times New Roman" w:hAnsi="Times New Roman" w:cs="Times New Roman"/>
          <w:b/>
          <w:color w:val="auto"/>
          <w:sz w:val="24"/>
          <w:szCs w:val="24"/>
        </w:rPr>
        <w:t xml:space="preserve"> and System </w:t>
      </w:r>
      <w:r w:rsidR="00AD5DDF">
        <w:rPr>
          <w:rFonts w:ascii="Times New Roman" w:hAnsi="Times New Roman" w:cs="Times New Roman"/>
          <w:b/>
          <w:color w:val="auto"/>
          <w:sz w:val="24"/>
          <w:szCs w:val="24"/>
        </w:rPr>
        <w:t>Description</w:t>
      </w:r>
      <w:bookmarkEnd w:id="8"/>
    </w:p>
    <w:p w14:paraId="57904265" w14:textId="2AD0CF93" w:rsidR="00EB4A18" w:rsidRPr="00723DA9" w:rsidRDefault="00C176CC" w:rsidP="006562DB">
      <w:pPr>
        <w:pStyle w:val="Heading2"/>
        <w:numPr>
          <w:ilvl w:val="1"/>
          <w:numId w:val="16"/>
        </w:numPr>
        <w:spacing w:line="480" w:lineRule="auto"/>
        <w:ind w:left="0" w:firstLine="0"/>
        <w:rPr>
          <w:rFonts w:ascii="Times New Roman" w:hAnsi="Times New Roman" w:cs="Times New Roman"/>
          <w:b/>
          <w:color w:val="auto"/>
          <w:sz w:val="24"/>
          <w:szCs w:val="24"/>
        </w:rPr>
      </w:pPr>
      <w:bookmarkStart w:id="9" w:name="_Toc21623974"/>
      <w:r>
        <w:rPr>
          <w:rFonts w:ascii="Times New Roman" w:hAnsi="Times New Roman" w:cs="Times New Roman"/>
          <w:b/>
          <w:color w:val="auto"/>
          <w:sz w:val="24"/>
          <w:szCs w:val="24"/>
        </w:rPr>
        <w:t xml:space="preserve">Overview of the </w:t>
      </w:r>
      <w:r w:rsidR="00EB4A18" w:rsidRPr="00723DA9">
        <w:rPr>
          <w:rFonts w:ascii="Times New Roman" w:hAnsi="Times New Roman" w:cs="Times New Roman"/>
          <w:b/>
          <w:color w:val="auto"/>
          <w:sz w:val="24"/>
          <w:szCs w:val="24"/>
        </w:rPr>
        <w:t>GSI-based, continuously cycled, dual-resolution hybrid ensemble-variational (</w:t>
      </w:r>
      <w:proofErr w:type="spellStart"/>
      <w:r w:rsidR="00EB4A18" w:rsidRPr="00723DA9">
        <w:rPr>
          <w:rFonts w:ascii="Times New Roman" w:hAnsi="Times New Roman" w:cs="Times New Roman"/>
          <w:b/>
          <w:color w:val="auto"/>
          <w:sz w:val="24"/>
          <w:szCs w:val="24"/>
        </w:rPr>
        <w:t>EnVar</w:t>
      </w:r>
      <w:proofErr w:type="spellEnd"/>
      <w:r w:rsidR="00EB4A18" w:rsidRPr="00723DA9">
        <w:rPr>
          <w:rFonts w:ascii="Times New Roman" w:hAnsi="Times New Roman" w:cs="Times New Roman"/>
          <w:b/>
          <w:color w:val="auto"/>
          <w:sz w:val="24"/>
          <w:szCs w:val="24"/>
        </w:rPr>
        <w:t>) DA system for HWRF</w:t>
      </w:r>
      <w:bookmarkEnd w:id="9"/>
      <w:r w:rsidR="00EB4A18" w:rsidRPr="00723DA9">
        <w:rPr>
          <w:rFonts w:ascii="Times New Roman" w:hAnsi="Times New Roman" w:cs="Times New Roman"/>
          <w:b/>
          <w:color w:val="auto"/>
          <w:sz w:val="24"/>
          <w:szCs w:val="24"/>
        </w:rPr>
        <w:t xml:space="preserve"> </w:t>
      </w:r>
    </w:p>
    <w:p w14:paraId="544FEF69" w14:textId="026F98A4"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Following the early development</w:t>
      </w:r>
      <w:r w:rsidR="0018159E">
        <w:rPr>
          <w:rFonts w:ascii="Times New Roman" w:eastAsia="宋体" w:hAnsi="Times New Roman" w:cs="Times New Roman"/>
          <w:sz w:val="24"/>
          <w:szCs w:val="24"/>
        </w:rPr>
        <w:t xml:space="preserve"> in</w:t>
      </w:r>
      <w:r w:rsidR="002E0A45" w:rsidRPr="00723DA9">
        <w:rPr>
          <w:rFonts w:ascii="Times New Roman" w:eastAsia="宋体" w:hAnsi="Times New Roman" w:cs="Times New Roman"/>
          <w:sz w:val="24"/>
          <w:szCs w:val="24"/>
        </w:rPr>
        <w:t xml:space="preserve"> </w:t>
      </w:r>
      <w:r w:rsidR="002E0A45" w:rsidRPr="00723DA9">
        <w:rPr>
          <w:rFonts w:ascii="Times New Roman" w:hAnsi="Times New Roman" w:cs="Times New Roman"/>
        </w:rPr>
        <w:fldChar w:fldCharType="begin" w:fldLock="1"/>
      </w:r>
      <w:r w:rsidR="0018159E">
        <w:rPr>
          <w:rFonts w:ascii="Times New Roman" w:eastAsia="宋体" w:hAnsi="Times New Roman" w:cs="Times New Roman"/>
          <w:sz w:val="24"/>
          <w:szCs w:val="24"/>
        </w:rPr>
        <w:instrText>ADDIN CSL_CITATION {"citationItems":[{"id":"ITEM-1","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assimilation","type":"article-journal","volume":"143"},"uris":["http://www.mendeley.com/documents/?uuid=c3225f76-d6f6-4c30-9c20-7f67e167eeaf"]}],"mendeley":{"formattedCitation":"(Lu et al. 2017a)","manualFormatting":"Lu et al. (2017a)","plainTextFormattedCitation":"(Lu et al. 2017a)","previouslyFormattedCitation":"(Lu et al. 2017a)"},"properties":{"noteIndex":0},"schema":"https://github.com/citation-style-language/schema/raw/master/csl-citation.json"}</w:instrText>
      </w:r>
      <w:r w:rsidR="002E0A45" w:rsidRPr="00723DA9">
        <w:rPr>
          <w:rFonts w:ascii="Times New Roman" w:eastAsia="宋体" w:hAnsi="Times New Roman" w:cs="Times New Roman"/>
          <w:sz w:val="24"/>
          <w:szCs w:val="24"/>
        </w:rPr>
        <w:fldChar w:fldCharType="separate"/>
      </w:r>
      <w:r w:rsidR="002E0A45" w:rsidRPr="00723DA9">
        <w:rPr>
          <w:rFonts w:ascii="Times New Roman" w:eastAsia="宋体" w:hAnsi="Times New Roman" w:cs="Times New Roman"/>
          <w:noProof/>
          <w:sz w:val="24"/>
          <w:szCs w:val="24"/>
        </w:rPr>
        <w:t xml:space="preserve">Lu et al. </w:t>
      </w:r>
      <w:r w:rsidR="0018159E">
        <w:rPr>
          <w:rFonts w:ascii="Times New Roman" w:eastAsia="宋体" w:hAnsi="Times New Roman" w:cs="Times New Roman"/>
          <w:noProof/>
          <w:sz w:val="24"/>
          <w:szCs w:val="24"/>
        </w:rPr>
        <w:t>(</w:t>
      </w:r>
      <w:r w:rsidR="002E0A45" w:rsidRPr="00723DA9">
        <w:rPr>
          <w:rFonts w:ascii="Times New Roman" w:eastAsia="宋体" w:hAnsi="Times New Roman" w:cs="Times New Roman"/>
          <w:noProof/>
          <w:sz w:val="24"/>
          <w:szCs w:val="24"/>
        </w:rPr>
        <w:t>2017a)</w:t>
      </w:r>
      <w:r w:rsidR="002E0A45"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w:t>
      </w:r>
      <w:r w:rsidR="00DE2D34">
        <w:rPr>
          <w:rFonts w:ascii="Times New Roman" w:eastAsia="宋体" w:hAnsi="Times New Roman" w:cs="Times New Roman"/>
          <w:sz w:val="24"/>
          <w:szCs w:val="24"/>
        </w:rPr>
        <w:t>a</w:t>
      </w:r>
      <w:r w:rsidRPr="00723DA9">
        <w:rPr>
          <w:rFonts w:ascii="Times New Roman" w:eastAsia="宋体" w:hAnsi="Times New Roman" w:cs="Times New Roman"/>
          <w:sz w:val="24"/>
          <w:szCs w:val="24"/>
        </w:rPr>
        <w:t xml:space="preserve"> GSI-based hybrid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-Var DA system for HWRF is further </w:t>
      </w:r>
      <w:r w:rsidR="00DE2D34">
        <w:rPr>
          <w:rFonts w:ascii="Times New Roman" w:eastAsia="宋体" w:hAnsi="Times New Roman" w:cs="Times New Roman"/>
          <w:sz w:val="24"/>
          <w:szCs w:val="24"/>
        </w:rPr>
        <w:t>developed</w:t>
      </w:r>
      <w:r w:rsidRPr="00723DA9">
        <w:rPr>
          <w:rFonts w:ascii="Times New Roman" w:eastAsia="宋体" w:hAnsi="Times New Roman" w:cs="Times New Roman"/>
          <w:sz w:val="24"/>
          <w:szCs w:val="24"/>
        </w:rPr>
        <w:t xml:space="preserve"> in this study to integrate with VI and to include the continuously cycling, dual-resolution 3DEnVar and 4DEnVar capabilities.</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Figure </w:t>
      </w:r>
      <w:r w:rsidR="00DC503E" w:rsidRPr="00723DA9">
        <w:rPr>
          <w:rFonts w:ascii="Times New Roman" w:eastAsia="宋体" w:hAnsi="Times New Roman" w:cs="Times New Roman"/>
          <w:sz w:val="24"/>
          <w:szCs w:val="24"/>
        </w:rPr>
        <w:t>2.</w:t>
      </w:r>
      <w:r w:rsidRPr="00723DA9">
        <w:rPr>
          <w:rFonts w:ascii="Times New Roman" w:eastAsia="宋体" w:hAnsi="Times New Roman" w:cs="Times New Roman"/>
          <w:sz w:val="24"/>
          <w:szCs w:val="24"/>
        </w:rPr>
        <w:t>1 shows an example of the flow chart of the newly developed system, and a detailed description follows below.</w:t>
      </w:r>
    </w:p>
    <w:p w14:paraId="1B136E8F" w14:textId="77777777" w:rsidR="0083574D" w:rsidRPr="00723DA9" w:rsidRDefault="0083574D" w:rsidP="0083574D">
      <w:pPr>
        <w:pStyle w:val="Captions"/>
        <w:spacing w:after="0"/>
        <w:rPr>
          <w:rFonts w:eastAsia="宋体" w:cs="Times New Roman"/>
        </w:rPr>
      </w:pPr>
    </w:p>
    <w:p w14:paraId="38A16E56" w14:textId="2C01891D" w:rsidR="00DC503E" w:rsidRPr="00723DA9" w:rsidRDefault="00DC503E" w:rsidP="00966FCE">
      <w:pPr>
        <w:spacing w:after="0" w:line="360" w:lineRule="auto"/>
        <w:rPr>
          <w:rFonts w:ascii="Times New Roman" w:hAnsi="Times New Roman" w:cs="Times New Roman"/>
          <w:sz w:val="24"/>
          <w:szCs w:val="24"/>
        </w:rPr>
      </w:pPr>
      <w:r w:rsidRPr="00723DA9">
        <w:rPr>
          <w:rFonts w:ascii="Times New Roman" w:hAnsi="Times New Roman" w:cs="Times New Roman"/>
          <w:noProof/>
          <w:sz w:val="24"/>
          <w:szCs w:val="24"/>
        </w:rPr>
        <w:drawing>
          <wp:inline distT="0" distB="0" distL="0" distR="0" wp14:anchorId="5A84EDBE" wp14:editId="5348D433">
            <wp:extent cx="5486400" cy="25895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589530"/>
                    </a:xfrm>
                    <a:prstGeom prst="rect">
                      <a:avLst/>
                    </a:prstGeom>
                    <a:noFill/>
                    <a:ln>
                      <a:noFill/>
                    </a:ln>
                  </pic:spPr>
                </pic:pic>
              </a:graphicData>
            </a:graphic>
          </wp:inline>
        </w:drawing>
      </w:r>
    </w:p>
    <w:p w14:paraId="4C5583B5" w14:textId="336914D8" w:rsidR="00DC503E" w:rsidRPr="00723DA9" w:rsidRDefault="009B6CC2" w:rsidP="006A6CBF">
      <w:pPr>
        <w:pStyle w:val="Captions"/>
        <w:spacing w:after="0"/>
        <w:rPr>
          <w:rFonts w:cs="Times New Roman"/>
        </w:rPr>
      </w:pPr>
      <w:bookmarkStart w:id="10" w:name="_Hlk495407543"/>
      <w:bookmarkStart w:id="11" w:name="_Toc21624031"/>
      <w:r w:rsidRPr="00723DA9">
        <w:rPr>
          <w:rFonts w:cs="Times New Roman"/>
        </w:rPr>
        <w:t xml:space="preserve">Figure </w:t>
      </w:r>
      <w:r w:rsidR="00BA7295" w:rsidRPr="00723DA9">
        <w:rPr>
          <w:rFonts w:cs="Times New Roman"/>
        </w:rPr>
        <w:t>2</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w:t>
      </w:r>
      <w:r w:rsidR="00771F99" w:rsidRPr="00723DA9">
        <w:rPr>
          <w:rFonts w:cs="Times New Roman"/>
          <w:noProof/>
        </w:rPr>
        <w:fldChar w:fldCharType="end"/>
      </w:r>
      <w:r w:rsidRPr="00723DA9">
        <w:rPr>
          <w:rFonts w:cs="Times New Roman"/>
        </w:rPr>
        <w:t xml:space="preserve"> </w:t>
      </w:r>
      <w:r w:rsidR="00DC503E" w:rsidRPr="00723DA9">
        <w:rPr>
          <w:rFonts w:cs="Times New Roman"/>
        </w:rPr>
        <w:t xml:space="preserve">Flow chart of GSI based </w:t>
      </w:r>
      <w:proofErr w:type="spellStart"/>
      <w:r w:rsidR="00DC503E" w:rsidRPr="00723DA9">
        <w:rPr>
          <w:rFonts w:cs="Times New Roman"/>
        </w:rPr>
        <w:t>EnKF</w:t>
      </w:r>
      <w:proofErr w:type="spellEnd"/>
      <w:r w:rsidR="00DC503E" w:rsidRPr="00723DA9">
        <w:rPr>
          <w:rFonts w:cs="Times New Roman"/>
        </w:rPr>
        <w:t>-Variational hybrid data assimilation system for HWRF (adapted from Wang et al. 2013).</w:t>
      </w:r>
      <w:bookmarkEnd w:id="10"/>
      <w:bookmarkEnd w:id="11"/>
    </w:p>
    <w:p w14:paraId="3447FD9D" w14:textId="77777777" w:rsidR="0083574D" w:rsidRPr="00723DA9" w:rsidRDefault="0083574D" w:rsidP="0083574D">
      <w:pPr>
        <w:pStyle w:val="Captions"/>
        <w:spacing w:after="0"/>
        <w:rPr>
          <w:rFonts w:eastAsia="宋体" w:cs="Times New Roman"/>
        </w:rPr>
      </w:pPr>
    </w:p>
    <w:p w14:paraId="19A07D5E" w14:textId="55030E85"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For the first cycle of a storm, a 40-member HWRF ensemble is initialized by the ensemble analyses from the National Centers for Environmental Prediction</w:t>
      </w:r>
      <w:r w:rsidR="004053ED" w:rsidRPr="004053ED">
        <w:rPr>
          <w:rFonts w:ascii="Times New Roman" w:eastAsia="宋体" w:hAnsi="Times New Roman" w:cs="Times New Roman"/>
          <w:sz w:val="24"/>
          <w:szCs w:val="24"/>
        </w:rPr>
        <w:t xml:space="preserve"> </w:t>
      </w:r>
      <w:r w:rsidR="004053ED">
        <w:rPr>
          <w:rFonts w:ascii="Times New Roman" w:eastAsia="宋体" w:hAnsi="Times New Roman" w:cs="Times New Roman"/>
          <w:sz w:val="24"/>
          <w:szCs w:val="24"/>
        </w:rPr>
        <w:t>(</w:t>
      </w:r>
      <w:r w:rsidR="004053ED" w:rsidRPr="00723DA9">
        <w:rPr>
          <w:rFonts w:ascii="Times New Roman" w:eastAsia="宋体" w:hAnsi="Times New Roman" w:cs="Times New Roman"/>
          <w:sz w:val="24"/>
          <w:szCs w:val="24"/>
        </w:rPr>
        <w:t>NCEP</w:t>
      </w:r>
      <w:r w:rsidRPr="00723DA9">
        <w:rPr>
          <w:rFonts w:ascii="Times New Roman" w:eastAsia="宋体" w:hAnsi="Times New Roman" w:cs="Times New Roman"/>
          <w:sz w:val="24"/>
          <w:szCs w:val="24"/>
        </w:rPr>
        <w:t>) operational GFS hybrid DA system</w:t>
      </w:r>
      <w:r w:rsidR="0052713F" w:rsidRPr="00723DA9">
        <w:rPr>
          <w:rFonts w:ascii="Times New Roman" w:eastAsia="宋体" w:hAnsi="Times New Roman" w:cs="Times New Roman"/>
          <w:sz w:val="24"/>
          <w:szCs w:val="24"/>
        </w:rPr>
        <w:t xml:space="preserve"> </w:t>
      </w:r>
      <w:r w:rsidR="0052713F" w:rsidRPr="00723DA9">
        <w:rPr>
          <w:rFonts w:ascii="Times New Roman" w:eastAsia="宋体" w:hAnsi="Times New Roman" w:cs="Times New Roman"/>
          <w:sz w:val="24"/>
          <w:szCs w:val="24"/>
        </w:rPr>
        <w:fldChar w:fldCharType="begin" w:fldLock="1"/>
      </w:r>
      <w:r w:rsidR="00C95365" w:rsidRPr="00723DA9">
        <w:rPr>
          <w:rFonts w:ascii="Times New Roman" w:eastAsia="宋体" w:hAnsi="Times New Roman" w:cs="Times New Roman"/>
          <w:sz w:val="24"/>
          <w:szCs w:val="24"/>
        </w:rPr>
        <w:instrText>ADDIN CSL_CITATION {"citationItems":[{"id":"ITEM-1","itemData":{"DOI":"10.1175/MWR-D-12-00141.1","ISSN":"0027-0644","author":[{"dropping-particle":"","family":"Wang","given":"Xuguang","non-dropping-particle":"","parse-names":false,"suffix":""},{"dropping-particle":"","family":"Parrish","given":"David","non-dropping-particle":"","parse-names":false,"suffix":""},{"dropping-particle":"","family":"Kleist","given":"Daryl","non-dropping-particle":"","parse-names":false,"suffix":""},{"dropping-particle":"","family":"Whitaker","given":"Jeffrey","non-dropping-particle":"","parse-names":false,"suffix":""}],"container-title":"Monthly Weather Review","id":"ITEM-1","issue":"11","issued":{"date-parts":[["2013"]]},"page":"4098-4117","title":"GSI 3DVar-Based Ensemble–Variational Hybrid Data Assimilation for NCEP Global Forecast System: Single-Resolution Experiments","type":"article-journal","volume":"141"},"uris":["http://www.mendeley.com/documents/?uuid=32b6d9cf-94de-43b1-804c-021d7bbf809d"]}],"mendeley":{"formattedCitation":"(Wang et al. 2013)","plainTextFormattedCitation":"(Wang et al. 2013)","previouslyFormattedCitation":"(Wang et al. 2013)"},"properties":{"noteIndex":0},"schema":"https://github.com/citation-style-language/schema/raw/master/csl-citation.json"}</w:instrText>
      </w:r>
      <w:r w:rsidR="0052713F" w:rsidRPr="00723DA9">
        <w:rPr>
          <w:rFonts w:ascii="Times New Roman" w:eastAsia="宋体" w:hAnsi="Times New Roman" w:cs="Times New Roman"/>
          <w:sz w:val="24"/>
          <w:szCs w:val="24"/>
        </w:rPr>
        <w:fldChar w:fldCharType="separate"/>
      </w:r>
      <w:r w:rsidR="0052713F" w:rsidRPr="00723DA9">
        <w:rPr>
          <w:rFonts w:ascii="Times New Roman" w:eastAsia="宋体" w:hAnsi="Times New Roman" w:cs="Times New Roman"/>
          <w:noProof/>
          <w:sz w:val="24"/>
          <w:szCs w:val="24"/>
        </w:rPr>
        <w:t>(Wang et al. 2013)</w:t>
      </w:r>
      <w:r w:rsidR="0052713F"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In the meantime, a single deterministic HWRF spin-up forecast is initialized by the control analysis from the same GFS system. </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Using the Tropical Cyclone Vitals </w:t>
      </w:r>
      <w:r w:rsidR="004053ED">
        <w:rPr>
          <w:rFonts w:ascii="Times New Roman" w:eastAsia="宋体" w:hAnsi="Times New Roman" w:cs="Times New Roman"/>
          <w:sz w:val="24"/>
          <w:szCs w:val="24"/>
        </w:rPr>
        <w:t>(</w:t>
      </w:r>
      <w:r w:rsidR="004053ED" w:rsidRPr="00723DA9">
        <w:rPr>
          <w:rFonts w:ascii="Times New Roman" w:eastAsia="宋体" w:hAnsi="Times New Roman" w:cs="Times New Roman"/>
          <w:sz w:val="24"/>
          <w:szCs w:val="24"/>
        </w:rPr>
        <w:t>TCVital</w:t>
      </w:r>
      <w:r w:rsidRPr="00723DA9">
        <w:rPr>
          <w:rFonts w:ascii="Times New Roman" w:eastAsia="宋体" w:hAnsi="Times New Roman" w:cs="Times New Roman"/>
          <w:sz w:val="24"/>
          <w:szCs w:val="24"/>
        </w:rPr>
        <w:t xml:space="preserve">) </w:t>
      </w:r>
      <w:r w:rsidR="00001D7C" w:rsidRPr="00723DA9">
        <w:rPr>
          <w:rFonts w:ascii="Times New Roman" w:eastAsia="宋体" w:hAnsi="Times New Roman" w:cs="Times New Roman"/>
          <w:sz w:val="24"/>
          <w:szCs w:val="24"/>
        </w:rPr>
        <w:t>database</w:t>
      </w:r>
      <w:r w:rsidR="00001D7C" w:rsidRPr="004053ED">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and following Liu et al. (</w:t>
      </w:r>
      <w:r w:rsidRPr="00723DA9">
        <w:rPr>
          <w:rFonts w:ascii="Times New Roman" w:eastAsia="MS Mincho" w:hAnsi="Times New Roman" w:cs="Times New Roman"/>
          <w:sz w:val="24"/>
          <w:szCs w:val="24"/>
        </w:rPr>
        <w:t>2000, 2006</w:t>
      </w:r>
      <w:r w:rsidRPr="00723DA9">
        <w:rPr>
          <w:rFonts w:ascii="Times New Roman" w:eastAsia="宋体" w:hAnsi="Times New Roman" w:cs="Times New Roman"/>
          <w:sz w:val="24"/>
          <w:szCs w:val="24"/>
        </w:rPr>
        <w:t xml:space="preserve">), vortices in the 6-hour </w:t>
      </w:r>
      <w:r w:rsidRPr="00723DA9">
        <w:rPr>
          <w:rFonts w:ascii="Times New Roman" w:eastAsia="宋体" w:hAnsi="Times New Roman" w:cs="Times New Roman"/>
          <w:sz w:val="24"/>
          <w:szCs w:val="24"/>
        </w:rPr>
        <w:lastRenderedPageBreak/>
        <w:t>ensemble forecast are relocated, while vortices in the control forecast valid at 3, 6 and 9 hours are both relocated and modified before meeting the requirement of First Guess at Appropriate Time</w:t>
      </w:r>
      <w:r w:rsidR="00001D7C">
        <w:rPr>
          <w:rFonts w:ascii="Times New Roman" w:eastAsia="宋体" w:hAnsi="Times New Roman" w:cs="Times New Roman"/>
          <w:sz w:val="24"/>
          <w:szCs w:val="24"/>
        </w:rPr>
        <w:t xml:space="preserve"> (FGAT</w:t>
      </w:r>
      <w:r w:rsidRPr="007A1DFF">
        <w:rPr>
          <w:rStyle w:val="FootnoteReference"/>
        </w:rPr>
        <w:footnoteReference w:id="1"/>
      </w:r>
      <w:r w:rsidRPr="00723DA9">
        <w:rPr>
          <w:rFonts w:ascii="Times New Roman" w:eastAsia="宋体" w:hAnsi="Times New Roman" w:cs="Times New Roman"/>
          <w:sz w:val="24"/>
          <w:szCs w:val="24"/>
        </w:rPr>
        <w:t xml:space="preserve">; see </w:t>
      </w:r>
      <w:r w:rsidR="00C95365" w:rsidRPr="00723DA9">
        <w:rPr>
          <w:rFonts w:ascii="Times New Roman" w:eastAsia="宋体" w:hAnsi="Times New Roman" w:cs="Times New Roman"/>
          <w:sz w:val="24"/>
          <w:szCs w:val="24"/>
        </w:rPr>
        <w:fldChar w:fldCharType="begin" w:fldLock="1"/>
      </w:r>
      <w:r w:rsidR="00F4310C" w:rsidRPr="00723DA9">
        <w:rPr>
          <w:rFonts w:ascii="Times New Roman" w:eastAsia="宋体" w:hAnsi="Times New Roman" w:cs="Times New Roman"/>
          <w:sz w:val="24"/>
          <w:szCs w:val="24"/>
        </w:rPr>
        <w:instrText>ADDIN CSL_CITATION {"citationItems":[{"id":"ITEM-1","itemData":{"DOI":"10.1175/WAF-D-11-00063.1","ISSN":"0882-8156","author":[{"dropping-particle":"","family":"Trahan","given":"Sam","non-dropping-particle":"","parse-names":false,"suffix":""},{"dropping-particle":"","family":"Sparling","given":"Lynn","non-dropping-particle":"","parse-names":false,"suffix":""}],"container-title":"Weather and Forecasting","id":"ITEM-1","issue":"3","issued":{"date-parts":[["2012"]]},"page":"744-756","title":"An Analysis of NCEP Tropical Cyclone Vitals and Potential Effects on Forecasting Models","type":"article-journal","volume":"27"},"uris":["http://www.mendeley.com/documents/?uuid=53c99da2-40b3-4dec-b17f-4bc8f7bce211"]}],"mendeley":{"formattedCitation":"(Trahan and Sparling 2012)","manualFormatting":"Trahan and Sparling 2012)","plainTextFormattedCitation":"(Trahan and Sparling 2012)","previouslyFormattedCitation":"(Trahan and Sparling 2012)"},"properties":{"noteIndex":0},"schema":"https://github.com/citation-style-language/schema/raw/master/csl-citation.json"}</w:instrText>
      </w:r>
      <w:r w:rsidR="00C95365" w:rsidRPr="00723DA9">
        <w:rPr>
          <w:rFonts w:ascii="Times New Roman" w:eastAsia="宋体" w:hAnsi="Times New Roman" w:cs="Times New Roman"/>
          <w:sz w:val="24"/>
          <w:szCs w:val="24"/>
        </w:rPr>
        <w:fldChar w:fldCharType="separate"/>
      </w:r>
      <w:r w:rsidR="00C95365" w:rsidRPr="00723DA9">
        <w:rPr>
          <w:rFonts w:ascii="Times New Roman" w:eastAsia="宋体" w:hAnsi="Times New Roman" w:cs="Times New Roman"/>
          <w:noProof/>
          <w:sz w:val="24"/>
          <w:szCs w:val="24"/>
        </w:rPr>
        <w:t>Trahan and Sparling 2012)</w:t>
      </w:r>
      <w:r w:rsidR="00C95365"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modified control forecast is then used as the control background for </w:t>
      </w:r>
      <w:proofErr w:type="spellStart"/>
      <w:r w:rsidR="0034377C">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DA on 3- and 9-km grids, while the relocated ensemble forecast is used as the background ensemble for 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on the 9-km grid and for </w:t>
      </w:r>
      <w:proofErr w:type="spellStart"/>
      <w:r w:rsidR="0034377C">
        <w:rPr>
          <w:rFonts w:ascii="Times New Roman" w:eastAsia="宋体" w:hAnsi="Times New Roman" w:cs="Times New Roman"/>
          <w:sz w:val="24"/>
          <w:szCs w:val="24"/>
        </w:rPr>
        <w:t>EnVar</w:t>
      </w:r>
      <w:proofErr w:type="spellEnd"/>
      <w:r w:rsidR="0034377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DA on both the 3- and 9-km grids.</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Further details regarding VR and VM procedures are discussed in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2</w:t>
      </w:r>
      <w:r w:rsidR="009C789D"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 During the continuously cycled ensemble and control background forecasts, a newly developed directed moving nest strategy is adopted. </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 detailed description of the directed moving nest strategy will be discussed in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2</w:t>
      </w:r>
      <w:r w:rsidR="009C789D" w:rsidRPr="00723DA9">
        <w:rPr>
          <w:rFonts w:ascii="Times New Roman" w:eastAsia="宋体" w:hAnsi="Times New Roman" w:cs="Times New Roman"/>
          <w:sz w:val="24"/>
          <w:szCs w:val="24"/>
        </w:rPr>
        <w:t>.4</w:t>
      </w:r>
      <w:r w:rsidRPr="00723DA9">
        <w:rPr>
          <w:rFonts w:ascii="Times New Roman" w:eastAsia="宋体" w:hAnsi="Times New Roman" w:cs="Times New Roman"/>
          <w:sz w:val="24"/>
          <w:szCs w:val="24"/>
        </w:rPr>
        <w:t xml:space="preserve">. </w:t>
      </w:r>
    </w:p>
    <w:p w14:paraId="3CF63A0B" w14:textId="06173928"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At the DA and state update stage, four steps are involved. </w:t>
      </w:r>
      <w:r w:rsidR="005F0EE7">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First, the 40-member relocated HWRF background forecast is updated by 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to produce a 40-member analysis on the 9-km domain. </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Next, the control analysis on the 3- and 9-km domains is produced with GSI </w:t>
      </w:r>
      <w:proofErr w:type="spellStart"/>
      <w:r w:rsidR="0034377C">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DA using the 40-member relocated HWRF ensemble and the augmented control vector (ACV) method in GSI variational minimization (GSI-ACV; </w:t>
      </w:r>
      <w:r w:rsidR="00F4310C" w:rsidRPr="00723DA9">
        <w:rPr>
          <w:rFonts w:ascii="Times New Roman" w:eastAsia="宋体" w:hAnsi="Times New Roman" w:cs="Times New Roman"/>
          <w:sz w:val="24"/>
          <w:szCs w:val="24"/>
        </w:rPr>
        <w:fldChar w:fldCharType="begin" w:fldLock="1"/>
      </w:r>
      <w:r w:rsidR="00F4310C" w:rsidRPr="00723DA9">
        <w:rPr>
          <w:rFonts w:ascii="Times New Roman" w:eastAsia="宋体" w:hAnsi="Times New Roman" w:cs="Times New Roman"/>
          <w:sz w:val="24"/>
          <w:szCs w:val="24"/>
        </w:rPr>
        <w:instrText>ADDIN CSL_CITATION {"citationItems":[{"id":"ITEM-1","itemData":{"DOI":"10.1175/MWR-D-12-00141.1","ISSN":"0027-0644","author":[{"dropping-particle":"","family":"Wang","given":"Xuguang","non-dropping-particle":"","parse-names":false,"suffix":""},{"dropping-particle":"","family":"Parrish","given":"David","non-dropping-particle":"","parse-names":false,"suffix":""},{"dropping-particle":"","family":"Kleist","given":"Daryl","non-dropping-particle":"","parse-names":false,"suffix":""},{"dropping-particle":"","family":"Whitaker","given":"Jeffrey","non-dropping-particle":"","parse-names":false,"suffix":""}],"container-title":"Monthly Weather Review","id":"ITEM-1","issue":"11","issued":{"date-parts":[["2013"]]},"page":"4098-4117","title":"GSI 3DVar-Based Ensemble–Variational Hybrid Data Assimilation for NCEP Global Forecast System: Single-Resolution Experiments","type":"article-journal","volume":"141"},"uris":["http://www.mendeley.com/documents/?uuid=32b6d9cf-94de-43b1-804c-021d7bbf809d"]}],"mendeley":{"formattedCitation":"(Wang et al. 2013)","manualFormatting":"Wang et al. 2013)","plainTextFormattedCitation":"(Wang et al. 2013)","previouslyFormattedCitation":"(Wang et al. 2013)"},"properties":{"noteIndex":0},"schema":"https://github.com/citation-style-language/schema/raw/master/csl-citation.json"}</w:instrText>
      </w:r>
      <w:r w:rsidR="00F4310C" w:rsidRPr="00723DA9">
        <w:rPr>
          <w:rFonts w:ascii="Times New Roman" w:eastAsia="宋体" w:hAnsi="Times New Roman" w:cs="Times New Roman"/>
          <w:sz w:val="24"/>
          <w:szCs w:val="24"/>
        </w:rPr>
        <w:fldChar w:fldCharType="separate"/>
      </w:r>
      <w:r w:rsidR="00F4310C" w:rsidRPr="00723DA9">
        <w:rPr>
          <w:rFonts w:ascii="Times New Roman" w:eastAsia="宋体" w:hAnsi="Times New Roman" w:cs="Times New Roman"/>
          <w:noProof/>
          <w:sz w:val="24"/>
          <w:szCs w:val="24"/>
        </w:rPr>
        <w:t>Wang et al. 2013)</w:t>
      </w:r>
      <w:r w:rsidR="00F4310C"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w:t>
      </w:r>
      <w:r w:rsidR="00F4310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Since the assimilation window is 6 hours, FGAT is applied for the </w:t>
      </w:r>
      <w:proofErr w:type="spellStart"/>
      <w:r w:rsidR="0034377C">
        <w:rPr>
          <w:rFonts w:ascii="Times New Roman" w:eastAsia="宋体" w:hAnsi="Times New Roman" w:cs="Times New Roman"/>
          <w:sz w:val="24"/>
          <w:szCs w:val="24"/>
        </w:rPr>
        <w:t>EnVar</w:t>
      </w:r>
      <w:proofErr w:type="spellEnd"/>
      <w:r w:rsidR="0034377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DA. </w:t>
      </w:r>
      <w:r w:rsidR="00ED0295"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Then 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analysis on the 9-km domain is then re-centered around the 9-km </w:t>
      </w:r>
      <w:proofErr w:type="spellStart"/>
      <w:r w:rsidR="0034377C">
        <w:rPr>
          <w:rFonts w:ascii="Times New Roman" w:eastAsia="宋体" w:hAnsi="Times New Roman" w:cs="Times New Roman"/>
          <w:sz w:val="24"/>
          <w:szCs w:val="24"/>
        </w:rPr>
        <w:t>EnVar</w:t>
      </w:r>
      <w:proofErr w:type="spellEnd"/>
      <w:r w:rsidR="0034377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analysis (i.e., 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mean is replaced with the </w:t>
      </w:r>
      <w:proofErr w:type="spellStart"/>
      <w:r w:rsidR="0034377C">
        <w:rPr>
          <w:rFonts w:ascii="Times New Roman" w:eastAsia="宋体" w:hAnsi="Times New Roman" w:cs="Times New Roman"/>
          <w:sz w:val="24"/>
          <w:szCs w:val="24"/>
        </w:rPr>
        <w:t>EnVar</w:t>
      </w:r>
      <w:proofErr w:type="spellEnd"/>
      <w:r w:rsidR="0034377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analysis). </w:t>
      </w:r>
      <w:r w:rsidR="00ED0295"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Finally, the 27-km HWRF outermost domain is replaced by the GFS control and ensemble analyses without undergoing DA. </w:t>
      </w:r>
      <w:r w:rsidR="00ED0295"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DA is not performed on the outermost domain following the operational HWRF, a configuration chosen due to limited benefits from using a regional analysis instead of the global analysis for the large-scale TC environment </w:t>
      </w:r>
      <w:r w:rsidR="00F4310C" w:rsidRPr="00723DA9">
        <w:rPr>
          <w:rFonts w:ascii="Times New Roman" w:eastAsia="宋体" w:hAnsi="Times New Roman" w:cs="Times New Roman"/>
          <w:sz w:val="24"/>
          <w:szCs w:val="24"/>
        </w:rPr>
        <w:fldChar w:fldCharType="begin" w:fldLock="1"/>
      </w:r>
      <w:r w:rsidR="00B62D41" w:rsidRPr="00723DA9">
        <w:rPr>
          <w:rFonts w:ascii="Times New Roman" w:eastAsia="宋体"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Center","id":"ITEM-1","issued":{"date-parts":[["2014"]]},"number-of-pages":"1-81","title":"Hurricane Weather Research and Forecasting (HWRF) model: 2014 scientific documentation","type":"report"},"uris":["http://www.mendeley.com/documents/?uuid=f63fdf0a-d919-4d8f-8934-8c12eb353c91"]}],"mendeley":{"formattedCitation":"(Tallapragada et al. 2014)","plainTextFormattedCitation":"(Tallapragada et al. 2014)","previouslyFormattedCitation":"(Tallapragada et al. 2014)"},"properties":{"noteIndex":0},"schema":"https://github.com/citation-style-language/schema/raw/master/csl-citation.json"}</w:instrText>
      </w:r>
      <w:r w:rsidR="00F4310C" w:rsidRPr="00723DA9">
        <w:rPr>
          <w:rFonts w:ascii="Times New Roman" w:eastAsia="宋体" w:hAnsi="Times New Roman" w:cs="Times New Roman"/>
          <w:sz w:val="24"/>
          <w:szCs w:val="24"/>
        </w:rPr>
        <w:fldChar w:fldCharType="separate"/>
      </w:r>
      <w:r w:rsidR="00F4310C" w:rsidRPr="00723DA9">
        <w:rPr>
          <w:rFonts w:ascii="Times New Roman" w:eastAsia="宋体" w:hAnsi="Times New Roman" w:cs="Times New Roman"/>
          <w:noProof/>
          <w:sz w:val="24"/>
          <w:szCs w:val="24"/>
        </w:rPr>
        <w:t>(Tallapragada et al. 2014)</w:t>
      </w:r>
      <w:r w:rsidR="00F4310C" w:rsidRPr="00723DA9">
        <w:rPr>
          <w:rFonts w:ascii="Times New Roman" w:eastAsia="宋体" w:hAnsi="Times New Roman" w:cs="Times New Roman"/>
          <w:sz w:val="24"/>
          <w:szCs w:val="24"/>
        </w:rPr>
        <w:fldChar w:fldCharType="end"/>
      </w:r>
      <w:r w:rsidR="00F4310C" w:rsidRPr="00723DA9">
        <w:rPr>
          <w:rFonts w:ascii="Times New Roman" w:eastAsia="宋体" w:hAnsi="Times New Roman" w:cs="Times New Roman"/>
          <w:sz w:val="24"/>
          <w:szCs w:val="24"/>
        </w:rPr>
        <w:t>.</w:t>
      </w:r>
    </w:p>
    <w:p w14:paraId="4D1D88FE" w14:textId="292A8535"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lastRenderedPageBreak/>
        <w:t xml:space="preserve">After the analyses are produced from the above four steps, the background forecasts are produced to prepare for the next DA cycle.  In particular, the </w:t>
      </w:r>
      <w:proofErr w:type="spellStart"/>
      <w:r w:rsidR="0034377C">
        <w:rPr>
          <w:rFonts w:ascii="Times New Roman" w:eastAsia="宋体" w:hAnsi="Times New Roman" w:cs="Times New Roman"/>
          <w:sz w:val="24"/>
          <w:szCs w:val="24"/>
        </w:rPr>
        <w:t>EnVar</w:t>
      </w:r>
      <w:proofErr w:type="spellEnd"/>
      <w:r w:rsidR="0034377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analysis is used to initialize a 9-hour short-term deterministic forecast on the 27/9/3-km grid, and a 6-hour 40-member ensemble background forecasts on the 27/9-km grids is initialized from the re-centered HWRF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analysis.  The same directed moving nest strategy, VR and VM procedures as applied for the spin-up background forecasts are then adopted before applying the next DA steps. </w:t>
      </w:r>
      <w:r w:rsidR="00B62D41"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This cycling of DA and forecasts continues through the end of the storm.</w:t>
      </w:r>
    </w:p>
    <w:p w14:paraId="011D5FAE" w14:textId="740F730B"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Finally, to evaluate various DA methods, a single deterministic 120-h free forecast is initialized by the </w:t>
      </w:r>
      <w:proofErr w:type="spellStart"/>
      <w:r w:rsidR="0034377C">
        <w:rPr>
          <w:rFonts w:ascii="Times New Roman" w:eastAsia="宋体" w:hAnsi="Times New Roman" w:cs="Times New Roman"/>
          <w:sz w:val="24"/>
          <w:szCs w:val="24"/>
        </w:rPr>
        <w:t>EnVar</w:t>
      </w:r>
      <w:proofErr w:type="spellEnd"/>
      <w:r w:rsidR="0034377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analysis for each DA cycle.  This forecast is independent of the 9-h control forecast that uses directed moving nests and instead employs HWRF’s original vortex following strategy.  </w:t>
      </w:r>
    </w:p>
    <w:p w14:paraId="5EEC3CCC" w14:textId="57303995" w:rsidR="00EB4A18" w:rsidRPr="00723DA9" w:rsidRDefault="00EB4A18" w:rsidP="006562DB">
      <w:pPr>
        <w:pStyle w:val="Heading2"/>
        <w:numPr>
          <w:ilvl w:val="1"/>
          <w:numId w:val="16"/>
        </w:numPr>
        <w:spacing w:line="480" w:lineRule="auto"/>
        <w:ind w:left="0" w:firstLine="0"/>
        <w:rPr>
          <w:rFonts w:ascii="Times New Roman" w:hAnsi="Times New Roman" w:cs="Times New Roman"/>
          <w:b/>
          <w:color w:val="auto"/>
          <w:sz w:val="24"/>
          <w:szCs w:val="24"/>
        </w:rPr>
      </w:pPr>
      <w:bookmarkStart w:id="12" w:name="_Toc21623975"/>
      <w:r w:rsidRPr="00723DA9">
        <w:rPr>
          <w:rFonts w:ascii="Times New Roman" w:hAnsi="Times New Roman" w:cs="Times New Roman"/>
          <w:b/>
          <w:color w:val="auto"/>
          <w:sz w:val="24"/>
          <w:szCs w:val="24"/>
        </w:rPr>
        <w:t xml:space="preserve">GSI based dual-resolution </w:t>
      </w:r>
      <w:r w:rsidR="0034377C">
        <w:rPr>
          <w:rFonts w:ascii="Times New Roman" w:hAnsi="Times New Roman" w:cs="Times New Roman"/>
          <w:b/>
          <w:color w:val="auto"/>
          <w:sz w:val="24"/>
          <w:szCs w:val="24"/>
        </w:rPr>
        <w:t xml:space="preserve">hybrid </w:t>
      </w:r>
      <w:proofErr w:type="spellStart"/>
      <w:r w:rsidRPr="00723DA9">
        <w:rPr>
          <w:rFonts w:ascii="Times New Roman" w:hAnsi="Times New Roman" w:cs="Times New Roman"/>
          <w:b/>
          <w:color w:val="auto"/>
          <w:sz w:val="24"/>
          <w:szCs w:val="24"/>
        </w:rPr>
        <w:t>EnVar</w:t>
      </w:r>
      <w:bookmarkEnd w:id="12"/>
      <w:proofErr w:type="spellEnd"/>
    </w:p>
    <w:p w14:paraId="27E54CDB" w14:textId="25285A0A"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This section describes the general dual-resolution 4DEnVar form implemented in the GSI. </w:t>
      </w:r>
      <w:r w:rsidR="00B62D41"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Similar notations for dual-resolution </w:t>
      </w:r>
      <w:proofErr w:type="spellStart"/>
      <w:r w:rsidRPr="00723DA9">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can be found in</w:t>
      </w:r>
      <w:r w:rsidR="00B62D41" w:rsidRPr="00723DA9">
        <w:rPr>
          <w:rFonts w:ascii="Times New Roman" w:eastAsia="宋体" w:hAnsi="Times New Roman" w:cs="Times New Roman"/>
          <w:sz w:val="24"/>
          <w:szCs w:val="24"/>
        </w:rPr>
        <w:t xml:space="preserve"> </w:t>
      </w:r>
      <w:r w:rsidR="00B62D41" w:rsidRPr="00723DA9">
        <w:rPr>
          <w:rFonts w:ascii="Times New Roman" w:eastAsia="宋体" w:hAnsi="Times New Roman" w:cs="Times New Roman"/>
          <w:sz w:val="24"/>
          <w:szCs w:val="24"/>
        </w:rPr>
        <w:fldChar w:fldCharType="begin" w:fldLock="1"/>
      </w:r>
      <w:r w:rsidR="00B62D41" w:rsidRPr="00723DA9">
        <w:rPr>
          <w:rFonts w:ascii="Times New Roman" w:eastAsia="宋体" w:hAnsi="Times New Roman" w:cs="Times New Roman"/>
          <w:sz w:val="24"/>
          <w:szCs w:val="24"/>
        </w:rPr>
        <w:instrText>ADDIN CSL_CITATION {"citationItems":[{"id":"ITEM-1","itemData":{"DOI":"10.1175/MWR-D-14-00259.1","ISBN":"8610829952","ISSN":"0027-0644","author":[{"dropping-particle":"","family":"Schwartz","given":"Craig S.","non-dropping-particle":"","parse-names":false,"suffix":""},{"dropping-particle":"","family":"Liu","given":"Zhiquan","non-dropping-particle":"","parse-names":false,"suffix":""},{"dropping-particle":"","family":"Huang","given":"Xiang-Yu","non-dropping-particle":"","parse-names":false,"suffix":""}],"container-title":"Monthly Weather Review","id":"ITEM-1","issue":"9","issued":{"date-parts":[["2015"]]},"page":"3454-3477","title":"Sensitivity of Limited-Area Hybrid Variational-Ensemble Analyses and Forecasts to Ensemble Perturbation Resolution","type":"article-journal","volume":"143"},"uris":["http://www.mendeley.com/documents/?uuid=b31c8d34-e35d-4c85-a5a3-e8287f01f4c9"]},{"id":"ITEM-2","itemData":{"DOI":"10.1175/MWR-D-13-00351.1","author":[{"dropping-particle":"","family":"Kleist","given":"Daryl","non-dropping-particle":"","parse-names":false,"suffix":""},{"dropping-particle":"","family":"Ide","given":"Kayo","non-dropping-particle":"","parse-names":false,"suffix":""}],"id":"ITEM-2","issue":"2013","issued":{"date-parts":[["2015"]]},"page":"433-451","title":"An OSSE-Based Evaluation of Hybrid Variational – Ensemble Data Assimilation for the NCEP GFS . Part I : System Description and 3D-Hybrid Results","type":"article-journal"},"uris":["http://www.mendeley.com/documents/?uuid=b055b294-5337-4fc9-b482-ad365a7915bd"]},{"id":"ITEM-3","itemData":{"DOI":"10.1175/MWR-D-13-00350.1","ISSN":"0027-0644","abstract":"AbstractAn observing system simulation experiment (OSSE) has been carried out to evaluate the impact of a hybrid ensemble-variational data assimilation algorithm for use with the National Centers for Environmental Prediction (NCEP) global data assimilation system. An OSSE provides a controlled framework for evaluating analysis and forecast errors since a truth is known. In this case, the nature run was generated and provided by the European Centre for Medium-Range Weather Forecasts as part of the international Joint OSSE project. The assimilation and forecast impact studies are carried out using a model that is different than the nature run model, thereby accounting for model error and avoiding issues with the so-called identical twin experiments.It is found that the quality of analysis is improved substantially when going from 3DVar to a hybrid 3D ensemble-variational (EnVar) based algorithm. This is especially true in terms of the analysis error reduction for wind and moisture, most notably in the tropics. Forecast impact experiments show that the hybrid-initialized forecasts improve upon the 3DVar based forecasts for most metrics, lead times, variables, and levels. An additional experiment that utilizes 3DEnVar (100% ensemble) demonstrates that the use of a 25% static error covariance contribution does not alter the quality of hybrid analysis when utilizing the tangent linear normal mode constraint on the total hybrid increment.","author":[{"dropping-particle":"","family":"Kleist","given":"Daryl T.","non-dropping-particle":"","parse-names":false,"suffix":""},{"dropping-particle":"","family":"Ide","given":"Kayo","non-dropping-particle":"","parse-names":false,"suffix":""}],"container-title":"Monthly Weather Review","id":"ITEM-3","issue":"2","issued":{"date-parts":[["2015"]]},"page":"452-470","title":"An OSSE-Based Evaluation of Hybrid Variational–Ensemble Data Assimilation for the NCEP GFS. Part II: 4DEnVar and Hybrid Variants","type":"article-journal","volume":"143"},"uris":["http://www.mendeley.com/documents/?uuid=4af3a6c6-8ab5-46e8-9622-c65e71662c4b"]},{"id":"ITEM-4","itemData":{"DOI":"10.1175/MWR-D-15-0286.1","ISSN":"0027-0644","author":[{"dropping-particle":"","family":"Schwartz","given":"Craig S.","non-dropping-particle":"","parse-names":false,"suffix":""}],"container-title":"Monthly Weather Review","id":"ITEM-4","issued":{"date-parts":[["2016"]]},"page":"160113112645003","title":"Improving large-domain convection-allowing forecasts with high-resolution analyses and ensemble data assimilation","type":"article-journal"},"uris":["http://www.mendeley.com/documents/?uuid=563ac710-f413-4095-9c62-99d9303f92ad"]}],"mendeley":{"formattedCitation":"(Schwartz et al. 2015; Kleist and Ide 2015a,b; Schwartz 2016)","manualFormatting":"Schwartz et al. (2015), Kleist and Ide (2015a,b), and Schwartz (2016)","plainTextFormattedCitation":"(Schwartz et al. 2015; Kleist and Ide 2015a,b; Schwartz 2016)","previouslyFormattedCitation":"(Schwartz et al. 2015; Kleist and Ide 2015a,b; Schwartz 2016)"},"properties":{"noteIndex":0},"schema":"https://github.com/citation-style-language/schema/raw/master/csl-citation.json"}</w:instrText>
      </w:r>
      <w:r w:rsidR="00B62D41" w:rsidRPr="00723DA9">
        <w:rPr>
          <w:rFonts w:ascii="Times New Roman" w:eastAsia="宋体" w:hAnsi="Times New Roman" w:cs="Times New Roman"/>
          <w:sz w:val="24"/>
          <w:szCs w:val="24"/>
        </w:rPr>
        <w:fldChar w:fldCharType="separate"/>
      </w:r>
      <w:r w:rsidR="00B62D41" w:rsidRPr="00723DA9">
        <w:rPr>
          <w:rFonts w:ascii="Times New Roman" w:eastAsia="宋体" w:hAnsi="Times New Roman" w:cs="Times New Roman"/>
          <w:noProof/>
          <w:sz w:val="24"/>
          <w:szCs w:val="24"/>
        </w:rPr>
        <w:t>Schwartz et al. (2015), Kleist and Ide (2015a,b), and Schwartz (2016)</w:t>
      </w:r>
      <w:r w:rsidR="00B62D41"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The description of the hybrid 4DEnVar formula mirrors those in</w:t>
      </w:r>
      <w:r w:rsidR="00B62D41" w:rsidRPr="00723DA9">
        <w:rPr>
          <w:rFonts w:ascii="Times New Roman" w:eastAsia="宋体" w:hAnsi="Times New Roman" w:cs="Times New Roman"/>
          <w:sz w:val="24"/>
          <w:szCs w:val="24"/>
        </w:rPr>
        <w:t xml:space="preserve"> </w:t>
      </w:r>
      <w:r w:rsidR="00B62D41" w:rsidRPr="00723DA9">
        <w:rPr>
          <w:rFonts w:ascii="Times New Roman" w:eastAsia="宋体" w:hAnsi="Times New Roman" w:cs="Times New Roman"/>
          <w:sz w:val="24"/>
          <w:szCs w:val="24"/>
        </w:rPr>
        <w:fldChar w:fldCharType="begin" w:fldLock="1"/>
      </w:r>
      <w:r w:rsidR="00B62D41" w:rsidRPr="00723DA9">
        <w:rPr>
          <w:rFonts w:ascii="Times New Roman" w:eastAsia="宋体" w:hAnsi="Times New Roman" w:cs="Times New Roman"/>
          <w:sz w:val="24"/>
          <w:szCs w:val="24"/>
        </w:rPr>
        <w:instrText>ADDIN CSL_CITATION {"citationItems":[{"id":"ITEM-1","itemData":{"DOI":"10.1175/2010MWR3245.1","ISBN":"10.1175/2010MWR3245.1","ISSN":"0027-0644","abstract":" Soc., P4.10. Wang, X., D. Barker, C. Snyder, and TM Hamill, 2008a: -- for the . [Abstract]. Wang, X., D. Barker, C. Snyder, and TM Hamill, 2008b: -- for the . ","author":[{"dropping-particle":"","family":"Wang","given":"Xuguang","non-dropping-particle":"","parse-names":false,"suffix":""}],"container-title":"Monthly Weather Review","id":"ITEM-1","issue":"7","issued":{"date-parts":[["2010"]]},"page":"2990-2995","title":"Incorporating Ensemble Covariance in the Gridpoint Statistical Interpolation Variational Minimization: A Mathematical Framework","type":"article-journal","volume":"138"},"uris":["http://www.mendeley.com/documents/?uuid=1783e4dc-42a8-4d42-b67f-58361e29806d"]},{"id":"ITEM-2","itemData":{"DOI":"10.1175/MWR-D-13-00303.1","ISSN":"0027-0644","author":[{"dropping-particle":"","family":"Wang","given":"Xuguang","non-dropping-particle":"","parse-names":false,"suffix":""},{"dropping-particle":"","family":"Lei","given":"Ting","non-dropping-particle":"","parse-names":false,"suffix":""}],"container-title":"Monthly Weather Review","id":"ITEM-2","issue":"9","issued":{"date-parts":[["2014"]]},"page":"3303-3325","title":"GSI-Based Four-Dimensional Ensemble–Variational (4DEnsVar) Data Assimilation: Formulation and Single-Resolution Experiments with Real Data for NCEP Global Forecast System","type":"article-journal","volume":"142"},"uris":["http://www.mendeley.com/documents/?uuid=f295b23c-2791-41f1-8a74-218a53b815e3"]}],"mendeley":{"formattedCitation":"(Wang 2010; Wang and Lei 2014)","manualFormatting":"Wang (2010) and Wang and Lei (2014)","plainTextFormattedCitation":"(Wang 2010; Wang and Lei 2014)","previouslyFormattedCitation":"(Wang 2010; Wang and Lei 2014)"},"properties":{"noteIndex":0},"schema":"https://github.com/citation-style-language/schema/raw/master/csl-citation.json"}</w:instrText>
      </w:r>
      <w:r w:rsidR="00B62D41" w:rsidRPr="00723DA9">
        <w:rPr>
          <w:rFonts w:ascii="Times New Roman" w:eastAsia="宋体" w:hAnsi="Times New Roman" w:cs="Times New Roman"/>
          <w:sz w:val="24"/>
          <w:szCs w:val="24"/>
        </w:rPr>
        <w:fldChar w:fldCharType="separate"/>
      </w:r>
      <w:r w:rsidR="00B62D41" w:rsidRPr="00723DA9">
        <w:rPr>
          <w:rFonts w:ascii="Times New Roman" w:eastAsia="宋体" w:hAnsi="Times New Roman" w:cs="Times New Roman"/>
          <w:noProof/>
          <w:sz w:val="24"/>
          <w:szCs w:val="24"/>
        </w:rPr>
        <w:t>Wang (2010) and Wang and Lei (2014)</w:t>
      </w:r>
      <w:r w:rsidR="00B62D41"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w:t>
      </w:r>
      <w:r w:rsidR="00B62D41"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analysis increment </w:t>
      </w:r>
      <m:oMath>
        <m:sSubSup>
          <m:sSubSupPr>
            <m:ctrlPr>
              <w:rPr>
                <w:rFonts w:ascii="Cambria Math" w:eastAsia="Calibri" w:hAnsi="Cambria Math" w:cs="Times New Roman"/>
                <w:i/>
                <w:sz w:val="24"/>
                <w:szCs w:val="24"/>
                <w:lang w:eastAsia="en-US"/>
              </w:rPr>
            </m:ctrlPr>
          </m:sSubSupPr>
          <m:e>
            <m:r>
              <m:rPr>
                <m:sty m:val="b"/>
              </m:rPr>
              <w:rPr>
                <w:rFonts w:ascii="Cambria Math" w:hAnsi="Cambria Math" w:cs="Times New Roman"/>
                <w:sz w:val="24"/>
                <w:szCs w:val="24"/>
              </w:rPr>
              <m:t>x</m:t>
            </m:r>
          </m:e>
          <m:sub>
            <m:r>
              <w:rPr>
                <w:rFonts w:ascii="Cambria Math" w:hAnsi="Cambria Math" w:cs="Times New Roman"/>
                <w:sz w:val="24"/>
                <w:szCs w:val="24"/>
              </w:rPr>
              <m:t>t</m:t>
            </m:r>
          </m:sub>
          <m:sup>
            <m:r>
              <w:rPr>
                <w:rFonts w:ascii="Cambria Math" w:hAnsi="Cambria Math" w:cs="Times New Roman"/>
                <w:sz w:val="24"/>
                <w:szCs w:val="24"/>
              </w:rPr>
              <m:t>'</m:t>
            </m:r>
          </m:sup>
        </m:sSubSup>
      </m:oMath>
      <w:r w:rsidRPr="00723DA9">
        <w:rPr>
          <w:rFonts w:ascii="Times New Roman" w:eastAsia="宋体" w:hAnsi="Times New Roman" w:cs="Times New Roman"/>
          <w:sz w:val="24"/>
          <w:szCs w:val="24"/>
        </w:rPr>
        <w:t xml:space="preserve"> at time </w:t>
      </w:r>
      <w:r w:rsidRPr="00723DA9">
        <w:rPr>
          <w:rFonts w:ascii="Times New Roman" w:eastAsia="宋体" w:hAnsi="Times New Roman" w:cs="Times New Roman"/>
          <w:i/>
          <w:sz w:val="24"/>
          <w:szCs w:val="24"/>
        </w:rPr>
        <w:t xml:space="preserve">t </w:t>
      </w:r>
      <w:r w:rsidRPr="00723DA9">
        <w:rPr>
          <w:rFonts w:ascii="Times New Roman" w:eastAsia="宋体" w:hAnsi="Times New Roman" w:cs="Times New Roman"/>
          <w:sz w:val="24"/>
          <w:szCs w:val="24"/>
        </w:rPr>
        <w:t>within a DA window for the dual-resolution hybrid 4DEnVar is defined as:</w:t>
      </w:r>
    </w:p>
    <w:p w14:paraId="22C23E55" w14:textId="3D5EACB2" w:rsidR="00EB4A18" w:rsidRPr="00723DA9" w:rsidRDefault="00EB4A18" w:rsidP="00771F99">
      <w:pPr>
        <w:pStyle w:val="ListParagraph"/>
        <w:spacing w:line="480" w:lineRule="auto"/>
        <w:ind w:left="360"/>
        <w:rPr>
          <w:rFonts w:ascii="Times New Roman" w:eastAsia="宋体" w:hAnsi="Times New Roman"/>
        </w:rPr>
      </w:pPr>
      <w:r w:rsidRPr="00723DA9">
        <w:rPr>
          <w:rFonts w:ascii="Times New Roman" w:eastAsia="宋体" w:hAnsi="Times New Roman"/>
        </w:rPr>
        <w:t xml:space="preserve">                                 </w:t>
      </w:r>
      <m:oMath>
        <m:sSubSup>
          <m:sSubSupPr>
            <m:ctrlPr>
              <w:rPr>
                <w:rFonts w:ascii="Cambria Math" w:hAnsi="Cambria Math"/>
                <w:i/>
              </w:rPr>
            </m:ctrlPr>
          </m:sSubSupPr>
          <m:e>
            <m:r>
              <m:rPr>
                <m:sty m:val="bi"/>
              </m:rPr>
              <w:rPr>
                <w:rFonts w:ascii="Cambria Math" w:hAnsi="Cambria Math"/>
              </w:rPr>
              <m:t>x</m:t>
            </m:r>
          </m:e>
          <m:sub>
            <m:r>
              <w:rPr>
                <w:rFonts w:ascii="Cambria Math" w:hAnsi="Cambria Math"/>
              </w:rPr>
              <m:t>t</m:t>
            </m:r>
          </m:sub>
          <m:sup>
            <m:r>
              <w:rPr>
                <w:rFonts w:ascii="Cambria Math" w:hAnsi="Cambria Math"/>
              </w:rPr>
              <m:t>'</m:t>
            </m:r>
          </m:sup>
        </m:sSubSup>
        <m:r>
          <w:rPr>
            <w:rFonts w:ascii="Cambria Math" w:hAnsi="Cambria Math"/>
          </w:rPr>
          <m:t>=</m:t>
        </m:r>
        <m:sSubSup>
          <m:sSubSupPr>
            <m:ctrlPr>
              <w:rPr>
                <w:rFonts w:ascii="Cambria Math" w:hAnsi="Cambria Math"/>
                <w:i/>
              </w:rPr>
            </m:ctrlPr>
          </m:sSubSupPr>
          <m:e>
            <m:r>
              <m:rPr>
                <m:sty m:val="bi"/>
              </m:rPr>
              <w:rPr>
                <w:rFonts w:ascii="Cambria Math" w:hAnsi="Cambria Math"/>
              </w:rPr>
              <m:t>x</m:t>
            </m:r>
          </m:e>
          <m:sub>
            <m:r>
              <w:rPr>
                <w:rFonts w:ascii="Cambria Math" w:hAnsi="Cambria Math"/>
              </w:rPr>
              <m:t>1</m:t>
            </m:r>
          </m:sub>
          <m:sup>
            <m:r>
              <w:rPr>
                <w:rFonts w:ascii="Cambria Math" w:hAnsi="Cambria Math"/>
              </w:rPr>
              <m:t>'</m:t>
            </m:r>
          </m:sup>
        </m:sSubSup>
        <m:r>
          <w:rPr>
            <w:rFonts w:ascii="Cambria Math" w:hAnsi="Cambria Math"/>
          </w:rPr>
          <m:t>+</m:t>
        </m:r>
        <m:r>
          <m:rPr>
            <m:sty m:val="bi"/>
          </m:rPr>
          <w:rPr>
            <w:rFonts w:ascii="Cambria Math" w:hAnsi="Cambria Math"/>
          </w:rPr>
          <m:t>D</m:t>
        </m:r>
        <m:nary>
          <m:naryPr>
            <m:chr m:val="∑"/>
            <m:ctrlPr>
              <w:rPr>
                <w:rFonts w:ascii="Cambria Math" w:hAnsi="Cambria Math"/>
                <w:i/>
              </w:rPr>
            </m:ctrlPr>
          </m:naryPr>
          <m:sub>
            <m:r>
              <w:rPr>
                <w:rFonts w:ascii="Cambria Math" w:hAnsi="Cambria Math"/>
              </w:rPr>
              <m:t>k=1</m:t>
            </m:r>
          </m:sub>
          <m:sup>
            <m:r>
              <w:rPr>
                <w:rFonts w:ascii="Cambria Math" w:hAnsi="Cambria Math"/>
              </w:rPr>
              <m:t>K</m:t>
            </m:r>
          </m:sup>
          <m:e>
            <m:r>
              <w:rPr>
                <w:rFonts w:ascii="Cambria Math" w:hAnsi="Cambria Math"/>
              </w:rPr>
              <m:t>(</m:t>
            </m:r>
            <m:sSub>
              <m:sSubPr>
                <m:ctrlPr>
                  <w:rPr>
                    <w:rFonts w:ascii="Cambria Math" w:hAnsi="Cambria Math"/>
                    <w:i/>
                  </w:rPr>
                </m:ctrlPr>
              </m:sSubPr>
              <m:e>
                <m:r>
                  <m:rPr>
                    <m:sty m:val="bi"/>
                  </m:rPr>
                  <w:rPr>
                    <w:rFonts w:ascii="Cambria Math" w:hAnsi="Cambria Math"/>
                  </w:rPr>
                  <m:t>a</m:t>
                </m:r>
              </m:e>
              <m:sub>
                <m:r>
                  <w:rPr>
                    <w:rFonts w:ascii="Cambria Math" w:hAnsi="Cambria Math"/>
                  </w:rPr>
                  <m:t>k</m:t>
                </m:r>
              </m:sub>
            </m:sSub>
            <m:r>
              <w:rPr>
                <w:rFonts w:ascii="Cambria Math" w:hAnsi="Cambria Math"/>
              </w:rPr>
              <m:t>°(</m:t>
            </m:r>
            <m:sSubSup>
              <m:sSubSupPr>
                <m:ctrlPr>
                  <w:rPr>
                    <w:rFonts w:ascii="Cambria Math" w:hAnsi="Cambria Math"/>
                    <w:i/>
                  </w:rPr>
                </m:ctrlPr>
              </m:sSubSupPr>
              <m:e>
                <m:r>
                  <m:rPr>
                    <m:sty m:val="bi"/>
                  </m:rPr>
                  <w:rPr>
                    <w:rFonts w:ascii="Cambria Math" w:hAnsi="Cambria Math"/>
                  </w:rPr>
                  <m:t>x</m:t>
                </m:r>
              </m:e>
              <m:sub>
                <m:r>
                  <w:rPr>
                    <w:rFonts w:ascii="Cambria Math" w:hAnsi="Cambria Math"/>
                  </w:rPr>
                  <m:t>k</m:t>
                </m:r>
              </m:sub>
              <m:sup>
                <m:r>
                  <w:rPr>
                    <w:rFonts w:ascii="Cambria Math" w:hAnsi="Cambria Math"/>
                  </w:rPr>
                  <m:t>e</m:t>
                </m:r>
              </m:sup>
            </m:sSubSup>
            <m:sSub>
              <m:sSubPr>
                <m:ctrlPr>
                  <w:rPr>
                    <w:rFonts w:ascii="Cambria Math" w:hAnsi="Cambria Math"/>
                    <w:i/>
                  </w:rPr>
                </m:ctrlPr>
              </m:sSubPr>
              <m:e>
                <m:r>
                  <w:rPr>
                    <w:rFonts w:ascii="Cambria Math" w:hAnsi="Cambria Math"/>
                  </w:rPr>
                  <m:t>)</m:t>
                </m:r>
              </m:e>
              <m:sub>
                <m:r>
                  <w:rPr>
                    <w:rFonts w:ascii="Cambria Math" w:hAnsi="Cambria Math"/>
                  </w:rPr>
                  <m:t>t</m:t>
                </m:r>
              </m:sub>
            </m:sSub>
            <m:r>
              <w:rPr>
                <w:rFonts w:ascii="Cambria Math" w:hAnsi="Cambria Math"/>
              </w:rPr>
              <m:t>)</m:t>
            </m:r>
          </m:e>
        </m:nary>
      </m:oMath>
      <w:r w:rsidRPr="00723DA9">
        <w:rPr>
          <w:rFonts w:ascii="Times New Roman" w:hAnsi="Times New Roman"/>
        </w:rPr>
        <w:t>,</w:t>
      </w:r>
      <w:r w:rsidRPr="00723DA9">
        <w:rPr>
          <w:rFonts w:ascii="Times New Roman" w:eastAsia="宋体" w:hAnsi="Times New Roman"/>
        </w:rPr>
        <w:t xml:space="preserve">                            </w:t>
      </w:r>
      <w:r w:rsidRPr="00723DA9">
        <w:rPr>
          <w:rFonts w:ascii="Times New Roman" w:eastAsia="宋体" w:hAnsi="Times New Roman"/>
        </w:rPr>
        <w:tab/>
      </w:r>
      <w:r w:rsidRPr="00723DA9">
        <w:rPr>
          <w:rFonts w:ascii="Times New Roman" w:eastAsia="宋体" w:hAnsi="Times New Roman"/>
        </w:rPr>
        <w:tab/>
      </w:r>
      <w:r w:rsidRPr="00723DA9">
        <w:rPr>
          <w:rFonts w:ascii="Times New Roman" w:eastAsia="宋体" w:hAnsi="Times New Roman"/>
        </w:rPr>
        <w:tab/>
        <w:t>(</w:t>
      </w:r>
      <w:r w:rsidR="001B41DC">
        <w:rPr>
          <w:rFonts w:ascii="Times New Roman" w:eastAsia="宋体" w:hAnsi="Times New Roman"/>
        </w:rPr>
        <w:t>2.</w:t>
      </w:r>
      <w:r w:rsidRPr="00723DA9">
        <w:rPr>
          <w:rFonts w:ascii="Times New Roman" w:eastAsia="宋体" w:hAnsi="Times New Roman"/>
        </w:rPr>
        <w:t>1)</w:t>
      </w:r>
    </w:p>
    <w:p w14:paraId="10DE1561" w14:textId="06B2B376" w:rsidR="00EB4A18" w:rsidRPr="00723DA9" w:rsidRDefault="00EB4A18" w:rsidP="00771F99">
      <w:pPr>
        <w:spacing w:after="0" w:line="480" w:lineRule="auto"/>
        <w:rPr>
          <w:rFonts w:ascii="Times New Roman" w:eastAsia="Calibri" w:hAnsi="Times New Roman" w:cs="Times New Roman"/>
          <w:sz w:val="24"/>
          <w:szCs w:val="24"/>
        </w:rPr>
      </w:pPr>
      <w:r w:rsidRPr="00723DA9">
        <w:rPr>
          <w:rFonts w:ascii="Times New Roman" w:eastAsia="宋体" w:hAnsi="Times New Roman" w:cs="Times New Roman"/>
          <w:sz w:val="24"/>
          <w:szCs w:val="24"/>
        </w:rPr>
        <w:t xml:space="preserve">where </w:t>
      </w:r>
      <m:oMath>
        <m:sSubSup>
          <m:sSubSupPr>
            <m:ctrlPr>
              <w:rPr>
                <w:rFonts w:ascii="Cambria Math" w:eastAsia="Calibri" w:hAnsi="Cambria Math" w:cs="Times New Roman"/>
                <w:i/>
                <w:sz w:val="24"/>
                <w:szCs w:val="24"/>
                <w:lang w:eastAsia="en-US"/>
              </w:rPr>
            </m:ctrlPr>
          </m:sSubSupPr>
          <m:e>
            <m:r>
              <m:rPr>
                <m:sty m:val="b"/>
              </m:rP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Pr="00723DA9">
        <w:rPr>
          <w:rFonts w:ascii="Times New Roman" w:hAnsi="Times New Roman" w:cs="Times New Roman"/>
          <w:sz w:val="24"/>
          <w:szCs w:val="24"/>
        </w:rPr>
        <w:t xml:space="preserve"> denotes the increment from the GSI static covariance, </w:t>
      </w:r>
      <w:r w:rsidRPr="00723DA9">
        <w:rPr>
          <w:rFonts w:ascii="Times New Roman" w:hAnsi="Times New Roman" w:cs="Times New Roman"/>
          <w:b/>
          <w:sz w:val="24"/>
          <w:szCs w:val="24"/>
        </w:rPr>
        <w:t>D</w:t>
      </w:r>
      <w:r w:rsidRPr="00723DA9">
        <w:rPr>
          <w:rFonts w:ascii="Times New Roman" w:hAnsi="Times New Roman" w:cs="Times New Roman"/>
          <w:sz w:val="24"/>
          <w:szCs w:val="24"/>
        </w:rPr>
        <w:t xml:space="preserve"> denotes the </w:t>
      </w:r>
      <w:r w:rsidRPr="00723DA9">
        <w:rPr>
          <w:rFonts w:ascii="Times New Roman" w:eastAsia="宋体" w:hAnsi="Times New Roman" w:cs="Times New Roman"/>
          <w:sz w:val="24"/>
          <w:szCs w:val="24"/>
        </w:rPr>
        <w:t>operator that maps the fields from the coarser ensemble grids to the finer control grids,</w:t>
      </w:r>
      <m:oMath>
        <m:r>
          <w:rPr>
            <w:rFonts w:ascii="Cambria Math" w:hAnsi="Cambria Math" w:cs="Times New Roman"/>
            <w:sz w:val="24"/>
            <w:szCs w:val="24"/>
          </w:rPr>
          <m:t xml:space="preserve"> </m:t>
        </m:r>
        <m:sSub>
          <m:sSubPr>
            <m:ctrlPr>
              <w:rPr>
                <w:rFonts w:ascii="Cambria Math" w:eastAsia="Calibri" w:hAnsi="Cambria Math" w:cs="Times New Roman"/>
                <w:i/>
                <w:sz w:val="24"/>
                <w:szCs w:val="24"/>
                <w:lang w:eastAsia="en-US"/>
              </w:rPr>
            </m:ctrlPr>
          </m:sSubPr>
          <m:e>
            <m:r>
              <m:rPr>
                <m:sty m:val="b"/>
              </m:rPr>
              <w:rPr>
                <w:rFonts w:ascii="Cambria Math" w:hAnsi="Cambria Math" w:cs="Times New Roman"/>
                <w:sz w:val="24"/>
                <w:szCs w:val="24"/>
              </w:rPr>
              <m:t>a</m:t>
            </m:r>
          </m:e>
          <m:sub>
            <m:r>
              <w:rPr>
                <w:rFonts w:ascii="Cambria Math" w:hAnsi="Cambria Math" w:cs="Times New Roman"/>
                <w:sz w:val="24"/>
                <w:szCs w:val="24"/>
              </w:rPr>
              <m:t>k</m:t>
            </m:r>
          </m:sub>
        </m:sSub>
      </m:oMath>
      <w:r w:rsidRPr="00723DA9">
        <w:rPr>
          <w:rFonts w:ascii="Times New Roman" w:hAnsi="Times New Roman" w:cs="Times New Roman"/>
        </w:rPr>
        <w:t xml:space="preserve"> </w:t>
      </w:r>
      <w:r w:rsidRPr="00723DA9">
        <w:rPr>
          <w:rFonts w:ascii="Times New Roman" w:eastAsia="宋体" w:hAnsi="Times New Roman" w:cs="Times New Roman"/>
          <w:sz w:val="24"/>
          <w:szCs w:val="24"/>
        </w:rPr>
        <w:t>denotes the augmented control vectors for the k</w:t>
      </w:r>
      <w:r w:rsidRPr="00723DA9">
        <w:rPr>
          <w:rFonts w:ascii="Times New Roman" w:eastAsia="宋体" w:hAnsi="Times New Roman" w:cs="Times New Roman"/>
          <w:sz w:val="24"/>
          <w:szCs w:val="24"/>
          <w:vertAlign w:val="superscript"/>
        </w:rPr>
        <w:t>th</w:t>
      </w:r>
      <w:r w:rsidRPr="00723DA9">
        <w:rPr>
          <w:rFonts w:ascii="Times New Roman" w:eastAsia="宋体" w:hAnsi="Times New Roman" w:cs="Times New Roman"/>
          <w:sz w:val="24"/>
          <w:szCs w:val="24"/>
        </w:rPr>
        <w:t xml:space="preserve"> ensemble member, </w:t>
      </w:r>
      <m:oMath>
        <m:r>
          <w:rPr>
            <w:rFonts w:ascii="Cambria Math" w:eastAsia="宋体" w:hAnsi="Cambria Math" w:cs="Times New Roman"/>
            <w:sz w:val="24"/>
            <w:szCs w:val="24"/>
            <w:lang w:eastAsia="en-US"/>
          </w:rPr>
          <m:t>(</m:t>
        </m:r>
        <m:sSubSup>
          <m:sSubSupPr>
            <m:ctrlPr>
              <w:rPr>
                <w:rFonts w:ascii="Cambria Math" w:eastAsia="宋体" w:hAnsi="Cambria Math" w:cs="Times New Roman"/>
                <w:i/>
                <w:sz w:val="24"/>
                <w:szCs w:val="24"/>
                <w:lang w:eastAsia="en-US"/>
              </w:rPr>
            </m:ctrlPr>
          </m:sSubSupPr>
          <m:e>
            <m:r>
              <m:rPr>
                <m:sty m:val="bi"/>
              </m:rPr>
              <w:rPr>
                <w:rFonts w:ascii="Cambria Math" w:eastAsia="宋体" w:hAnsi="Cambria Math" w:cs="Times New Roman"/>
                <w:sz w:val="24"/>
                <w:szCs w:val="24"/>
                <w:lang w:eastAsia="en-US"/>
              </w:rPr>
              <m:t>x</m:t>
            </m:r>
          </m:e>
          <m:sub>
            <m:r>
              <w:rPr>
                <w:rFonts w:ascii="Cambria Math" w:eastAsia="宋体" w:hAnsi="Cambria Math" w:cs="Times New Roman"/>
                <w:sz w:val="24"/>
                <w:szCs w:val="24"/>
                <w:lang w:eastAsia="en-US"/>
              </w:rPr>
              <m:t>k</m:t>
            </m:r>
          </m:sub>
          <m:sup>
            <m:r>
              <w:rPr>
                <w:rFonts w:ascii="Cambria Math" w:eastAsia="宋体" w:hAnsi="Cambria Math" w:cs="Times New Roman"/>
                <w:sz w:val="24"/>
                <w:szCs w:val="24"/>
                <w:lang w:eastAsia="en-US"/>
              </w:rPr>
              <m:t>e</m:t>
            </m:r>
          </m:sup>
        </m:sSubSup>
        <m:sSub>
          <m:sSubPr>
            <m:ctrlPr>
              <w:rPr>
                <w:rFonts w:ascii="Cambria Math" w:eastAsia="宋体" w:hAnsi="Cambria Math" w:cs="Times New Roman"/>
                <w:i/>
                <w:sz w:val="24"/>
                <w:szCs w:val="24"/>
                <w:lang w:eastAsia="en-US"/>
              </w:rPr>
            </m:ctrlPr>
          </m:sSubPr>
          <m:e>
            <m:r>
              <w:rPr>
                <w:rFonts w:ascii="Cambria Math" w:eastAsia="宋体" w:hAnsi="Cambria Math" w:cs="Times New Roman"/>
                <w:sz w:val="24"/>
                <w:szCs w:val="24"/>
                <w:lang w:eastAsia="en-US"/>
              </w:rPr>
              <m:t>)</m:t>
            </m:r>
          </m:e>
          <m:sub>
            <m:r>
              <w:rPr>
                <w:rFonts w:ascii="Cambria Math" w:eastAsia="宋体" w:hAnsi="Cambria Math" w:cs="Times New Roman"/>
                <w:sz w:val="24"/>
                <w:szCs w:val="24"/>
                <w:lang w:eastAsia="en-US"/>
              </w:rPr>
              <m:t>t</m:t>
            </m:r>
          </m:sub>
        </m:sSub>
      </m:oMath>
      <w:r w:rsidRPr="00723DA9">
        <w:rPr>
          <w:rFonts w:ascii="Times New Roman" w:eastAsia="宋体" w:hAnsi="Times New Roman" w:cs="Times New Roman"/>
          <w:sz w:val="24"/>
          <w:szCs w:val="24"/>
        </w:rPr>
        <w:t xml:space="preserve"> denotes the k</w:t>
      </w:r>
      <w:proofErr w:type="spellStart"/>
      <w:r w:rsidRPr="00723DA9">
        <w:rPr>
          <w:rFonts w:ascii="Times New Roman" w:eastAsia="宋体" w:hAnsi="Times New Roman" w:cs="Times New Roman"/>
          <w:sz w:val="24"/>
          <w:szCs w:val="24"/>
          <w:vertAlign w:val="superscript"/>
        </w:rPr>
        <w:t>th</w:t>
      </w:r>
      <w:proofErr w:type="spellEnd"/>
      <w:r w:rsidRPr="00723DA9">
        <w:rPr>
          <w:rFonts w:ascii="Times New Roman" w:eastAsia="宋体" w:hAnsi="Times New Roman" w:cs="Times New Roman"/>
          <w:sz w:val="24"/>
          <w:szCs w:val="24"/>
        </w:rPr>
        <w:t xml:space="preserve"> ensemble perturbation at time </w:t>
      </w:r>
      <w:r w:rsidRPr="00723DA9">
        <w:rPr>
          <w:rFonts w:ascii="Times New Roman" w:eastAsia="宋体" w:hAnsi="Times New Roman" w:cs="Times New Roman"/>
          <w:i/>
          <w:sz w:val="24"/>
          <w:szCs w:val="24"/>
        </w:rPr>
        <w:t>t</w:t>
      </w:r>
      <w:r w:rsidRPr="00723DA9">
        <w:rPr>
          <w:rFonts w:ascii="Times New Roman" w:eastAsia="宋体" w:hAnsi="Times New Roman" w:cs="Times New Roman"/>
          <w:sz w:val="24"/>
          <w:szCs w:val="24"/>
        </w:rPr>
        <w:t xml:space="preserve"> normalized by </w:t>
      </w:r>
      <m:oMath>
        <m:sSup>
          <m:sSupPr>
            <m:ctrlPr>
              <w:rPr>
                <w:rFonts w:ascii="Cambria Math" w:eastAsia="宋体" w:hAnsi="Cambria Math" w:cs="Times New Roman"/>
                <w:sz w:val="24"/>
                <w:szCs w:val="24"/>
                <w:lang w:eastAsia="en-US"/>
              </w:rPr>
            </m:ctrlPr>
          </m:sSupPr>
          <m:e>
            <m:r>
              <m:rPr>
                <m:sty m:val="p"/>
              </m:rPr>
              <w:rPr>
                <w:rFonts w:ascii="Cambria Math" w:eastAsia="宋体" w:hAnsi="Cambria Math" w:cs="Times New Roman"/>
                <w:sz w:val="24"/>
                <w:szCs w:val="24"/>
              </w:rPr>
              <m:t>(K-1)</m:t>
            </m:r>
          </m:e>
          <m:sup>
            <m:r>
              <m:rPr>
                <m:sty m:val="p"/>
              </m:rPr>
              <w:rPr>
                <w:rFonts w:ascii="Cambria Math" w:eastAsia="宋体" w:hAnsi="Cambria Math" w:cs="Times New Roman"/>
                <w:sz w:val="24"/>
                <w:szCs w:val="24"/>
              </w:rPr>
              <m:t>1/2</m:t>
            </m:r>
          </m:sup>
        </m:sSup>
      </m:oMath>
      <w:r w:rsidRPr="00723DA9">
        <w:rPr>
          <w:rFonts w:ascii="Times New Roman" w:eastAsia="宋体" w:hAnsi="Times New Roman" w:cs="Times New Roman"/>
          <w:sz w:val="24"/>
          <w:szCs w:val="24"/>
        </w:rPr>
        <w:t xml:space="preserve">, </w:t>
      </w:r>
      <m:oMath>
        <m:r>
          <m:rPr>
            <m:sty m:val="p"/>
          </m:rPr>
          <w:rPr>
            <w:rFonts w:ascii="Cambria Math" w:eastAsia="宋体" w:hAnsi="Cambria Math" w:cs="Times New Roman"/>
            <w:sz w:val="24"/>
            <w:szCs w:val="24"/>
          </w:rPr>
          <m:t>K</m:t>
        </m:r>
      </m:oMath>
      <w:r w:rsidRPr="00723DA9">
        <w:rPr>
          <w:rFonts w:ascii="Times New Roman" w:eastAsia="宋体" w:hAnsi="Times New Roman" w:cs="Times New Roman"/>
          <w:sz w:val="24"/>
          <w:szCs w:val="24"/>
        </w:rPr>
        <w:t xml:space="preserve"> is the ensemble size, and the symbol </w:t>
      </w:r>
      <m:oMath>
        <m:r>
          <m:rPr>
            <m:sty m:val="p"/>
          </m:rPr>
          <w:rPr>
            <w:rFonts w:ascii="Cambria Math" w:eastAsia="宋体" w:hAnsi="Cambria Math" w:cs="Times New Roman"/>
            <w:sz w:val="24"/>
            <w:szCs w:val="24"/>
          </w:rPr>
          <m:t>°</m:t>
        </m:r>
      </m:oMath>
      <w:r w:rsidRPr="00723DA9">
        <w:rPr>
          <w:rFonts w:ascii="Times New Roman" w:eastAsia="宋体" w:hAnsi="Times New Roman" w:cs="Times New Roman"/>
          <w:sz w:val="24"/>
          <w:szCs w:val="24"/>
        </w:rPr>
        <w:t xml:space="preserve"> denotes</w:t>
      </w:r>
      <w:r w:rsidRPr="00723DA9">
        <w:rPr>
          <w:rFonts w:ascii="Times New Roman" w:hAnsi="Times New Roman" w:cs="Times New Roman"/>
          <w:sz w:val="24"/>
          <w:szCs w:val="24"/>
        </w:rPr>
        <w:t xml:space="preserve"> the Schur product.</w:t>
      </w:r>
    </w:p>
    <w:p w14:paraId="32E6DD31" w14:textId="41B7702E" w:rsidR="00EB4A18" w:rsidRPr="00723DA9" w:rsidRDefault="00EB4A18" w:rsidP="00771F99">
      <w:pPr>
        <w:spacing w:after="0" w:line="480" w:lineRule="auto"/>
        <w:ind w:firstLine="357"/>
        <w:rPr>
          <w:rFonts w:ascii="Times New Roman" w:hAnsi="Times New Roman" w:cs="Times New Roman"/>
          <w:sz w:val="24"/>
          <w:szCs w:val="24"/>
        </w:rPr>
      </w:pPr>
      <w:r w:rsidRPr="00723DA9">
        <w:rPr>
          <w:rFonts w:ascii="Times New Roman" w:hAnsi="Times New Roman" w:cs="Times New Roman"/>
          <w:sz w:val="24"/>
          <w:szCs w:val="24"/>
        </w:rPr>
        <w:lastRenderedPageBreak/>
        <w:t xml:space="preserve">The cost function remains the same as in single-resolution </w:t>
      </w:r>
      <w:r w:rsidR="00020144">
        <w:rPr>
          <w:rFonts w:ascii="Times New Roman" w:hAnsi="Times New Roman" w:cs="Times New Roman"/>
          <w:sz w:val="24"/>
          <w:szCs w:val="24"/>
        </w:rPr>
        <w:t xml:space="preserve">hybrid </w:t>
      </w:r>
      <w:r w:rsidRPr="00723DA9">
        <w:rPr>
          <w:rFonts w:ascii="Times New Roman" w:hAnsi="Times New Roman" w:cs="Times New Roman"/>
          <w:sz w:val="24"/>
          <w:szCs w:val="24"/>
        </w:rPr>
        <w:t>4DEnVar</w:t>
      </w:r>
      <w:r w:rsidR="00B62D41" w:rsidRPr="00723DA9">
        <w:rPr>
          <w:rFonts w:ascii="Times New Roman" w:hAnsi="Times New Roman" w:cs="Times New Roman"/>
          <w:sz w:val="24"/>
          <w:szCs w:val="24"/>
        </w:rPr>
        <w:t xml:space="preserve"> </w:t>
      </w:r>
      <w:r w:rsidR="00B62D41" w:rsidRPr="00723DA9">
        <w:rPr>
          <w:rFonts w:ascii="Times New Roman" w:hAnsi="Times New Roman" w:cs="Times New Roman"/>
          <w:sz w:val="24"/>
          <w:szCs w:val="24"/>
        </w:rPr>
        <w:fldChar w:fldCharType="begin" w:fldLock="1"/>
      </w:r>
      <w:r w:rsidR="0036222B" w:rsidRPr="00723DA9">
        <w:rPr>
          <w:rFonts w:ascii="Times New Roman" w:hAnsi="Times New Roman" w:cs="Times New Roman"/>
          <w:sz w:val="24"/>
          <w:szCs w:val="24"/>
        </w:rPr>
        <w:instrText>ADDIN CSL_CITATION {"citationItems":[{"id":"ITEM-1","itemData":{"DOI":"10.1175/MWR-D-13-00303.1","ISSN":"0027-0644","author":[{"dropping-particle":"","family":"Wang","given":"Xuguang","non-dropping-particle":"","parse-names":false,"suffix":""},{"dropping-particle":"","family":"Lei","given":"Ting","non-dropping-particle":"","parse-names":false,"suffix":""}],"container-title":"Monthly Weather Review","id":"ITEM-1","issue":"9","issued":{"date-parts":[["2014"]]},"page":"3303-3325","title":"GSI-Based Four-Dimensional Ensemble–Variational (4DEnsVar) Data Assimilation: Formulation and Single-Resolution Experiments with Real Data for NCEP Global Forecast System","type":"article-journal","volume":"142"},"uris":["http://www.mendeley.com/documents/?uuid=f295b23c-2791-41f1-8a74-218a53b815e3"]}],"mendeley":{"formattedCitation":"(Wang and Lei 2014)","plainTextFormattedCitation":"(Wang and Lei 2014)","previouslyFormattedCitation":"(Wang and Lei 2014)"},"properties":{"noteIndex":0},"schema":"https://github.com/citation-style-language/schema/raw/master/csl-citation.json"}</w:instrText>
      </w:r>
      <w:r w:rsidR="00B62D41" w:rsidRPr="00723DA9">
        <w:rPr>
          <w:rFonts w:ascii="Times New Roman" w:hAnsi="Times New Roman" w:cs="Times New Roman"/>
          <w:sz w:val="24"/>
          <w:szCs w:val="24"/>
        </w:rPr>
        <w:fldChar w:fldCharType="separate"/>
      </w:r>
      <w:r w:rsidR="00B62D41" w:rsidRPr="00723DA9">
        <w:rPr>
          <w:rFonts w:ascii="Times New Roman" w:hAnsi="Times New Roman" w:cs="Times New Roman"/>
          <w:noProof/>
          <w:sz w:val="24"/>
          <w:szCs w:val="24"/>
        </w:rPr>
        <w:t>(Wang and Lei 2014)</w:t>
      </w:r>
      <w:r w:rsidR="00B62D41" w:rsidRPr="00723DA9">
        <w:rPr>
          <w:rFonts w:ascii="Times New Roman" w:hAnsi="Times New Roman" w:cs="Times New Roman"/>
          <w:sz w:val="24"/>
          <w:szCs w:val="24"/>
        </w:rPr>
        <w:fldChar w:fldCharType="end"/>
      </w:r>
      <w:r w:rsidRPr="00723DA9">
        <w:rPr>
          <w:rFonts w:ascii="Times New Roman" w:hAnsi="Times New Roman" w:cs="Times New Roman"/>
          <w:sz w:val="24"/>
          <w:szCs w:val="24"/>
        </w:rPr>
        <w:t>:</w:t>
      </w:r>
    </w:p>
    <w:p w14:paraId="5DC0680E" w14:textId="400CB0E3" w:rsidR="00EB4A18" w:rsidRPr="00723DA9" w:rsidRDefault="004133DB" w:rsidP="00771F99">
      <w:pPr>
        <w:spacing w:after="0" w:line="480" w:lineRule="auto"/>
        <w:rPr>
          <w:rFonts w:ascii="Times New Roman" w:hAnsi="Times New Roman" w:cs="Times New Roman"/>
          <w:sz w:val="24"/>
          <w:szCs w:val="24"/>
        </w:rPr>
      </w:pPr>
      <m:oMath>
        <m:r>
          <w:rPr>
            <w:rFonts w:ascii="Cambria Math" w:eastAsia="Calibri" w:hAnsi="Cambria Math" w:cs="Times New Roman"/>
            <w:sz w:val="24"/>
            <w:szCs w:val="24"/>
            <w:lang w:eastAsia="en-US"/>
          </w:rPr>
          <m:t>J(</m:t>
        </m:r>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x</m:t>
            </m:r>
          </m:e>
          <m:sub>
            <m:r>
              <w:rPr>
                <w:rFonts w:ascii="Cambria Math" w:eastAsia="Calibri" w:hAnsi="Cambria Math" w:cs="Times New Roman"/>
                <w:sz w:val="24"/>
                <w:szCs w:val="24"/>
                <w:lang w:eastAsia="en-US"/>
              </w:rPr>
              <m:t>1</m:t>
            </m:r>
          </m:sub>
          <m:sup>
            <m:r>
              <w:rPr>
                <w:rFonts w:ascii="Cambria Math" w:eastAsia="Calibri" w:hAnsi="Cambria Math" w:cs="Times New Roman"/>
                <w:sz w:val="24"/>
                <w:szCs w:val="24"/>
                <w:lang w:eastAsia="en-US"/>
              </w:rPr>
              <m:t>'</m:t>
            </m:r>
          </m:sup>
        </m:sSubSup>
        <m:r>
          <w:rPr>
            <w:rFonts w:ascii="Cambria Math" w:eastAsia="Calibri" w:hAnsi="Cambria Math" w:cs="Times New Roman"/>
            <w:sz w:val="24"/>
            <w:szCs w:val="24"/>
            <w:lang w:eastAsia="en-US"/>
          </w:rPr>
          <m:t>,</m:t>
        </m:r>
        <m:r>
          <m:rPr>
            <m:sty m:val="bi"/>
          </m:rPr>
          <w:rPr>
            <w:rFonts w:ascii="Cambria Math" w:eastAsia="Calibri" w:hAnsi="Cambria Math" w:cs="Times New Roman"/>
            <w:sz w:val="24"/>
            <w:szCs w:val="24"/>
            <w:lang w:eastAsia="en-US"/>
          </w:rPr>
          <m:t>a</m:t>
        </m:r>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r>
              <w:rPr>
                <w:rFonts w:ascii="Cambria Math" w:eastAsia="Calibri" w:hAnsi="Cambria Math" w:cs="Times New Roman"/>
                <w:sz w:val="24"/>
                <w:szCs w:val="24"/>
                <w:lang w:eastAsia="en-US"/>
              </w:rPr>
              <m:t>1</m:t>
            </m:r>
          </m:num>
          <m:den>
            <m:r>
              <w:rPr>
                <w:rFonts w:ascii="Cambria Math" w:eastAsia="Calibri" w:hAnsi="Cambria Math" w:cs="Times New Roman"/>
                <w:sz w:val="24"/>
                <w:szCs w:val="24"/>
                <w:lang w:eastAsia="en-US"/>
              </w:rPr>
              <m:t>2</m:t>
            </m:r>
          </m:den>
        </m:f>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β</m:t>
            </m:r>
          </m:e>
          <m:sub>
            <m:r>
              <w:rPr>
                <w:rFonts w:ascii="Cambria Math" w:eastAsia="Calibri" w:hAnsi="Cambria Math" w:cs="Times New Roman"/>
                <w:sz w:val="24"/>
                <w:szCs w:val="24"/>
                <w:lang w:eastAsia="en-US"/>
              </w:rPr>
              <m:t>1</m:t>
            </m:r>
          </m:sub>
        </m:sSub>
        <m:r>
          <w:rPr>
            <w:rFonts w:ascii="Cambria Math" w:eastAsia="Calibri" w:hAnsi="Cambria Math" w:cs="Times New Roman"/>
            <w:sz w:val="24"/>
            <w:szCs w:val="24"/>
            <w:lang w:eastAsia="en-US"/>
          </w:rPr>
          <m:t>(</m:t>
        </m:r>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x</m:t>
            </m:r>
          </m:e>
          <m:sub>
            <m:r>
              <w:rPr>
                <w:rFonts w:ascii="Cambria Math" w:eastAsia="Calibri" w:hAnsi="Cambria Math" w:cs="Times New Roman"/>
                <w:sz w:val="24"/>
                <w:szCs w:val="24"/>
                <w:lang w:eastAsia="en-US"/>
              </w:rPr>
              <m:t>1</m:t>
            </m:r>
          </m:sub>
          <m:sup>
            <m:r>
              <w:rPr>
                <w:rFonts w:ascii="Cambria Math" w:eastAsia="Calibri" w:hAnsi="Cambria Math" w:cs="Times New Roman"/>
                <w:sz w:val="24"/>
                <w:szCs w:val="24"/>
                <w:lang w:eastAsia="en-US"/>
              </w:rPr>
              <m:t>'</m:t>
            </m:r>
          </m:sup>
        </m:sSubSup>
        <m:sSup>
          <m:sSupPr>
            <m:ctrlPr>
              <w:rPr>
                <w:rFonts w:ascii="Cambria Math" w:eastAsia="Calibri" w:hAnsi="Cambria Math" w:cs="Times New Roman"/>
                <w:i/>
                <w:sz w:val="24"/>
                <w:szCs w:val="24"/>
                <w:lang w:eastAsia="en-US"/>
              </w:rPr>
            </m:ctrlPr>
          </m:sSupPr>
          <m:e>
            <m:r>
              <w:rPr>
                <w:rFonts w:ascii="Cambria Math" w:eastAsia="Calibri" w:hAnsi="Cambria Math" w:cs="Times New Roman"/>
                <w:sz w:val="24"/>
                <w:szCs w:val="24"/>
                <w:lang w:eastAsia="en-US"/>
              </w:rPr>
              <m:t>)</m:t>
            </m:r>
          </m:e>
          <m:sup>
            <m:r>
              <w:rPr>
                <w:rFonts w:ascii="Cambria Math" w:eastAsia="Calibri" w:hAnsi="Cambria Math" w:cs="Times New Roman"/>
                <w:sz w:val="24"/>
                <w:szCs w:val="24"/>
                <w:lang w:eastAsia="en-US"/>
              </w:rPr>
              <m:t>T</m:t>
            </m:r>
          </m:sup>
        </m:sSup>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B</m:t>
            </m:r>
          </m:e>
          <m:sub>
            <m:r>
              <w:rPr>
                <w:rFonts w:ascii="Cambria Math" w:eastAsia="Calibri" w:hAnsi="Cambria Math" w:cs="Times New Roman"/>
                <w:sz w:val="24"/>
                <w:szCs w:val="24"/>
                <w:lang w:eastAsia="en-US"/>
              </w:rPr>
              <m:t>1</m:t>
            </m:r>
          </m:sub>
          <m:sup>
            <m:r>
              <w:rPr>
                <w:rFonts w:ascii="Cambria Math" w:eastAsia="Calibri" w:hAnsi="Cambria Math" w:cs="Times New Roman"/>
                <w:sz w:val="24"/>
                <w:szCs w:val="24"/>
                <w:lang w:eastAsia="en-US"/>
              </w:rPr>
              <m:t>-1</m:t>
            </m:r>
          </m:sup>
        </m:sSubSup>
        <m:r>
          <w:rPr>
            <w:rFonts w:ascii="Cambria Math" w:eastAsia="Calibri" w:hAnsi="Cambria Math" w:cs="Times New Roman"/>
            <w:sz w:val="24"/>
            <w:szCs w:val="24"/>
            <w:lang w:eastAsia="en-US"/>
          </w:rPr>
          <m:t>(</m:t>
        </m:r>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x</m:t>
            </m:r>
          </m:e>
          <m:sub>
            <m:r>
              <w:rPr>
                <w:rFonts w:ascii="Cambria Math" w:eastAsia="Calibri" w:hAnsi="Cambria Math" w:cs="Times New Roman"/>
                <w:sz w:val="24"/>
                <w:szCs w:val="24"/>
                <w:lang w:eastAsia="en-US"/>
              </w:rPr>
              <m:t>1</m:t>
            </m:r>
          </m:sub>
          <m:sup>
            <m:r>
              <w:rPr>
                <w:rFonts w:ascii="Cambria Math" w:eastAsia="Calibri" w:hAnsi="Cambria Math" w:cs="Times New Roman"/>
                <w:sz w:val="24"/>
                <w:szCs w:val="24"/>
                <w:lang w:eastAsia="en-US"/>
              </w:rPr>
              <m:t>'</m:t>
            </m:r>
          </m:sup>
        </m:sSubSup>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r>
              <w:rPr>
                <w:rFonts w:ascii="Cambria Math" w:eastAsia="Calibri" w:hAnsi="Cambria Math" w:cs="Times New Roman"/>
                <w:sz w:val="24"/>
                <w:szCs w:val="24"/>
                <w:lang w:eastAsia="en-US"/>
              </w:rPr>
              <m:t>1</m:t>
            </m:r>
          </m:num>
          <m:den>
            <m:r>
              <w:rPr>
                <w:rFonts w:ascii="Cambria Math" w:eastAsia="Calibri" w:hAnsi="Cambria Math" w:cs="Times New Roman"/>
                <w:sz w:val="24"/>
                <w:szCs w:val="24"/>
                <w:lang w:eastAsia="en-US"/>
              </w:rPr>
              <m:t>2</m:t>
            </m:r>
          </m:den>
        </m:f>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β</m:t>
            </m:r>
          </m:e>
          <m:sub>
            <m:r>
              <w:rPr>
                <w:rFonts w:ascii="Cambria Math" w:eastAsia="Calibri" w:hAnsi="Cambria Math" w:cs="Times New Roman"/>
                <w:sz w:val="24"/>
                <w:szCs w:val="24"/>
                <w:lang w:eastAsia="en-US"/>
              </w:rPr>
              <m:t>2</m:t>
            </m:r>
          </m:sub>
        </m:sSub>
        <m:r>
          <w:rPr>
            <w:rFonts w:ascii="Cambria Math" w:eastAsia="Calibri" w:hAnsi="Cambria Math" w:cs="Times New Roman"/>
            <w:sz w:val="24"/>
            <w:szCs w:val="24"/>
            <w:lang w:eastAsia="en-US"/>
          </w:rPr>
          <m:t>(</m:t>
        </m:r>
        <m:r>
          <m:rPr>
            <m:sty m:val="bi"/>
          </m:rPr>
          <w:rPr>
            <w:rFonts w:ascii="Cambria Math" w:eastAsia="Calibri" w:hAnsi="Cambria Math" w:cs="Times New Roman"/>
            <w:sz w:val="24"/>
            <w:szCs w:val="24"/>
            <w:lang w:eastAsia="en-US"/>
          </w:rPr>
          <m:t>a</m:t>
        </m:r>
        <m:sSup>
          <m:sSupPr>
            <m:ctrlPr>
              <w:rPr>
                <w:rFonts w:ascii="Cambria Math" w:eastAsia="Calibri" w:hAnsi="Cambria Math" w:cs="Times New Roman"/>
                <w:i/>
                <w:sz w:val="24"/>
                <w:szCs w:val="24"/>
                <w:lang w:eastAsia="en-US"/>
              </w:rPr>
            </m:ctrlPr>
          </m:sSupPr>
          <m:e>
            <m:r>
              <w:rPr>
                <w:rFonts w:ascii="Cambria Math" w:eastAsia="Calibri" w:hAnsi="Cambria Math" w:cs="Times New Roman"/>
                <w:sz w:val="24"/>
                <w:szCs w:val="24"/>
                <w:lang w:eastAsia="en-US"/>
              </w:rPr>
              <m:t>)</m:t>
            </m:r>
          </m:e>
          <m:sup>
            <m:r>
              <w:rPr>
                <w:rFonts w:ascii="Cambria Math" w:eastAsia="Calibri" w:hAnsi="Cambria Math" w:cs="Times New Roman"/>
                <w:sz w:val="24"/>
                <w:szCs w:val="24"/>
                <w:lang w:eastAsia="en-US"/>
              </w:rPr>
              <m:t>T</m:t>
            </m:r>
          </m:sup>
        </m:sSup>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A</m:t>
            </m:r>
          </m:e>
          <m:sup>
            <m:r>
              <w:rPr>
                <w:rFonts w:ascii="Cambria Math" w:eastAsia="Calibri" w:hAnsi="Cambria Math" w:cs="Times New Roman"/>
                <w:sz w:val="24"/>
                <w:szCs w:val="24"/>
                <w:lang w:eastAsia="en-US"/>
              </w:rPr>
              <m:t>-1</m:t>
            </m:r>
          </m:sup>
        </m:sSup>
        <m:r>
          <w:rPr>
            <w:rFonts w:ascii="Cambria Math" w:eastAsia="Calibri" w:hAnsi="Cambria Math" w:cs="Times New Roman"/>
            <w:sz w:val="24"/>
            <w:szCs w:val="24"/>
            <w:lang w:eastAsia="en-US"/>
          </w:rPr>
          <m:t>(</m:t>
        </m:r>
        <m:r>
          <m:rPr>
            <m:sty m:val="bi"/>
          </m:rPr>
          <w:rPr>
            <w:rFonts w:ascii="Cambria Math" w:eastAsia="Calibri" w:hAnsi="Cambria Math" w:cs="Times New Roman"/>
            <w:sz w:val="24"/>
            <w:szCs w:val="24"/>
            <w:lang w:eastAsia="en-US"/>
          </w:rPr>
          <m:t>a</m:t>
        </m:r>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r>
              <w:rPr>
                <w:rFonts w:ascii="Cambria Math" w:eastAsia="Calibri" w:hAnsi="Cambria Math" w:cs="Times New Roman"/>
                <w:sz w:val="24"/>
                <w:szCs w:val="24"/>
                <w:lang w:eastAsia="en-US"/>
              </w:rPr>
              <m:t>1</m:t>
            </m:r>
          </m:num>
          <m:den>
            <m:r>
              <w:rPr>
                <w:rFonts w:ascii="Cambria Math" w:eastAsia="Calibri" w:hAnsi="Cambria Math" w:cs="Times New Roman"/>
                <w:sz w:val="24"/>
                <w:szCs w:val="24"/>
                <w:lang w:eastAsia="en-US"/>
              </w:rPr>
              <m:t>2</m:t>
            </m:r>
          </m:den>
        </m:f>
        <m:nary>
          <m:naryPr>
            <m:chr m:val="∑"/>
            <m:ctrlPr>
              <w:rPr>
                <w:rFonts w:ascii="Cambria Math" w:eastAsia="Calibri" w:hAnsi="Cambria Math" w:cs="Times New Roman"/>
                <w:i/>
                <w:sz w:val="24"/>
                <w:szCs w:val="24"/>
                <w:lang w:eastAsia="en-US"/>
              </w:rPr>
            </m:ctrlPr>
          </m:naryPr>
          <m:sub>
            <m:r>
              <w:rPr>
                <w:rFonts w:ascii="Cambria Math" w:eastAsia="Calibri" w:hAnsi="Cambria Math" w:cs="Times New Roman"/>
                <w:sz w:val="24"/>
                <w:szCs w:val="24"/>
                <w:lang w:eastAsia="en-US"/>
              </w:rPr>
              <m:t>t=1</m:t>
            </m:r>
          </m:sub>
          <m:sup>
            <m:r>
              <w:rPr>
                <w:rFonts w:ascii="Cambria Math" w:eastAsia="Calibri" w:hAnsi="Cambria Math" w:cs="Times New Roman"/>
                <w:sz w:val="24"/>
                <w:szCs w:val="24"/>
                <w:lang w:eastAsia="en-US"/>
              </w:rPr>
              <m:t>L</m:t>
            </m:r>
          </m:sup>
          <m:e>
            <m:r>
              <w:rPr>
                <w:rFonts w:ascii="Cambria Math" w:eastAsia="Calibri" w:hAnsi="Cambria Math" w:cs="Times New Roman"/>
                <w:sz w:val="24"/>
                <w:szCs w:val="24"/>
                <w:lang w:eastAsia="en-US"/>
              </w:rPr>
              <m:t>(</m:t>
            </m:r>
            <m:sSup>
              <m:sSupPr>
                <m:ctrlPr>
                  <w:rPr>
                    <w:rFonts w:ascii="Cambria Math" w:eastAsia="Calibri" w:hAnsi="Cambria Math" w:cs="Times New Roman"/>
                    <w:i/>
                    <w:sz w:val="24"/>
                    <w:szCs w:val="24"/>
                    <w:lang w:eastAsia="en-US"/>
                  </w:rPr>
                </m:ctrlPr>
              </m:sSupPr>
              <m:e>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y</m:t>
                    </m:r>
                  </m:e>
                  <m:sub>
                    <m:r>
                      <w:rPr>
                        <w:rFonts w:ascii="Cambria Math" w:eastAsia="Calibri" w:hAnsi="Cambria Math" w:cs="Times New Roman"/>
                        <w:sz w:val="24"/>
                        <w:szCs w:val="24"/>
                        <w:lang w:eastAsia="en-US"/>
                      </w:rPr>
                      <m:t>t</m:t>
                    </m:r>
                  </m:sub>
                  <m:sup>
                    <m:r>
                      <w:rPr>
                        <w:rFonts w:ascii="Cambria Math" w:eastAsia="Calibri" w:hAnsi="Cambria Math" w:cs="Times New Roman"/>
                        <w:sz w:val="24"/>
                        <w:szCs w:val="24"/>
                        <w:lang w:eastAsia="en-US"/>
                      </w:rPr>
                      <m:t>o</m:t>
                    </m:r>
                  </m:sup>
                </m:sSubSup>
              </m:e>
              <m:sup>
                <m:r>
                  <w:rPr>
                    <w:rFonts w:ascii="Cambria Math" w:eastAsia="Calibri" w:hAnsi="Cambria Math" w:cs="Times New Roman"/>
                    <w:sz w:val="24"/>
                    <w:szCs w:val="24"/>
                    <w:lang w:eastAsia="en-US"/>
                  </w:rPr>
                  <m:t>'</m:t>
                </m:r>
              </m:sup>
            </m:sSup>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eastAsia="en-US"/>
                  </w:rPr>
                </m:ctrlPr>
              </m:sSubPr>
              <m:e>
                <m:r>
                  <m:rPr>
                    <m:sty m:val="bi"/>
                  </m:rPr>
                  <w:rPr>
                    <w:rFonts w:ascii="Cambria Math" w:eastAsia="Calibri" w:hAnsi="Cambria Math" w:cs="Times New Roman"/>
                    <w:sz w:val="24"/>
                    <w:szCs w:val="24"/>
                    <w:lang w:eastAsia="en-US"/>
                  </w:rPr>
                  <m:t>H</m:t>
                </m:r>
              </m:e>
              <m:sub>
                <m:r>
                  <w:rPr>
                    <w:rFonts w:ascii="Cambria Math" w:eastAsia="Calibri" w:hAnsi="Cambria Math" w:cs="Times New Roman"/>
                    <w:sz w:val="24"/>
                    <w:szCs w:val="24"/>
                    <w:lang w:eastAsia="en-US"/>
                  </w:rPr>
                  <m:t>t</m:t>
                </m:r>
              </m:sub>
            </m:sSub>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x</m:t>
                </m:r>
              </m:e>
              <m:sub>
                <m:r>
                  <w:rPr>
                    <w:rFonts w:ascii="Cambria Math" w:eastAsia="Calibri" w:hAnsi="Cambria Math" w:cs="Times New Roman"/>
                    <w:sz w:val="24"/>
                    <w:szCs w:val="24"/>
                    <w:lang w:eastAsia="en-US"/>
                  </w:rPr>
                  <m:t>t</m:t>
                </m:r>
              </m:sub>
              <m:sup>
                <m:r>
                  <w:rPr>
                    <w:rFonts w:ascii="Cambria Math" w:eastAsia="Calibri" w:hAnsi="Cambria Math" w:cs="Times New Roman"/>
                    <w:sz w:val="24"/>
                    <w:szCs w:val="24"/>
                    <w:lang w:eastAsia="en-US"/>
                  </w:rPr>
                  <m:t>'</m:t>
                </m:r>
              </m:sup>
            </m:sSubSup>
            <m:sSup>
              <m:sSupPr>
                <m:ctrlPr>
                  <w:rPr>
                    <w:rFonts w:ascii="Cambria Math" w:eastAsia="Calibri" w:hAnsi="Cambria Math" w:cs="Times New Roman"/>
                    <w:i/>
                    <w:sz w:val="24"/>
                    <w:szCs w:val="24"/>
                    <w:lang w:eastAsia="en-US"/>
                  </w:rPr>
                </m:ctrlPr>
              </m:sSupPr>
              <m:e>
                <m:r>
                  <w:rPr>
                    <w:rFonts w:ascii="Cambria Math" w:eastAsia="Calibri" w:hAnsi="Cambria Math" w:cs="Times New Roman"/>
                    <w:sz w:val="24"/>
                    <w:szCs w:val="24"/>
                    <w:lang w:eastAsia="en-US"/>
                  </w:rPr>
                  <m:t>)</m:t>
                </m:r>
              </m:e>
              <m:sup>
                <m:r>
                  <w:rPr>
                    <w:rFonts w:ascii="Cambria Math" w:eastAsia="Calibri" w:hAnsi="Cambria Math" w:cs="Times New Roman"/>
                    <w:sz w:val="24"/>
                    <w:szCs w:val="24"/>
                    <w:lang w:eastAsia="en-US"/>
                  </w:rPr>
                  <m:t>T</m:t>
                </m:r>
              </m:sup>
            </m:sSup>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R</m:t>
                </m:r>
              </m:e>
              <m:sub>
                <m:r>
                  <w:rPr>
                    <w:rFonts w:ascii="Cambria Math" w:eastAsia="Calibri" w:hAnsi="Cambria Math" w:cs="Times New Roman"/>
                    <w:sz w:val="24"/>
                    <w:szCs w:val="24"/>
                    <w:lang w:eastAsia="en-US"/>
                  </w:rPr>
                  <m:t>t</m:t>
                </m:r>
              </m:sub>
              <m:sup>
                <m:r>
                  <w:rPr>
                    <w:rFonts w:ascii="Cambria Math" w:eastAsia="Calibri" w:hAnsi="Cambria Math" w:cs="Times New Roman"/>
                    <w:sz w:val="24"/>
                    <w:szCs w:val="24"/>
                    <w:lang w:eastAsia="en-US"/>
                  </w:rPr>
                  <m:t>-1</m:t>
                </m:r>
              </m:sup>
            </m:sSubSup>
            <m:r>
              <w:rPr>
                <w:rFonts w:ascii="Cambria Math" w:eastAsia="Calibri" w:hAnsi="Cambria Math" w:cs="Times New Roman"/>
                <w:sz w:val="24"/>
                <w:szCs w:val="24"/>
                <w:lang w:eastAsia="en-US"/>
              </w:rPr>
              <m:t>(</m:t>
            </m:r>
            <m:sSup>
              <m:sSupPr>
                <m:ctrlPr>
                  <w:rPr>
                    <w:rFonts w:ascii="Cambria Math" w:eastAsia="Calibri" w:hAnsi="Cambria Math" w:cs="Times New Roman"/>
                    <w:i/>
                    <w:sz w:val="24"/>
                    <w:szCs w:val="24"/>
                    <w:lang w:eastAsia="en-US"/>
                  </w:rPr>
                </m:ctrlPr>
              </m:sSupPr>
              <m:e>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y</m:t>
                    </m:r>
                  </m:e>
                  <m:sub>
                    <m:r>
                      <w:rPr>
                        <w:rFonts w:ascii="Cambria Math" w:eastAsia="Calibri" w:hAnsi="Cambria Math" w:cs="Times New Roman"/>
                        <w:sz w:val="24"/>
                        <w:szCs w:val="24"/>
                        <w:lang w:eastAsia="en-US"/>
                      </w:rPr>
                      <m:t>t</m:t>
                    </m:r>
                  </m:sub>
                  <m:sup>
                    <m:r>
                      <w:rPr>
                        <w:rFonts w:ascii="Cambria Math" w:eastAsia="Calibri" w:hAnsi="Cambria Math" w:cs="Times New Roman"/>
                        <w:sz w:val="24"/>
                        <w:szCs w:val="24"/>
                        <w:lang w:eastAsia="en-US"/>
                      </w:rPr>
                      <m:t>o</m:t>
                    </m:r>
                  </m:sup>
                </m:sSubSup>
              </m:e>
              <m:sup>
                <m:r>
                  <w:rPr>
                    <w:rFonts w:ascii="Cambria Math" w:eastAsia="Calibri" w:hAnsi="Cambria Math" w:cs="Times New Roman"/>
                    <w:sz w:val="24"/>
                    <w:szCs w:val="24"/>
                    <w:lang w:eastAsia="en-US"/>
                  </w:rPr>
                  <m:t>'</m:t>
                </m:r>
              </m:sup>
            </m:sSup>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eastAsia="en-US"/>
                  </w:rPr>
                </m:ctrlPr>
              </m:sSubPr>
              <m:e>
                <m:r>
                  <m:rPr>
                    <m:sty m:val="bi"/>
                  </m:rPr>
                  <w:rPr>
                    <w:rFonts w:ascii="Cambria Math" w:eastAsia="Calibri" w:hAnsi="Cambria Math" w:cs="Times New Roman"/>
                    <w:sz w:val="24"/>
                    <w:szCs w:val="24"/>
                    <w:lang w:eastAsia="en-US"/>
                  </w:rPr>
                  <m:t>H</m:t>
                </m:r>
              </m:e>
              <m:sub>
                <m:r>
                  <w:rPr>
                    <w:rFonts w:ascii="Cambria Math" w:eastAsia="Calibri" w:hAnsi="Cambria Math" w:cs="Times New Roman"/>
                    <w:sz w:val="24"/>
                    <w:szCs w:val="24"/>
                    <w:lang w:eastAsia="en-US"/>
                  </w:rPr>
                  <m:t>t</m:t>
                </m:r>
              </m:sub>
            </m:sSub>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x</m:t>
                </m:r>
              </m:e>
              <m:sub>
                <m:r>
                  <w:rPr>
                    <w:rFonts w:ascii="Cambria Math" w:eastAsia="Calibri" w:hAnsi="Cambria Math" w:cs="Times New Roman"/>
                    <w:sz w:val="24"/>
                    <w:szCs w:val="24"/>
                    <w:lang w:eastAsia="en-US"/>
                  </w:rPr>
                  <m:t>t</m:t>
                </m:r>
              </m:sub>
              <m:sup>
                <m:r>
                  <w:rPr>
                    <w:rFonts w:ascii="Cambria Math" w:eastAsia="Calibri" w:hAnsi="Cambria Math" w:cs="Times New Roman"/>
                    <w:sz w:val="24"/>
                    <w:szCs w:val="24"/>
                    <w:lang w:eastAsia="en-US"/>
                  </w:rPr>
                  <m:t>'</m:t>
                </m:r>
              </m:sup>
            </m:sSubSup>
            <m:r>
              <w:rPr>
                <w:rFonts w:ascii="Cambria Math" w:eastAsia="Calibri" w:hAnsi="Cambria Math" w:cs="Times New Roman"/>
                <w:sz w:val="24"/>
                <w:szCs w:val="24"/>
                <w:lang w:eastAsia="en-US"/>
              </w:rPr>
              <m:t>)</m:t>
            </m:r>
          </m:e>
        </m:nary>
      </m:oMath>
      <w:r w:rsidR="00EB4A18" w:rsidRPr="00723DA9">
        <w:rPr>
          <w:rFonts w:ascii="Times New Roman" w:hAnsi="Times New Roman" w:cs="Times New Roman"/>
          <w:sz w:val="24"/>
          <w:szCs w:val="24"/>
        </w:rPr>
        <w:t xml:space="preserve"> (2</w:t>
      </w:r>
      <w:r w:rsidR="001B41DC">
        <w:rPr>
          <w:rFonts w:ascii="Times New Roman" w:hAnsi="Times New Roman" w:cs="Times New Roman"/>
          <w:sz w:val="24"/>
          <w:szCs w:val="24"/>
        </w:rPr>
        <w:t>.2</w:t>
      </w:r>
      <w:r w:rsidR="00EB4A18" w:rsidRPr="00723DA9">
        <w:rPr>
          <w:rFonts w:ascii="Times New Roman" w:hAnsi="Times New Roman" w:cs="Times New Roman"/>
          <w:sz w:val="24"/>
          <w:szCs w:val="24"/>
        </w:rPr>
        <w:t xml:space="preserve">) </w:t>
      </w:r>
    </w:p>
    <w:p w14:paraId="3964D753" w14:textId="07A07567" w:rsidR="00EB4A18" w:rsidRPr="00723DA9" w:rsidRDefault="00EB4A18"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t xml:space="preserve">where </w:t>
      </w:r>
      <m:oMath>
        <m:sSub>
          <m:sSubPr>
            <m:ctrlPr>
              <w:rPr>
                <w:rFonts w:ascii="Cambria Math" w:eastAsia="Calibri" w:hAnsi="Cambria Math" w:cs="Times New Roman"/>
                <w:i/>
                <w:sz w:val="24"/>
                <w:szCs w:val="24"/>
                <w:lang w:eastAsia="en-US"/>
              </w:rPr>
            </m:ctrlPr>
          </m:sSubPr>
          <m:e>
            <m:r>
              <m:rPr>
                <m:sty m:val="b"/>
              </m:rPr>
              <w:rPr>
                <w:rFonts w:ascii="Cambria Math" w:hAnsi="Cambria Math" w:cs="Times New Roman"/>
                <w:sz w:val="24"/>
                <w:szCs w:val="24"/>
              </w:rPr>
              <m:t>B</m:t>
            </m:r>
          </m:e>
          <m:sub>
            <m:r>
              <w:rPr>
                <w:rFonts w:ascii="Cambria Math" w:hAnsi="Cambria Math" w:cs="Times New Roman"/>
                <w:sz w:val="24"/>
                <w:szCs w:val="24"/>
              </w:rPr>
              <m:t>1</m:t>
            </m:r>
          </m:sub>
        </m:sSub>
      </m:oMath>
      <w:r w:rsidRPr="00723DA9">
        <w:rPr>
          <w:rFonts w:ascii="Times New Roman" w:eastAsia="宋体" w:hAnsi="Times New Roman" w:cs="Times New Roman"/>
          <w:sz w:val="24"/>
          <w:szCs w:val="24"/>
        </w:rPr>
        <w:t xml:space="preserve"> denotes the static covariance, </w:t>
      </w:r>
      <w:r w:rsidRPr="00723DA9">
        <w:rPr>
          <w:rFonts w:ascii="Times New Roman" w:eastAsia="宋体" w:hAnsi="Times New Roman" w:cs="Times New Roman"/>
          <w:b/>
          <w:sz w:val="24"/>
          <w:szCs w:val="24"/>
        </w:rPr>
        <w:t>a</w:t>
      </w:r>
      <w:r w:rsidRPr="00723DA9">
        <w:rPr>
          <w:rFonts w:ascii="Times New Roman" w:eastAsia="宋体" w:hAnsi="Times New Roman" w:cs="Times New Roman"/>
          <w:sz w:val="24"/>
          <w:szCs w:val="24"/>
        </w:rPr>
        <w:t xml:space="preserve"> is a vector that concatenates </w:t>
      </w:r>
      <m:oMath>
        <m:sSub>
          <m:sSubPr>
            <m:ctrlPr>
              <w:rPr>
                <w:rFonts w:ascii="Cambria Math" w:eastAsia="Calibri" w:hAnsi="Cambria Math" w:cs="Times New Roman"/>
                <w:i/>
                <w:sz w:val="24"/>
                <w:szCs w:val="24"/>
                <w:lang w:eastAsia="en-US"/>
              </w:rPr>
            </m:ctrlPr>
          </m:sSubPr>
          <m:e>
            <m:r>
              <m:rPr>
                <m:sty m:val="b"/>
              </m:rPr>
              <w:rPr>
                <w:rFonts w:ascii="Cambria Math" w:hAnsi="Cambria Math" w:cs="Times New Roman"/>
                <w:sz w:val="24"/>
                <w:szCs w:val="24"/>
              </w:rPr>
              <m:t>a</m:t>
            </m:r>
          </m:e>
          <m:sub>
            <m:r>
              <w:rPr>
                <w:rFonts w:ascii="Cambria Math" w:hAnsi="Cambria Math" w:cs="Times New Roman"/>
                <w:sz w:val="24"/>
                <w:szCs w:val="24"/>
              </w:rPr>
              <m:t>k</m:t>
            </m:r>
          </m:sub>
        </m:sSub>
      </m:oMath>
      <w:r w:rsidRPr="00723DA9">
        <w:rPr>
          <w:rFonts w:ascii="Times New Roman" w:eastAsia="宋体" w:hAnsi="Times New Roman" w:cs="Times New Roman"/>
          <w:sz w:val="24"/>
          <w:szCs w:val="24"/>
        </w:rPr>
        <w:t xml:space="preserve">, k=1, K, </w:t>
      </w:r>
      <w:r w:rsidRPr="00723DA9">
        <w:rPr>
          <w:rFonts w:ascii="Times New Roman" w:eastAsia="宋体" w:hAnsi="Times New Roman" w:cs="Times New Roman"/>
          <w:b/>
          <w:sz w:val="24"/>
          <w:szCs w:val="24"/>
        </w:rPr>
        <w:t>A</w:t>
      </w:r>
      <w:r w:rsidRPr="00723DA9">
        <w:rPr>
          <w:rFonts w:ascii="Times New Roman" w:eastAsia="宋体" w:hAnsi="Times New Roman" w:cs="Times New Roman"/>
          <w:sz w:val="24"/>
          <w:szCs w:val="24"/>
        </w:rPr>
        <w:t xml:space="preserve"> denotes the matrix that defines the localization applied to the ensemble covariance,</w:t>
      </w:r>
      <w:r w:rsidRPr="00723DA9">
        <w:rPr>
          <w:rFonts w:ascii="Times New Roman" w:hAnsi="Times New Roman" w:cs="Times New Roman"/>
        </w:rPr>
        <w:fldChar w:fldCharType="begin"/>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w:t>
      </w:r>
      <w:r w:rsidRPr="00723DA9">
        <w:rPr>
          <w:rFonts w:ascii="Times New Roman" w:hAnsi="Times New Roman" w:cs="Times New Roman"/>
        </w:rPr>
        <w:fldChar w:fldCharType="begin"/>
      </w:r>
      <w:r w:rsidRPr="00723DA9">
        <w:rPr>
          <w:rFonts w:ascii="Times New Roman" w:hAnsi="Times New Roman" w:cs="Times New Roman"/>
        </w:rPr>
        <w:fldChar w:fldCharType="end"/>
      </w:r>
      <w:r w:rsidRPr="00723DA9">
        <w:rPr>
          <w:rFonts w:ascii="Times New Roman" w:hAnsi="Times New Roman" w:cs="Times New Roman"/>
        </w:rPr>
        <w:fldChar w:fldCharType="begin"/>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L is </w:t>
      </w:r>
      <w:r w:rsidRPr="00723DA9">
        <w:rPr>
          <w:rFonts w:ascii="Times New Roman" w:hAnsi="Times New Roman" w:cs="Times New Roman"/>
        </w:rPr>
        <w:fldChar w:fldCharType="begin"/>
      </w:r>
      <w:r w:rsidRPr="00723DA9">
        <w:rPr>
          <w:rFonts w:ascii="Times New Roman" w:hAnsi="Times New Roman" w:cs="Times New Roman"/>
        </w:rPr>
        <w:fldChar w:fldCharType="end"/>
      </w:r>
      <w:r w:rsidRPr="00723DA9">
        <w:rPr>
          <w:rFonts w:ascii="Times New Roman" w:hAnsi="Times New Roman" w:cs="Times New Roman"/>
        </w:rPr>
        <w:fldChar w:fldCharType="begin"/>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the length of the DA </w:t>
      </w:r>
      <w:r w:rsidRPr="00723DA9">
        <w:rPr>
          <w:rFonts w:ascii="Times New Roman" w:hAnsi="Times New Roman" w:cs="Times New Roman"/>
        </w:rPr>
        <w:fldChar w:fldCharType="begin"/>
      </w:r>
      <w:r w:rsidRPr="00723DA9">
        <w:rPr>
          <w:rFonts w:ascii="Times New Roman" w:hAnsi="Times New Roman" w:cs="Times New Roman"/>
        </w:rPr>
        <w:fldChar w:fldCharType="end"/>
      </w:r>
      <w:r w:rsidRPr="00723DA9">
        <w:rPr>
          <w:rFonts w:ascii="Times New Roman" w:hAnsi="Times New Roman" w:cs="Times New Roman"/>
        </w:rPr>
        <w:fldChar w:fldCharType="begin"/>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window, and </w:t>
      </w:r>
      <m:oMath>
        <m:sSub>
          <m:sSubPr>
            <m:ctrlPr>
              <w:rPr>
                <w:rFonts w:ascii="Cambria Math" w:eastAsia="Calibri" w:hAnsi="Cambria Math" w:cs="Times New Roman"/>
                <w:i/>
                <w:lang w:eastAsia="en-US"/>
              </w:rPr>
            </m:ctrlPr>
          </m:sSubPr>
          <m:e>
            <m:r>
              <m:rPr>
                <m:sty m:val="bi"/>
              </m:rPr>
              <w:rPr>
                <w:rFonts w:ascii="Cambria Math" w:eastAsia="Calibri" w:hAnsi="Cambria Math" w:cs="Times New Roman"/>
                <w:lang w:eastAsia="en-US"/>
              </w:rPr>
              <m:t>R</m:t>
            </m:r>
          </m:e>
          <m:sub>
            <m:r>
              <w:rPr>
                <w:rFonts w:ascii="Cambria Math" w:eastAsia="Calibri" w:hAnsi="Cambria Math" w:cs="Times New Roman"/>
                <w:lang w:eastAsia="en-US"/>
              </w:rPr>
              <m:t>t</m:t>
            </m:r>
          </m:sub>
        </m:sSub>
      </m:oMath>
      <w:r w:rsidRPr="00723DA9">
        <w:rPr>
          <w:rFonts w:ascii="Times New Roman" w:eastAsia="宋体" w:hAnsi="Times New Roman" w:cs="Times New Roman"/>
          <w:sz w:val="24"/>
          <w:szCs w:val="24"/>
        </w:rPr>
        <w:t xml:space="preserve">, </w:t>
      </w:r>
      <m:oMath>
        <m:sSup>
          <m:sSupPr>
            <m:ctrlPr>
              <w:rPr>
                <w:rFonts w:ascii="Cambria Math" w:eastAsia="Calibri" w:hAnsi="Cambria Math" w:cs="Times New Roman"/>
                <w:i/>
                <w:lang w:eastAsia="en-US"/>
              </w:rPr>
            </m:ctrlPr>
          </m:sSupPr>
          <m:e>
            <m:sSubSup>
              <m:sSubSupPr>
                <m:ctrlPr>
                  <w:rPr>
                    <w:rFonts w:ascii="Cambria Math" w:eastAsia="Calibri" w:hAnsi="Cambria Math" w:cs="Times New Roman"/>
                    <w:i/>
                    <w:lang w:eastAsia="en-US"/>
                  </w:rPr>
                </m:ctrlPr>
              </m:sSubSupPr>
              <m:e>
                <m:r>
                  <m:rPr>
                    <m:sty m:val="bi"/>
                  </m:rPr>
                  <w:rPr>
                    <w:rFonts w:ascii="Cambria Math" w:eastAsia="Calibri" w:hAnsi="Cambria Math" w:cs="Times New Roman"/>
                    <w:lang w:eastAsia="en-US"/>
                  </w:rPr>
                  <m:t>y</m:t>
                </m:r>
              </m:e>
              <m:sub>
                <m:r>
                  <w:rPr>
                    <w:rFonts w:ascii="Cambria Math" w:eastAsia="Calibri" w:hAnsi="Cambria Math" w:cs="Times New Roman"/>
                    <w:lang w:eastAsia="en-US"/>
                  </w:rPr>
                  <m:t>t</m:t>
                </m:r>
              </m:sub>
              <m:sup>
                <m:r>
                  <w:rPr>
                    <w:rFonts w:ascii="Cambria Math" w:eastAsia="Calibri" w:hAnsi="Cambria Math" w:cs="Times New Roman"/>
                    <w:lang w:eastAsia="en-US"/>
                  </w:rPr>
                  <m:t>o</m:t>
                </m:r>
              </m:sup>
            </m:sSubSup>
          </m:e>
          <m:sup>
            <m:r>
              <w:rPr>
                <w:rFonts w:ascii="Cambria Math" w:eastAsia="Calibri" w:hAnsi="Cambria Math" w:cs="Times New Roman"/>
                <w:lang w:eastAsia="en-US"/>
              </w:rPr>
              <m:t>'</m:t>
            </m:r>
          </m:sup>
        </m:sSup>
      </m:oMath>
      <w:r w:rsidRPr="00723DA9">
        <w:rPr>
          <w:rFonts w:ascii="Times New Roman" w:hAnsi="Times New Roman" w:cs="Times New Roman"/>
          <w:sz w:val="24"/>
          <w:szCs w:val="24"/>
        </w:rPr>
        <w:t xml:space="preserve"> </w:t>
      </w:r>
      <w:r w:rsidRPr="00723DA9">
        <w:rPr>
          <w:rFonts w:ascii="Times New Roman" w:eastAsia="宋体" w:hAnsi="Times New Roman" w:cs="Times New Roman"/>
          <w:sz w:val="24"/>
          <w:szCs w:val="24"/>
        </w:rPr>
        <w:t xml:space="preserve">and </w:t>
      </w:r>
      <m:oMath>
        <m:sSub>
          <m:sSubPr>
            <m:ctrlPr>
              <w:rPr>
                <w:rFonts w:ascii="Cambria Math" w:eastAsia="Calibri" w:hAnsi="Cambria Math" w:cs="Times New Roman"/>
                <w:b/>
                <w:sz w:val="24"/>
                <w:szCs w:val="24"/>
                <w:lang w:eastAsia="en-US"/>
              </w:rPr>
            </m:ctrlPr>
          </m:sSubPr>
          <m:e>
            <m:r>
              <m:rPr>
                <m:sty m:val="b"/>
              </m:rPr>
              <w:rPr>
                <w:rFonts w:ascii="Cambria Math" w:hAnsi="Cambria Math" w:cs="Times New Roman"/>
                <w:sz w:val="24"/>
                <w:szCs w:val="24"/>
              </w:rPr>
              <m:t>H</m:t>
            </m:r>
          </m:e>
          <m:sub>
            <m:r>
              <m:rPr>
                <m:sty m:val="bi"/>
              </m:rPr>
              <w:rPr>
                <w:rFonts w:ascii="Cambria Math" w:hAnsi="Cambria Math" w:cs="Times New Roman"/>
                <w:sz w:val="24"/>
                <w:szCs w:val="24"/>
              </w:rPr>
              <m:t>t</m:t>
            </m:r>
          </m:sub>
        </m:sSub>
      </m:oMath>
      <w:r w:rsidRPr="00723DA9">
        <w:rPr>
          <w:rFonts w:ascii="Times New Roman" w:eastAsia="宋体" w:hAnsi="Times New Roman" w:cs="Times New Roman"/>
          <w:sz w:val="24"/>
          <w:szCs w:val="24"/>
        </w:rPr>
        <w:t xml:space="preserve"> refer to the observation error covariance, innovation vector and linearized observation operator valid at time period </w:t>
      </w:r>
      <w:r w:rsidRPr="00723DA9">
        <w:rPr>
          <w:rFonts w:ascii="Times New Roman" w:eastAsia="宋体" w:hAnsi="Times New Roman" w:cs="Times New Roman"/>
          <w:i/>
          <w:sz w:val="24"/>
          <w:szCs w:val="24"/>
        </w:rPr>
        <w:t>t</w:t>
      </w:r>
      <w:r w:rsidRPr="00723DA9">
        <w:rPr>
          <w:rFonts w:ascii="Times New Roman" w:eastAsia="宋体" w:hAnsi="Times New Roman" w:cs="Times New Roman"/>
          <w:sz w:val="24"/>
          <w:szCs w:val="24"/>
        </w:rPr>
        <w:t xml:space="preserve">, respectively. </w:t>
      </w:r>
      <w:r w:rsidR="00B62D41" w:rsidRPr="00723DA9">
        <w:rPr>
          <w:rFonts w:ascii="Times New Roman" w:eastAsia="宋体" w:hAnsi="Times New Roman" w:cs="Times New Roman"/>
          <w:sz w:val="24"/>
          <w:szCs w:val="24"/>
        </w:rPr>
        <w:t xml:space="preserve"> </w:t>
      </w: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β</m:t>
            </m:r>
          </m:e>
          <m:sub>
            <m:r>
              <w:rPr>
                <w:rFonts w:ascii="Cambria Math" w:eastAsia="Calibri" w:hAnsi="Cambria Math" w:cs="Times New Roman"/>
                <w:sz w:val="24"/>
                <w:szCs w:val="24"/>
                <w:lang w:eastAsia="en-US"/>
              </w:rPr>
              <m:t>1</m:t>
            </m:r>
          </m:sub>
        </m:sSub>
      </m:oMath>
      <w:r w:rsidRPr="00723DA9">
        <w:rPr>
          <w:rFonts w:ascii="Times New Roman" w:hAnsi="Times New Roman" w:cs="Times New Roman"/>
          <w:sz w:val="24"/>
          <w:szCs w:val="24"/>
        </w:rPr>
        <w:t xml:space="preserve"> and </w:t>
      </w: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β</m:t>
            </m:r>
          </m:e>
          <m:sub>
            <m:r>
              <w:rPr>
                <w:rFonts w:ascii="Cambria Math" w:eastAsia="Calibri" w:hAnsi="Cambria Math" w:cs="Times New Roman"/>
                <w:sz w:val="24"/>
                <w:szCs w:val="24"/>
                <w:lang w:eastAsia="en-US"/>
              </w:rPr>
              <m:t>2</m:t>
            </m:r>
          </m:sub>
        </m:sSub>
      </m:oMath>
      <w:r w:rsidRPr="00723DA9">
        <w:rPr>
          <w:rFonts w:ascii="Times New Roman" w:hAnsi="Times New Roman" w:cs="Times New Roman"/>
          <w:sz w:val="24"/>
          <w:szCs w:val="24"/>
        </w:rPr>
        <w:t xml:space="preserve"> are the weights assigned for the static and ensemble covariance, respectively, where </w:t>
      </w:r>
      <m:oMath>
        <m:f>
          <m:fPr>
            <m:ctrlPr>
              <w:rPr>
                <w:rFonts w:ascii="Cambria Math" w:eastAsia="Calibri" w:hAnsi="Cambria Math" w:cs="Times New Roman"/>
                <w:i/>
                <w:sz w:val="24"/>
                <w:szCs w:val="24"/>
                <w:lang w:eastAsia="en-US"/>
              </w:rPr>
            </m:ctrlPr>
          </m:fPr>
          <m:num>
            <m:r>
              <w:rPr>
                <w:rFonts w:ascii="Cambria Math" w:eastAsia="Calibri" w:hAnsi="Cambria Math" w:cs="Times New Roman"/>
                <w:sz w:val="24"/>
                <w:szCs w:val="24"/>
                <w:lang w:eastAsia="en-US"/>
              </w:rPr>
              <m:t>1</m:t>
            </m:r>
          </m:num>
          <m:den>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β</m:t>
                </m:r>
              </m:e>
              <m:sub>
                <m:r>
                  <w:rPr>
                    <w:rFonts w:ascii="Cambria Math" w:eastAsia="Calibri" w:hAnsi="Cambria Math" w:cs="Times New Roman"/>
                    <w:sz w:val="24"/>
                    <w:szCs w:val="24"/>
                    <w:lang w:eastAsia="en-US"/>
                  </w:rPr>
                  <m:t>1</m:t>
                </m:r>
              </m:sub>
            </m:sSub>
          </m:den>
        </m:f>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r>
              <w:rPr>
                <w:rFonts w:ascii="Cambria Math" w:eastAsia="Calibri" w:hAnsi="Cambria Math" w:cs="Times New Roman"/>
                <w:sz w:val="24"/>
                <w:szCs w:val="24"/>
                <w:lang w:eastAsia="en-US"/>
              </w:rPr>
              <m:t>1</m:t>
            </m:r>
          </m:num>
          <m:den>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β</m:t>
                </m:r>
              </m:e>
              <m:sub>
                <m:r>
                  <w:rPr>
                    <w:rFonts w:ascii="Cambria Math" w:eastAsia="Calibri" w:hAnsi="Cambria Math" w:cs="Times New Roman"/>
                    <w:sz w:val="24"/>
                    <w:szCs w:val="24"/>
                    <w:lang w:eastAsia="en-US"/>
                  </w:rPr>
                  <m:t>2</m:t>
                </m:r>
              </m:sub>
            </m:sSub>
          </m:den>
        </m:f>
        <m:r>
          <w:rPr>
            <w:rFonts w:ascii="Cambria Math" w:eastAsia="Calibri" w:hAnsi="Cambria Math" w:cs="Times New Roman"/>
            <w:sz w:val="24"/>
            <w:szCs w:val="24"/>
            <w:lang w:eastAsia="en-US"/>
          </w:rPr>
          <m:t>=1</m:t>
        </m:r>
      </m:oMath>
      <w:r w:rsidRPr="00723DA9">
        <w:rPr>
          <w:rFonts w:ascii="Times New Roman" w:hAnsi="Times New Roman" w:cs="Times New Roman"/>
          <w:sz w:val="24"/>
          <w:szCs w:val="24"/>
        </w:rPr>
        <w:t xml:space="preserve"> (Wang et al. 2008ab).</w:t>
      </w:r>
    </w:p>
    <w:p w14:paraId="6CA556C1" w14:textId="309E781D" w:rsidR="00EB4A18" w:rsidRPr="00723DA9" w:rsidRDefault="00EB4A18" w:rsidP="00771F99">
      <w:pPr>
        <w:spacing w:after="0" w:line="480" w:lineRule="auto"/>
        <w:ind w:firstLine="357"/>
        <w:rPr>
          <w:rFonts w:ascii="Times New Roman" w:hAnsi="Times New Roman" w:cs="Times New Roman"/>
          <w:sz w:val="24"/>
          <w:szCs w:val="24"/>
        </w:rPr>
      </w:pPr>
      <w:r w:rsidRPr="00723DA9">
        <w:rPr>
          <w:rFonts w:ascii="Times New Roman" w:hAnsi="Times New Roman" w:cs="Times New Roman"/>
          <w:sz w:val="24"/>
          <w:szCs w:val="24"/>
        </w:rPr>
        <w:t xml:space="preserve">The major difference between dual-resolution and single-resolution hybrid 4DEnVar is the incorporation of the operator </w:t>
      </w:r>
      <w:r w:rsidRPr="00723DA9">
        <w:rPr>
          <w:rFonts w:ascii="Times New Roman" w:hAnsi="Times New Roman" w:cs="Times New Roman"/>
          <w:b/>
          <w:sz w:val="24"/>
          <w:szCs w:val="24"/>
        </w:rPr>
        <w:t>D</w:t>
      </w:r>
      <w:r w:rsidRPr="00723DA9">
        <w:rPr>
          <w:rFonts w:ascii="Times New Roman" w:hAnsi="Times New Roman" w:cs="Times New Roman"/>
          <w:bCs/>
          <w:sz w:val="24"/>
          <w:szCs w:val="24"/>
        </w:rPr>
        <w:t>,</w:t>
      </w:r>
      <w:r w:rsidRPr="00723DA9">
        <w:rPr>
          <w:rFonts w:ascii="Times New Roman" w:hAnsi="Times New Roman" w:cs="Times New Roman"/>
          <w:sz w:val="24"/>
          <w:szCs w:val="24"/>
        </w:rPr>
        <w:t xml:space="preserve"> which allows the coarser resolution ensemble to be projected to the finer control background.  In other words, dual-resolution 4DEnVar formula returns to the single-resolution formula when the operator </w:t>
      </w:r>
      <w:r w:rsidRPr="00723DA9">
        <w:rPr>
          <w:rFonts w:ascii="Times New Roman" w:hAnsi="Times New Roman" w:cs="Times New Roman"/>
          <w:b/>
          <w:sz w:val="24"/>
          <w:szCs w:val="24"/>
        </w:rPr>
        <w:t>D</w:t>
      </w:r>
      <w:r w:rsidRPr="00723DA9">
        <w:rPr>
          <w:rFonts w:ascii="Times New Roman" w:hAnsi="Times New Roman" w:cs="Times New Roman"/>
          <w:sz w:val="24"/>
          <w:szCs w:val="24"/>
        </w:rPr>
        <w:t xml:space="preserve"> is an identity matrix.</w:t>
      </w:r>
      <w:r w:rsidR="00B62D41" w:rsidRPr="00723DA9">
        <w:rPr>
          <w:rFonts w:ascii="Times New Roman" w:hAnsi="Times New Roman" w:cs="Times New Roman"/>
          <w:sz w:val="24"/>
          <w:szCs w:val="24"/>
        </w:rPr>
        <w:t xml:space="preserve"> </w:t>
      </w:r>
      <w:r w:rsidRPr="00723DA9">
        <w:rPr>
          <w:rFonts w:ascii="Times New Roman" w:eastAsia="宋体" w:hAnsi="Times New Roman" w:cs="Times New Roman"/>
          <w:sz w:val="24"/>
          <w:szCs w:val="24"/>
        </w:rPr>
        <w:t xml:space="preserve"> Additionally, since the 4DEnVar is a temporal extension of 3DEnVar </w:t>
      </w:r>
      <w:r w:rsidR="00B62D41" w:rsidRPr="00723DA9">
        <w:rPr>
          <w:rFonts w:ascii="Times New Roman" w:hAnsi="Times New Roman" w:cs="Times New Roman"/>
          <w:sz w:val="24"/>
          <w:szCs w:val="24"/>
        </w:rPr>
        <w:fldChar w:fldCharType="begin" w:fldLock="1"/>
      </w:r>
      <w:r w:rsidR="0036222B" w:rsidRPr="00723DA9">
        <w:rPr>
          <w:rFonts w:ascii="Times New Roman" w:hAnsi="Times New Roman" w:cs="Times New Roman"/>
          <w:sz w:val="24"/>
          <w:szCs w:val="24"/>
        </w:rPr>
        <w:instrText>ADDIN CSL_CITATION {"citationItems":[{"id":"ITEM-1","itemData":{"DOI":"10.1175/MWR-D-13-00303.1","ISSN":"0027-0644","author":[{"dropping-particle":"","family":"Wang","given":"Xuguang","non-dropping-particle":"","parse-names":false,"suffix":""},{"dropping-particle":"","family":"Lei","given":"Ting","non-dropping-particle":"","parse-names":false,"suffix":""}],"container-title":"Monthly Weather Review","id":"ITEM-1","issue":"9","issued":{"date-parts":[["2014"]]},"page":"3303-3325","title":"GSI-Based Four-Dimensional Ensemble–Variational (4DEnsVar) Data Assimilation: Formulation and Single-Resolution Experiments with Real Data for NCEP Global Forecast System","type":"article-journal","volume":"142"},"uris":["http://www.mendeley.com/documents/?uuid=f295b23c-2791-41f1-8a74-218a53b815e3"]}],"mendeley":{"formattedCitation":"(Wang and Lei 2014)","plainTextFormattedCitation":"(Wang and Lei 2014)","previouslyFormattedCitation":"(Wang and Lei 2014)"},"properties":{"noteIndex":0},"schema":"https://github.com/citation-style-language/schema/raw/master/csl-citation.json"}</w:instrText>
      </w:r>
      <w:r w:rsidR="00B62D41" w:rsidRPr="00723DA9">
        <w:rPr>
          <w:rFonts w:ascii="Times New Roman" w:hAnsi="Times New Roman" w:cs="Times New Roman"/>
          <w:sz w:val="24"/>
          <w:szCs w:val="24"/>
        </w:rPr>
        <w:fldChar w:fldCharType="separate"/>
      </w:r>
      <w:r w:rsidR="00B62D41" w:rsidRPr="00723DA9">
        <w:rPr>
          <w:rFonts w:ascii="Times New Roman" w:hAnsi="Times New Roman" w:cs="Times New Roman"/>
          <w:noProof/>
          <w:sz w:val="24"/>
          <w:szCs w:val="24"/>
        </w:rPr>
        <w:t>(Wang and Lei 2014)</w:t>
      </w:r>
      <w:r w:rsidR="00B62D41" w:rsidRPr="00723DA9">
        <w:rPr>
          <w:rFonts w:ascii="Times New Roman" w:hAnsi="Times New Roman" w:cs="Times New Roman"/>
          <w:sz w:val="24"/>
          <w:szCs w:val="24"/>
        </w:rPr>
        <w:fldChar w:fldCharType="end"/>
      </w:r>
      <w:r w:rsidRPr="00723DA9">
        <w:rPr>
          <w:rFonts w:ascii="Times New Roman" w:eastAsia="宋体" w:hAnsi="Times New Roman" w:cs="Times New Roman"/>
          <w:sz w:val="24"/>
          <w:szCs w:val="24"/>
        </w:rPr>
        <w:t xml:space="preserve">, equations </w:t>
      </w:r>
      <w:r w:rsidRPr="00723DA9">
        <w:rPr>
          <w:rFonts w:ascii="Times New Roman" w:hAnsi="Times New Roman" w:cs="Times New Roman"/>
          <w:sz w:val="24"/>
          <w:szCs w:val="24"/>
        </w:rPr>
        <w:t>(</w:t>
      </w:r>
      <w:r w:rsidR="001B41DC">
        <w:rPr>
          <w:rFonts w:ascii="Times New Roman" w:hAnsi="Times New Roman" w:cs="Times New Roman"/>
          <w:sz w:val="24"/>
          <w:szCs w:val="24"/>
        </w:rPr>
        <w:t>2.</w:t>
      </w:r>
      <w:r w:rsidRPr="00723DA9">
        <w:rPr>
          <w:rFonts w:ascii="Times New Roman" w:hAnsi="Times New Roman" w:cs="Times New Roman"/>
          <w:sz w:val="24"/>
          <w:szCs w:val="24"/>
        </w:rPr>
        <w:t>1) and (</w:t>
      </w:r>
      <w:r w:rsidR="001B41DC">
        <w:rPr>
          <w:rFonts w:ascii="Times New Roman" w:hAnsi="Times New Roman" w:cs="Times New Roman"/>
          <w:sz w:val="24"/>
          <w:szCs w:val="24"/>
        </w:rPr>
        <w:t>2.</w:t>
      </w:r>
      <w:r w:rsidRPr="00723DA9">
        <w:rPr>
          <w:rFonts w:ascii="Times New Roman" w:hAnsi="Times New Roman" w:cs="Times New Roman"/>
          <w:sz w:val="24"/>
          <w:szCs w:val="24"/>
        </w:rPr>
        <w:t xml:space="preserve">2) become dual-resolution 3DEnVar if a single time </w:t>
      </w:r>
      <w:r w:rsidRPr="00723DA9">
        <w:rPr>
          <w:rFonts w:ascii="Times New Roman" w:hAnsi="Times New Roman" w:cs="Times New Roman"/>
          <w:i/>
          <w:sz w:val="24"/>
          <w:szCs w:val="24"/>
        </w:rPr>
        <w:t>t</w:t>
      </w:r>
      <w:r w:rsidRPr="00723DA9">
        <w:rPr>
          <w:rFonts w:ascii="Times New Roman" w:hAnsi="Times New Roman" w:cs="Times New Roman"/>
          <w:sz w:val="24"/>
          <w:szCs w:val="24"/>
        </w:rPr>
        <w:t xml:space="preserve"> is considered in the DA window.</w:t>
      </w:r>
    </w:p>
    <w:p w14:paraId="1DFE0E85" w14:textId="77777777" w:rsidR="00EB4A18" w:rsidRPr="00723DA9" w:rsidRDefault="00EB4A18" w:rsidP="006562DB">
      <w:pPr>
        <w:pStyle w:val="Heading2"/>
        <w:numPr>
          <w:ilvl w:val="1"/>
          <w:numId w:val="16"/>
        </w:numPr>
        <w:spacing w:line="480" w:lineRule="auto"/>
        <w:ind w:left="0" w:firstLine="0"/>
        <w:rPr>
          <w:rFonts w:ascii="Times New Roman" w:hAnsi="Times New Roman" w:cs="Times New Roman"/>
          <w:b/>
          <w:color w:val="auto"/>
          <w:sz w:val="24"/>
          <w:szCs w:val="24"/>
        </w:rPr>
      </w:pPr>
      <w:bookmarkStart w:id="13" w:name="_Toc21623976"/>
      <w:proofErr w:type="spellStart"/>
      <w:r w:rsidRPr="00723DA9">
        <w:rPr>
          <w:rFonts w:ascii="Times New Roman" w:hAnsi="Times New Roman" w:cs="Times New Roman"/>
          <w:b/>
          <w:color w:val="auto"/>
          <w:sz w:val="24"/>
          <w:szCs w:val="24"/>
        </w:rPr>
        <w:t>EnKF</w:t>
      </w:r>
      <w:bookmarkEnd w:id="13"/>
      <w:proofErr w:type="spellEnd"/>
    </w:p>
    <w:p w14:paraId="367FC714" w14:textId="292696C0" w:rsidR="00EB4A18" w:rsidRPr="00723DA9" w:rsidRDefault="00EB4A18" w:rsidP="00771F99">
      <w:pPr>
        <w:spacing w:after="0" w:line="480" w:lineRule="auto"/>
        <w:ind w:firstLine="357"/>
        <w:rPr>
          <w:rFonts w:ascii="Times New Roman" w:hAnsi="Times New Roman" w:cs="Times New Roman"/>
          <w:sz w:val="24"/>
          <w:szCs w:val="24"/>
        </w:rPr>
      </w:pPr>
      <w:r w:rsidRPr="00723DA9">
        <w:rPr>
          <w:rFonts w:ascii="Times New Roman" w:eastAsia="宋体" w:hAnsi="Times New Roman" w:cs="Times New Roman"/>
          <w:sz w:val="24"/>
          <w:szCs w:val="24"/>
        </w:rPr>
        <w:t>As mentioned in</w:t>
      </w:r>
      <w:r w:rsidR="0036222B" w:rsidRPr="00723DA9">
        <w:rPr>
          <w:rFonts w:ascii="Times New Roman" w:eastAsia="宋体" w:hAnsi="Times New Roman" w:cs="Times New Roman"/>
          <w:sz w:val="24"/>
          <w:szCs w:val="24"/>
        </w:rPr>
        <w:t xml:space="preserve"> the previous</w:t>
      </w:r>
      <w:r w:rsidRPr="00723DA9">
        <w:rPr>
          <w:rFonts w:ascii="Times New Roman" w:eastAsia="宋体" w:hAnsi="Times New Roman" w:cs="Times New Roman"/>
          <w:sz w:val="24"/>
          <w:szCs w:val="24"/>
        </w:rPr>
        <w:t xml:space="preserve">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2</w:t>
      </w:r>
      <w:r w:rsidR="0036222B" w:rsidRPr="00723DA9">
        <w:rPr>
          <w:rFonts w:ascii="Times New Roman" w:eastAsia="宋体" w:hAnsi="Times New Roman" w:cs="Times New Roman"/>
          <w:sz w:val="24"/>
          <w:szCs w:val="24"/>
        </w:rPr>
        <w:t>.2</w:t>
      </w:r>
      <w:r w:rsidRPr="00723DA9">
        <w:rPr>
          <w:rFonts w:ascii="Times New Roman" w:eastAsia="宋体" w:hAnsi="Times New Roman" w:cs="Times New Roman"/>
          <w:sz w:val="24"/>
          <w:szCs w:val="24"/>
        </w:rPr>
        <w:t>, the</w:t>
      </w:r>
      <w:r w:rsidRPr="00723DA9">
        <w:rPr>
          <w:rFonts w:ascii="Times New Roman" w:hAnsi="Times New Roman" w:cs="Times New Roman"/>
          <w:sz w:val="24"/>
          <w:szCs w:val="24"/>
        </w:rPr>
        <w:t xml:space="preserve"> </w:t>
      </w:r>
      <w:r w:rsidRPr="00723DA9">
        <w:rPr>
          <w:rFonts w:ascii="Times New Roman" w:eastAsia="宋体" w:hAnsi="Times New Roman" w:cs="Times New Roman"/>
          <w:sz w:val="24"/>
          <w:szCs w:val="24"/>
        </w:rPr>
        <w:t xml:space="preserve">GSI-based hybrid </w:t>
      </w:r>
      <w:proofErr w:type="spellStart"/>
      <w:r w:rsidRPr="00723DA9">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DA system for HWRF</w:t>
      </w:r>
      <w:r w:rsidRPr="00723DA9">
        <w:rPr>
          <w:rFonts w:ascii="Times New Roman" w:hAnsi="Times New Roman" w:cs="Times New Roman"/>
          <w:sz w:val="24"/>
          <w:szCs w:val="24"/>
        </w:rPr>
        <w:t xml:space="preserve"> includes the HWRF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component to provide ensemble background covariance during the continuous DA cycling.</w:t>
      </w:r>
      <w:r w:rsidR="00AF16B4">
        <w:rPr>
          <w:rFonts w:ascii="Times New Roman" w:hAnsi="Times New Roman" w:cs="Times New Roman"/>
          <w:sz w:val="24"/>
          <w:szCs w:val="24"/>
        </w:rPr>
        <w:t xml:space="preserve"> </w:t>
      </w:r>
      <w:r w:rsidRPr="00723DA9">
        <w:rPr>
          <w:rFonts w:ascii="Times New Roman" w:hAnsi="Times New Roman" w:cs="Times New Roman"/>
          <w:sz w:val="24"/>
          <w:szCs w:val="24"/>
        </w:rPr>
        <w:t xml:space="preserve"> Following Lu et al. (2017</w:t>
      </w:r>
      <w:r w:rsidR="002E0A45" w:rsidRPr="00723DA9">
        <w:rPr>
          <w:rFonts w:ascii="Times New Roman" w:hAnsi="Times New Roman" w:cs="Times New Roman"/>
          <w:sz w:val="24"/>
          <w:szCs w:val="24"/>
        </w:rPr>
        <w:t>a</w:t>
      </w:r>
      <w:r w:rsidRPr="00723DA9">
        <w:rPr>
          <w:rFonts w:ascii="Times New Roman" w:hAnsi="Times New Roman" w:cs="Times New Roman"/>
          <w:sz w:val="24"/>
          <w:szCs w:val="24"/>
        </w:rPr>
        <w:t xml:space="preserve">), the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component adopts the ensemble square root filter (EnSRF; </w:t>
      </w:r>
      <w:r w:rsidR="0036222B" w:rsidRPr="00723DA9">
        <w:rPr>
          <w:rFonts w:ascii="Times New Roman" w:hAnsi="Times New Roman" w:cs="Times New Roman"/>
          <w:sz w:val="24"/>
          <w:szCs w:val="24"/>
        </w:rPr>
        <w:fldChar w:fldCharType="begin" w:fldLock="1"/>
      </w:r>
      <w:r w:rsidR="00C7540B" w:rsidRPr="00723DA9">
        <w:rPr>
          <w:rFonts w:ascii="Times New Roman" w:hAnsi="Times New Roman" w:cs="Times New Roman"/>
          <w:sz w:val="24"/>
          <w:szCs w:val="24"/>
        </w:rPr>
        <w:instrText>ADDIN CSL_CITATION {"citationItems":[{"id":"ITEM-1","itemData":{"abstract":"The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may be negatively biased, even if the ensemble background-error covariance estimates are unbiased. This problem must be dealt with in any Kalman filter-based ensemble data assimilation scheme. A second consequence of sampling error is particular to schemes like the EnKF that use perturbed observations. While this procedure gives asymptotically correct analysis-error covariance estimates for large ensembles, the addition of perturbed observations adds an additional source of sampling error related to the estimation of the observation-error covariances. In addition to reducing the accuracy of the analysis-error covariance estimate, this extra source of sampling error increases the probability that the analysis-error covariance will be underestimated. Because of this, ensemble data assimilation methods that use perturbed observations are expected to be less accurate than those which do not. Several ensemble filter formulations have recently been proposed that do not require perturbed observations. This study examines a particularly simple implementation called the ensemble square root filter, or EnSRF. The EnSRF uses the traditional Kalman gain for updating the ensemble mean but uses a ''reduced'' Kalman gain to update deviations from the ensemble mean. There is no additional computational cost incurred by the EnSRF relative to the EnKF when the observations have independent errors and are processed one at a time. Using a hierarchy of perfect model assimilation exp…","author":[{"dropping-particle":"","family":"Whitaker","given":"Jeffrey S","non-dropping-particle":"","parse-names":false,"suffix":""},{"dropping-particle":"","family":"Hamill","given":"Thomas M","non-dropping-particle":"","parse-names":false,"suffix":""}],"id":"ITEM-1","issued":{"date-parts":[["2002"]]},"title":"Ensemble Data Assimilation without Perturbed Observations","type":"report"},"uris":["http://www.mendeley.com/documents/?uuid=44af1cb7-7a09-3ce7-9c46-0b049d0fc93d"]}],"mendeley":{"formattedCitation":"(Whitaker and Hamill 2002)","manualFormatting":"Whitaker and Hamill 2002)","plainTextFormattedCitation":"(Whitaker and Hamill 2002)","previouslyFormattedCitation":"(Whitaker and Hamill 2002)"},"properties":{"noteIndex":0},"schema":"https://github.com/citation-style-language/schema/raw/master/csl-citation.json"}</w:instrText>
      </w:r>
      <w:r w:rsidR="0036222B" w:rsidRPr="00723DA9">
        <w:rPr>
          <w:rFonts w:ascii="Times New Roman" w:hAnsi="Times New Roman" w:cs="Times New Roman"/>
          <w:sz w:val="24"/>
          <w:szCs w:val="24"/>
        </w:rPr>
        <w:fldChar w:fldCharType="separate"/>
      </w:r>
      <w:r w:rsidR="0036222B" w:rsidRPr="00723DA9">
        <w:rPr>
          <w:rFonts w:ascii="Times New Roman" w:hAnsi="Times New Roman" w:cs="Times New Roman"/>
          <w:noProof/>
          <w:sz w:val="24"/>
          <w:szCs w:val="24"/>
        </w:rPr>
        <w:t>Whitaker and Hamill 2002)</w:t>
      </w:r>
      <w:r w:rsidR="0036222B" w:rsidRPr="00723DA9">
        <w:rPr>
          <w:rFonts w:ascii="Times New Roman" w:hAnsi="Times New Roman" w:cs="Times New Roman"/>
          <w:sz w:val="24"/>
          <w:szCs w:val="24"/>
        </w:rPr>
        <w:fldChar w:fldCharType="end"/>
      </w:r>
      <w:r w:rsidRPr="00723DA9">
        <w:rPr>
          <w:rFonts w:ascii="Times New Roman" w:hAnsi="Times New Roman" w:cs="Times New Roman"/>
          <w:sz w:val="24"/>
          <w:szCs w:val="24"/>
        </w:rPr>
        <w:t>.  As described in Lu et al. (2017</w:t>
      </w:r>
      <w:r w:rsidR="002E0A45" w:rsidRPr="00723DA9">
        <w:rPr>
          <w:rFonts w:ascii="Times New Roman" w:hAnsi="Times New Roman" w:cs="Times New Roman"/>
          <w:sz w:val="24"/>
          <w:szCs w:val="24"/>
        </w:rPr>
        <w:t>a</w:t>
      </w:r>
      <w:r w:rsidRPr="00723DA9">
        <w:rPr>
          <w:rFonts w:ascii="Times New Roman" w:hAnsi="Times New Roman" w:cs="Times New Roman"/>
          <w:sz w:val="24"/>
          <w:szCs w:val="24"/>
        </w:rPr>
        <w:t xml:space="preserve">), this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code has been interfaced with HWRF and uses the observation pre-processing, quality control and forward operators provided by GSI.</w:t>
      </w:r>
      <w:r w:rsidR="00C7540B"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The cutoff radius for the </w:t>
      </w:r>
      <w:r w:rsidRPr="00723DA9">
        <w:rPr>
          <w:rFonts w:ascii="Times New Roman" w:hAnsi="Times New Roman" w:cs="Times New Roman"/>
          <w:sz w:val="24"/>
          <w:szCs w:val="24"/>
        </w:rPr>
        <w:lastRenderedPageBreak/>
        <w:t xml:space="preserve">covariance localization adopted by the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is similar to that used by the </w:t>
      </w:r>
      <w:proofErr w:type="spellStart"/>
      <w:r w:rsidRPr="00723DA9">
        <w:rPr>
          <w:rFonts w:ascii="Times New Roman" w:hAnsi="Times New Roman" w:cs="Times New Roman"/>
          <w:sz w:val="24"/>
          <w:szCs w:val="24"/>
        </w:rPr>
        <w:t>EnVar</w:t>
      </w:r>
      <w:proofErr w:type="spellEnd"/>
      <w:r w:rsidRPr="00723DA9">
        <w:rPr>
          <w:rFonts w:ascii="Times New Roman" w:hAnsi="Times New Roman" w:cs="Times New Roman"/>
          <w:sz w:val="24"/>
          <w:szCs w:val="24"/>
        </w:rPr>
        <w:t xml:space="preserve"> component. </w:t>
      </w:r>
      <w:r w:rsidR="00C7540B" w:rsidRPr="00723DA9">
        <w:rPr>
          <w:rFonts w:ascii="Times New Roman" w:hAnsi="Times New Roman" w:cs="Times New Roman"/>
          <w:sz w:val="24"/>
          <w:szCs w:val="24"/>
        </w:rPr>
        <w:t xml:space="preserve"> </w:t>
      </w:r>
      <w:r w:rsidRPr="00723DA9">
        <w:rPr>
          <w:rFonts w:ascii="Times New Roman" w:hAnsi="Times New Roman" w:cs="Times New Roman"/>
          <w:sz w:val="24"/>
          <w:szCs w:val="24"/>
        </w:rPr>
        <w:t>Additionally, the Relaxation To Prior Spread</w:t>
      </w:r>
      <w:r w:rsidR="00AF73C4" w:rsidRPr="00723DA9">
        <w:rPr>
          <w:rFonts w:ascii="Times New Roman" w:hAnsi="Times New Roman" w:cs="Times New Roman"/>
          <w:sz w:val="24"/>
          <w:szCs w:val="24"/>
        </w:rPr>
        <w:t xml:space="preserve"> (RTPS</w:t>
      </w:r>
      <w:r w:rsidRPr="00723DA9">
        <w:rPr>
          <w:rFonts w:ascii="Times New Roman" w:hAnsi="Times New Roman" w:cs="Times New Roman"/>
          <w:sz w:val="24"/>
          <w:szCs w:val="24"/>
        </w:rPr>
        <w:t xml:space="preserve">) multiplicative inflation algorithm developed by </w:t>
      </w:r>
      <w:r w:rsidR="00C7540B" w:rsidRPr="00723DA9">
        <w:rPr>
          <w:rFonts w:ascii="Times New Roman" w:hAnsi="Times New Roman" w:cs="Times New Roman"/>
          <w:sz w:val="24"/>
          <w:szCs w:val="24"/>
        </w:rPr>
        <w:fldChar w:fldCharType="begin" w:fldLock="1"/>
      </w:r>
      <w:r w:rsidR="00443593" w:rsidRPr="00723DA9">
        <w:rPr>
          <w:rFonts w:ascii="Times New Roman" w:hAnsi="Times New Roman" w:cs="Times New Roman"/>
          <w:sz w:val="24"/>
          <w:szCs w:val="24"/>
        </w:rPr>
        <w:instrText>ADDIN CSL_CITATION {"citationItems":[{"id":"ITEM-1","itemData":{"DOI":"10.1175/MWR-D-11-00276.1","ISBN":"0027-0644","ISSN":"0027-0644","abstract":"AbstractInflation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“relaxation to prior”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Combinin...","author":[{"dropping-particle":"","family":"Whitaker","given":"Jeffrey S.","non-dropping-particle":"","parse-names":false,"suffix":""},{"dropping-particle":"","family":"Hamill","given":"Thomas M.","non-dropping-particle":"","parse-names":false,"suffix":""}],"container-title":"Monthly Weather Review","id":"ITEM-1","issue":"9","issued":{"date-parts":[["2012"]]},"page":"3078-3089","title":"Evaluating Methods to Account for System Errors in Ensemble Data Assimilation","type":"article-journal","volume":"140"},"uris":["http://www.mendeley.com/documents/?uuid=937c2055-0c91-4578-92d4-ab313c371a83"]}],"mendeley":{"formattedCitation":"(Whitaker and Hamill 2012)","manualFormatting":"Whitaker and Hamill (2012)","plainTextFormattedCitation":"(Whitaker and Hamill 2012)","previouslyFormattedCitation":"(Whitaker and Hamill 2012)"},"properties":{"noteIndex":0},"schema":"https://github.com/citation-style-language/schema/raw/master/csl-citation.json"}</w:instrText>
      </w:r>
      <w:r w:rsidR="00C7540B" w:rsidRPr="00723DA9">
        <w:rPr>
          <w:rFonts w:ascii="Times New Roman" w:hAnsi="Times New Roman" w:cs="Times New Roman"/>
          <w:sz w:val="24"/>
          <w:szCs w:val="24"/>
        </w:rPr>
        <w:fldChar w:fldCharType="separate"/>
      </w:r>
      <w:r w:rsidR="00C7540B" w:rsidRPr="00723DA9">
        <w:rPr>
          <w:rFonts w:ascii="Times New Roman" w:hAnsi="Times New Roman" w:cs="Times New Roman"/>
          <w:noProof/>
          <w:sz w:val="24"/>
          <w:szCs w:val="24"/>
        </w:rPr>
        <w:t>Whitaker and Hamill (2012)</w:t>
      </w:r>
      <w:r w:rsidR="00C7540B"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is adopted.  </w:t>
      </w:r>
    </w:p>
    <w:p w14:paraId="5F051E09" w14:textId="77777777" w:rsidR="00EB4A18" w:rsidRPr="00723DA9" w:rsidRDefault="00EB4A18" w:rsidP="006562DB">
      <w:pPr>
        <w:pStyle w:val="Heading2"/>
        <w:numPr>
          <w:ilvl w:val="1"/>
          <w:numId w:val="16"/>
        </w:numPr>
        <w:spacing w:line="480" w:lineRule="auto"/>
        <w:ind w:left="0" w:firstLine="0"/>
        <w:rPr>
          <w:rFonts w:ascii="Times New Roman" w:hAnsi="Times New Roman" w:cs="Times New Roman"/>
          <w:b/>
          <w:color w:val="auto"/>
          <w:sz w:val="24"/>
          <w:szCs w:val="24"/>
        </w:rPr>
      </w:pPr>
      <w:bookmarkStart w:id="14" w:name="_Toc21623977"/>
      <w:r w:rsidRPr="00723DA9">
        <w:rPr>
          <w:rFonts w:ascii="Times New Roman" w:hAnsi="Times New Roman" w:cs="Times New Roman"/>
          <w:b/>
          <w:color w:val="auto"/>
          <w:sz w:val="24"/>
          <w:szCs w:val="24"/>
        </w:rPr>
        <w:t>Directed moving nest strategy</w:t>
      </w:r>
      <w:bookmarkEnd w:id="14"/>
    </w:p>
    <w:p w14:paraId="625E1BF4" w14:textId="66499966"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 stated in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w:t>
      </w:r>
      <w:r w:rsidR="009C789D" w:rsidRPr="00723DA9">
        <w:rPr>
          <w:rFonts w:ascii="Times New Roman" w:eastAsia="宋体" w:hAnsi="Times New Roman" w:cs="Times New Roman"/>
          <w:sz w:val="24"/>
          <w:szCs w:val="24"/>
        </w:rPr>
        <w:t>2.</w:t>
      </w:r>
      <w:r w:rsidRPr="00723DA9">
        <w:rPr>
          <w:rFonts w:ascii="Times New Roman" w:eastAsia="宋体" w:hAnsi="Times New Roman" w:cs="Times New Roman"/>
          <w:sz w:val="24"/>
          <w:szCs w:val="24"/>
        </w:rPr>
        <w:t xml:space="preserve">1, a directed moving nest strategy is developed and applied to produce the first guess forecasts during the DA cycling. </w:t>
      </w:r>
      <w:r w:rsidR="0030681D">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The primary objective of this development is to solve the issue associated with non-overlapped ensemble domains for storm-following moving nests without needing DA code changes.  In the traditional storm following moving nest, the center of the nest for each ensemble member will follow the center of its own simulated TC.  At the end of the first guess simulations, the ensemble nest locations diverge, which introduces complications for ensemble-based DA.   In the new moving nest strategy, rather than letting the center of the domain follow its own simulated storm, the center of the domains for both the ensemble and the control background are moved to the same prescribed locations during model integration by adding a piece of code to the HWRF model.  This moving nest strategy has flexibility to determine the prescribed locations as well as the flexibility to prescribe a specific time period to move during the first guess forecast.  For example, in order to implement FGAT or 4DEnVar from hours 3 to 9, the domains can move for the first 3 hours and stay in the same position during the remaining 6 hours of model integration.</w:t>
      </w:r>
      <w:r w:rsidR="009C789D"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This directed moving nest strategy is simple to implement without requiring changes in the DA code. </w:t>
      </w:r>
    </w:p>
    <w:p w14:paraId="4F6353EE" w14:textId="55DDBC5E" w:rsidR="00EB4A18" w:rsidRPr="00723DA9" w:rsidRDefault="00EB4A18" w:rsidP="00771F99">
      <w:pPr>
        <w:pStyle w:val="ListParagraph"/>
        <w:spacing w:line="480" w:lineRule="auto"/>
        <w:ind w:left="0" w:firstLine="357"/>
        <w:rPr>
          <w:rFonts w:ascii="Times New Roman" w:eastAsia="宋体" w:hAnsi="Times New Roman"/>
        </w:rPr>
      </w:pPr>
      <w:r w:rsidRPr="00723DA9">
        <w:rPr>
          <w:rFonts w:ascii="Times New Roman" w:eastAsia="宋体" w:hAnsi="Times New Roman"/>
        </w:rPr>
        <w:t xml:space="preserve">As described earlier, this newly developed directed moving nest strategy has the flexibility to choose the source of the prescribed locations. </w:t>
      </w:r>
      <w:r w:rsidR="009C789D" w:rsidRPr="00723DA9">
        <w:rPr>
          <w:rFonts w:ascii="Times New Roman" w:eastAsia="宋体" w:hAnsi="Times New Roman"/>
        </w:rPr>
        <w:t xml:space="preserve"> </w:t>
      </w:r>
      <w:r w:rsidRPr="00723DA9">
        <w:rPr>
          <w:rFonts w:ascii="Times New Roman" w:eastAsia="宋体" w:hAnsi="Times New Roman"/>
        </w:rPr>
        <w:t xml:space="preserve">The prescribed locations determine the movement of the directed domains. </w:t>
      </w:r>
      <w:r w:rsidR="009C789D" w:rsidRPr="00723DA9">
        <w:rPr>
          <w:rFonts w:ascii="Times New Roman" w:eastAsia="宋体" w:hAnsi="Times New Roman"/>
        </w:rPr>
        <w:t xml:space="preserve"> </w:t>
      </w:r>
      <w:r w:rsidRPr="00723DA9">
        <w:rPr>
          <w:rFonts w:ascii="Times New Roman" w:eastAsia="宋体" w:hAnsi="Times New Roman"/>
        </w:rPr>
        <w:t xml:space="preserve">Therefore, it is important to explore the sensitivity of this new directed moving nest strategy to the different sources of the prescribed locations. </w:t>
      </w:r>
      <w:r w:rsidR="009C789D" w:rsidRPr="00723DA9">
        <w:rPr>
          <w:rFonts w:ascii="Times New Roman" w:eastAsia="宋体" w:hAnsi="Times New Roman"/>
        </w:rPr>
        <w:t xml:space="preserve"> </w:t>
      </w:r>
      <w:r w:rsidRPr="00723DA9">
        <w:rPr>
          <w:rFonts w:ascii="Times New Roman" w:eastAsia="宋体" w:hAnsi="Times New Roman"/>
        </w:rPr>
        <w:t xml:space="preserve">Additional experiments </w:t>
      </w:r>
      <w:r w:rsidRPr="00723DA9">
        <w:rPr>
          <w:rFonts w:ascii="Times New Roman" w:eastAsia="宋体" w:hAnsi="Times New Roman"/>
        </w:rPr>
        <w:lastRenderedPageBreak/>
        <w:t xml:space="preserve">have been conducted with 3h prescribed locations produced from interpolating and extrapolating TCVital, GFS forecasts, and blending the GFS forecast with extrapolated </w:t>
      </w:r>
      <w:proofErr w:type="spellStart"/>
      <w:r w:rsidRPr="00723DA9">
        <w:rPr>
          <w:rFonts w:ascii="Times New Roman" w:eastAsia="宋体" w:hAnsi="Times New Roman"/>
        </w:rPr>
        <w:t>TCVitals</w:t>
      </w:r>
      <w:proofErr w:type="spellEnd"/>
      <w:r w:rsidRPr="00723DA9">
        <w:rPr>
          <w:rFonts w:ascii="Times New Roman" w:eastAsia="宋体" w:hAnsi="Times New Roman"/>
        </w:rPr>
        <w:t xml:space="preserve">. </w:t>
      </w:r>
      <w:r w:rsidR="009C789D" w:rsidRPr="00723DA9">
        <w:rPr>
          <w:rFonts w:ascii="Times New Roman" w:eastAsia="宋体" w:hAnsi="Times New Roman"/>
        </w:rPr>
        <w:t xml:space="preserve"> </w:t>
      </w:r>
      <w:r w:rsidRPr="00723DA9">
        <w:rPr>
          <w:rFonts w:ascii="Times New Roman" w:eastAsia="宋体" w:hAnsi="Times New Roman"/>
        </w:rPr>
        <w:t>The locations produced by these methods are similar except for slight differences at the early stage of Edouard when the storm is relatively weak and disorganized (not shown).</w:t>
      </w:r>
      <w:r w:rsidR="009C789D" w:rsidRPr="00723DA9">
        <w:rPr>
          <w:rFonts w:ascii="Times New Roman" w:eastAsia="宋体" w:hAnsi="Times New Roman"/>
        </w:rPr>
        <w:t xml:space="preserve"> </w:t>
      </w:r>
      <w:r w:rsidRPr="00723DA9">
        <w:rPr>
          <w:rFonts w:ascii="Times New Roman" w:eastAsia="宋体" w:hAnsi="Times New Roman"/>
        </w:rPr>
        <w:t xml:space="preserve"> Given the limited differences in the prescribed locations from different sources, sensitivity experiments showed they also produce reasonably similar DA and forecast results with the different prescribed positions (not shown).</w:t>
      </w:r>
      <w:r w:rsidR="009C789D" w:rsidRPr="00723DA9">
        <w:rPr>
          <w:rFonts w:ascii="Times New Roman" w:eastAsia="宋体" w:hAnsi="Times New Roman"/>
        </w:rPr>
        <w:t xml:space="preserve"> </w:t>
      </w:r>
      <w:r w:rsidRPr="00723DA9">
        <w:rPr>
          <w:rFonts w:ascii="Times New Roman" w:eastAsia="宋体" w:hAnsi="Times New Roman"/>
        </w:rPr>
        <w:t xml:space="preserve"> This study uses interpolated TCVital for illustration, though extrapolated TCVital, 3h global forecast or the combination of the two can all be applied in operational settings.</w:t>
      </w:r>
    </w:p>
    <w:p w14:paraId="48D94E85" w14:textId="77777777" w:rsidR="0083574D" w:rsidRPr="00723DA9" w:rsidRDefault="0083574D" w:rsidP="0083574D">
      <w:pPr>
        <w:pStyle w:val="Captions"/>
        <w:spacing w:after="0"/>
        <w:rPr>
          <w:rFonts w:eastAsia="宋体" w:cs="Times New Roman"/>
        </w:rPr>
      </w:pPr>
    </w:p>
    <w:p w14:paraId="048274D6" w14:textId="19C18B4F" w:rsidR="009C789D" w:rsidRPr="00723DA9" w:rsidRDefault="009C789D" w:rsidP="00966FCE">
      <w:pPr>
        <w:widowControl w:val="0"/>
        <w:autoSpaceDE w:val="0"/>
        <w:autoSpaceDN w:val="0"/>
        <w:adjustRightInd w:val="0"/>
        <w:spacing w:after="0" w:line="360" w:lineRule="auto"/>
        <w:rPr>
          <w:rFonts w:ascii="Times New Roman" w:eastAsia="MS Mincho" w:hAnsi="Times New Roman" w:cs="Times New Roman"/>
          <w:sz w:val="24"/>
          <w:szCs w:val="24"/>
        </w:rPr>
      </w:pPr>
      <w:r w:rsidRPr="00723DA9">
        <w:rPr>
          <w:rFonts w:ascii="Times New Roman" w:hAnsi="Times New Roman" w:cs="Times New Roman"/>
          <w:noProof/>
        </w:rPr>
        <w:drawing>
          <wp:inline distT="0" distB="0" distL="0" distR="0" wp14:anchorId="1868B8B3" wp14:editId="3D8B0813">
            <wp:extent cx="5943600" cy="1906905"/>
            <wp:effectExtent l="0" t="0" r="0" b="0"/>
            <wp:docPr id="2" name="Picture 2" descr="Fig2-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2-n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906905"/>
                    </a:xfrm>
                    <a:prstGeom prst="rect">
                      <a:avLst/>
                    </a:prstGeom>
                    <a:noFill/>
                    <a:ln>
                      <a:noFill/>
                    </a:ln>
                  </pic:spPr>
                </pic:pic>
              </a:graphicData>
            </a:graphic>
          </wp:inline>
        </w:drawing>
      </w:r>
    </w:p>
    <w:p w14:paraId="14B089EC" w14:textId="724223BC" w:rsidR="009C789D" w:rsidRPr="00723DA9" w:rsidRDefault="00BA7295" w:rsidP="006A6CBF">
      <w:pPr>
        <w:pStyle w:val="Captions"/>
        <w:spacing w:after="0"/>
        <w:rPr>
          <w:rFonts w:cs="Times New Roman"/>
        </w:rPr>
      </w:pPr>
      <w:bookmarkStart w:id="15" w:name="_Toc21624032"/>
      <w:r w:rsidRPr="00723DA9">
        <w:rPr>
          <w:rFonts w:cs="Times New Roman"/>
        </w:rPr>
        <w:t>Figure 2.</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2</w:t>
      </w:r>
      <w:r w:rsidR="00771F99" w:rsidRPr="00723DA9">
        <w:rPr>
          <w:rFonts w:cs="Times New Roman"/>
          <w:noProof/>
        </w:rPr>
        <w:fldChar w:fldCharType="end"/>
      </w:r>
      <w:r w:rsidR="009C789D" w:rsidRPr="00723DA9">
        <w:rPr>
          <w:rFonts w:cs="Times New Roman"/>
        </w:rPr>
        <w:t xml:space="preserve"> </w:t>
      </w:r>
      <w:bookmarkStart w:id="16" w:name="_Hlk495407524"/>
      <w:r w:rsidR="009C789D" w:rsidRPr="00723DA9">
        <w:rPr>
          <w:rFonts w:cs="Times New Roman"/>
        </w:rPr>
        <w:t xml:space="preserve">Sea-level pressure field at (a) +00:00, (b) +03:00, (c) +06:00 for the original HWRF moving strategy (dashed contour with thin box) and the directed moving strategy (solid contour with thick box) for ensemble member #1 (red </w:t>
      </w:r>
      <w:bookmarkStart w:id="17" w:name="OLE_LINK116"/>
      <w:bookmarkStart w:id="18" w:name="OLE_LINK115"/>
      <w:r w:rsidR="009C789D" w:rsidRPr="00723DA9">
        <w:rPr>
          <w:rFonts w:cs="Times New Roman"/>
        </w:rPr>
        <w:t>&amp; orange</w:t>
      </w:r>
      <w:bookmarkEnd w:id="17"/>
      <w:bookmarkEnd w:id="18"/>
      <w:r w:rsidR="009C789D" w:rsidRPr="00723DA9">
        <w:rPr>
          <w:rFonts w:cs="Times New Roman"/>
        </w:rPr>
        <w:t>) and #2 (blue &amp; cyan). Note that large areas of solid and dashed contours are overlain and indistinguishable due to the almost identical forecast fields.</w:t>
      </w:r>
      <w:bookmarkEnd w:id="15"/>
      <w:bookmarkEnd w:id="16"/>
    </w:p>
    <w:p w14:paraId="26FE13D2" w14:textId="77777777" w:rsidR="006A6CBF" w:rsidRPr="00723DA9" w:rsidRDefault="006A6CBF" w:rsidP="006A6CBF">
      <w:pPr>
        <w:pStyle w:val="Captions"/>
        <w:spacing w:after="0"/>
        <w:rPr>
          <w:rFonts w:eastAsia="宋体" w:cs="Times New Roman"/>
        </w:rPr>
      </w:pPr>
    </w:p>
    <w:p w14:paraId="20557E3A" w14:textId="5F0440A5" w:rsidR="006A6CBF" w:rsidRPr="00723DA9" w:rsidRDefault="006A6CBF" w:rsidP="006A6CBF">
      <w:pPr>
        <w:pStyle w:val="ListParagraph"/>
        <w:spacing w:line="480" w:lineRule="auto"/>
        <w:ind w:left="0" w:firstLine="357"/>
        <w:rPr>
          <w:rFonts w:ascii="Times New Roman" w:eastAsia="宋体" w:hAnsi="Times New Roman"/>
        </w:rPr>
      </w:pPr>
      <w:r w:rsidRPr="00723DA9">
        <w:rPr>
          <w:rFonts w:ascii="Times New Roman" w:eastAsia="宋体" w:hAnsi="Times New Roman"/>
        </w:rPr>
        <w:t xml:space="preserve">Figure 2.2 illustrates the details of this directed moving nest strategy. </w:t>
      </w:r>
      <w:r w:rsidR="007D2D99">
        <w:rPr>
          <w:rFonts w:ascii="Times New Roman" w:eastAsia="宋体" w:hAnsi="Times New Roman"/>
        </w:rPr>
        <w:t xml:space="preserve"> </w:t>
      </w:r>
      <w:r w:rsidRPr="00723DA9">
        <w:rPr>
          <w:rFonts w:ascii="Times New Roman" w:eastAsia="宋体" w:hAnsi="Times New Roman"/>
        </w:rPr>
        <w:t>At the initial time on September 15</w:t>
      </w:r>
      <w:r w:rsidRPr="00723DA9">
        <w:rPr>
          <w:rFonts w:ascii="Times New Roman" w:eastAsia="宋体" w:hAnsi="Times New Roman"/>
          <w:vertAlign w:val="superscript"/>
        </w:rPr>
        <w:t>th</w:t>
      </w:r>
      <w:r w:rsidR="00786C0C" w:rsidRPr="00723DA9">
        <w:rPr>
          <w:rFonts w:ascii="Times New Roman" w:eastAsia="宋体" w:hAnsi="Times New Roman"/>
        </w:rPr>
        <w:t>, 2014</w:t>
      </w:r>
      <w:r w:rsidRPr="00723DA9">
        <w:rPr>
          <w:rFonts w:ascii="Times New Roman" w:eastAsia="宋体" w:hAnsi="Times New Roman"/>
        </w:rPr>
        <w:t xml:space="preserve">, all the domains overlap (Fig. 2.2a).  After three hours of integration (Fig. 2.2b), the nests of ensemble members using the storm-following moving nest strategy start to diverge, while the nests using directed moving nest strategy move toward the same location.  Six hours later (Fig. 2.2c), the ensemble members using the storm-following strategy move farther apart, but those using the directed moving strategy remain in the same location.  Although this </w:t>
      </w:r>
      <w:r w:rsidRPr="00723DA9">
        <w:rPr>
          <w:rFonts w:ascii="Times New Roman" w:eastAsia="宋体" w:hAnsi="Times New Roman"/>
        </w:rPr>
        <w:lastRenderedPageBreak/>
        <w:t xml:space="preserve">strategy differs from that used by the operational HWRF, the forecast fields after six hours of integration with each strategy are nearly identical, suggesting the directed moving nest method reconciles with the model integration as well as the storm following moving nest. </w:t>
      </w:r>
    </w:p>
    <w:p w14:paraId="18A10A95" w14:textId="53973BCA" w:rsidR="00EB4A18" w:rsidRPr="00723DA9" w:rsidRDefault="00EB4A18" w:rsidP="006562DB">
      <w:pPr>
        <w:pStyle w:val="Heading2"/>
        <w:numPr>
          <w:ilvl w:val="1"/>
          <w:numId w:val="16"/>
        </w:numPr>
        <w:spacing w:line="480" w:lineRule="auto"/>
        <w:ind w:left="0" w:firstLine="0"/>
        <w:rPr>
          <w:rFonts w:ascii="Times New Roman" w:hAnsi="Times New Roman" w:cs="Times New Roman"/>
          <w:b/>
          <w:color w:val="auto"/>
          <w:sz w:val="24"/>
          <w:szCs w:val="24"/>
        </w:rPr>
      </w:pPr>
      <w:bookmarkStart w:id="19" w:name="_Toc21623978"/>
      <w:r w:rsidRPr="00723DA9">
        <w:rPr>
          <w:rFonts w:ascii="Times New Roman" w:hAnsi="Times New Roman" w:cs="Times New Roman"/>
          <w:b/>
          <w:color w:val="auto"/>
          <w:sz w:val="24"/>
          <w:szCs w:val="24"/>
        </w:rPr>
        <w:t>Integrating vortex relocation (VR) and modification (VM) with DA</w:t>
      </w:r>
      <w:bookmarkEnd w:id="19"/>
    </w:p>
    <w:p w14:paraId="65FE84A5" w14:textId="77777777" w:rsidR="00B36A2F" w:rsidRPr="00723DA9" w:rsidRDefault="00B36A2F" w:rsidP="00771F99">
      <w:pPr>
        <w:spacing w:after="0" w:line="480" w:lineRule="auto"/>
        <w:ind w:firstLine="357"/>
        <w:rPr>
          <w:rFonts w:ascii="Times New Roman" w:eastAsia="MS Mincho" w:hAnsi="Times New Roman" w:cs="Times New Roman"/>
          <w:sz w:val="24"/>
          <w:szCs w:val="24"/>
        </w:rPr>
      </w:pPr>
      <w:r w:rsidRPr="00723DA9">
        <w:rPr>
          <w:rFonts w:ascii="Times New Roman" w:eastAsia="MS Mincho" w:hAnsi="Times New Roman" w:cs="Times New Roman"/>
          <w:sz w:val="24"/>
          <w:szCs w:val="24"/>
        </w:rPr>
        <w:t xml:space="preserve">In the operational HWRF system, vortex initialization (VI) procedure is used and primarily contains two components: a) storm location correction and b) storm size and intensity correction </w:t>
      </w:r>
      <w:r w:rsidRPr="00723DA9">
        <w:rPr>
          <w:rFonts w:ascii="Times New Roman" w:eastAsia="MS Mincho" w:hAnsi="Times New Roman" w:cs="Times New Roman"/>
          <w:sz w:val="24"/>
          <w:szCs w:val="24"/>
        </w:rPr>
        <w:fldChar w:fldCharType="begin" w:fldLock="1"/>
      </w:r>
      <w:r w:rsidRPr="00723DA9">
        <w:rPr>
          <w:rFonts w:ascii="Times New Roman" w:eastAsia="MS Mincho" w:hAnsi="Times New Roman" w:cs="Times New Roman"/>
          <w:sz w:val="24"/>
          <w:szCs w:val="24"/>
        </w:rPr>
        <w:instrText>ADDIN CSL_CITATION {"citationItems":[{"id":"ITEM-1","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Note","id":"ITEM-1","issued":{"date-parts":[["2000"]]},"page":"472","title":"Improvements in Hurricane Initialization and Forecasting at NCEP with Global and Regional ( GFDL ) models","type":"paper-conference"},"uris":["http://www.mendeley.com/documents/?uuid=432c0949-751b-4f5a-b482-e8a093126d11"]},{"id":"ITEM-2","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Meteorology","id":"ITEM-2","issued":{"date-parts":[["2006"]]},"title":"Hurricane Relocation in Global Ensemble Forecast System","type":"paper-conference"},"uris":["http://www.mendeley.com/documents/?uuid=1a8cbd0a-b8d6-493d-9f17-38a64f3581ee"]}],"mendeley":{"formattedCitation":"(Liu et al. 2000, 2006)","plainTextFormattedCitation":"(Liu et al. 2000, 2006)","previouslyFormattedCitation":"(Liu et al. 2000, 2006)"},"properties":{"noteIndex":0},"schema":"https://github.com/citation-style-language/schema/raw/master/csl-citation.json"}</w:instrText>
      </w:r>
      <w:r w:rsidRPr="00723DA9">
        <w:rPr>
          <w:rFonts w:ascii="Times New Roman" w:eastAsia="MS Mincho" w:hAnsi="Times New Roman" w:cs="Times New Roman"/>
          <w:sz w:val="24"/>
          <w:szCs w:val="24"/>
        </w:rPr>
        <w:fldChar w:fldCharType="separate"/>
      </w:r>
      <w:r w:rsidRPr="00723DA9">
        <w:rPr>
          <w:rFonts w:ascii="Times New Roman" w:eastAsia="MS Mincho" w:hAnsi="Times New Roman" w:cs="Times New Roman"/>
          <w:noProof/>
          <w:sz w:val="24"/>
          <w:szCs w:val="24"/>
        </w:rPr>
        <w:t>(Liu et al. 2000, 2006)</w:t>
      </w:r>
      <w:r w:rsidRPr="00723DA9">
        <w:rPr>
          <w:rFonts w:ascii="Times New Roman" w:eastAsia="MS Mincho" w:hAnsi="Times New Roman" w:cs="Times New Roman"/>
          <w:sz w:val="24"/>
          <w:szCs w:val="24"/>
        </w:rPr>
        <w:fldChar w:fldCharType="end"/>
      </w:r>
      <w:r w:rsidRPr="00723DA9">
        <w:rPr>
          <w:rFonts w:ascii="Times New Roman" w:eastAsia="MS Mincho" w:hAnsi="Times New Roman" w:cs="Times New Roman"/>
          <w:sz w:val="24"/>
          <w:szCs w:val="24"/>
        </w:rPr>
        <w:t>.  Hereafter, in this manuscript, the “vortex relocation” (VR) refers to only the location correction and the “vortex modification” (VM) refers to the storm size and intensity correction.</w:t>
      </w:r>
    </w:p>
    <w:p w14:paraId="751FB25E" w14:textId="23B5118B" w:rsidR="00EB4A18" w:rsidRPr="00723DA9" w:rsidRDefault="00EB4A18"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average location error in a 6-h background forecast is around 15~40 km </w:t>
      </w:r>
      <w:r w:rsidR="00443593" w:rsidRPr="00723DA9">
        <w:rPr>
          <w:rFonts w:ascii="Times New Roman" w:eastAsia="宋体" w:hAnsi="Times New Roman" w:cs="Times New Roman"/>
          <w:sz w:val="24"/>
          <w:szCs w:val="24"/>
        </w:rPr>
        <w:fldChar w:fldCharType="begin" w:fldLock="1"/>
      </w:r>
      <w:r w:rsidR="00443593" w:rsidRPr="00723DA9">
        <w:rPr>
          <w:rFonts w:ascii="Times New Roman" w:eastAsia="宋体" w:hAnsi="Times New Roman" w:cs="Times New Roman"/>
          <w:sz w:val="24"/>
          <w:szCs w:val="24"/>
        </w:rPr>
        <w:instrText>ADDIN CSL_CITATION {"citationItems":[{"id":"ITEM-1","itemData":{"DOI":"10.1175/WAF-D-11-00063.1","ISSN":"0882-8156","author":[{"dropping-particle":"","family":"Trahan","given":"Sam","non-dropping-particle":"","parse-names":false,"suffix":""},{"dropping-particle":"","family":"Sparling","given":"Lynn","non-dropping-particle":"","parse-names":false,"suffix":""}],"container-title":"Weather and Forecasting","id":"ITEM-1","issue":"3","issued":{"date-parts":[["2012"]]},"page":"744-756","title":"An Analysis of NCEP Tropical Cyclone Vitals and Potential Effects on Forecasting Models","type":"article-journal","volume":"27"},"uris":["http://www.mendeley.com/documents/?uuid=53c99da2-40b3-4dec-b17f-4bc8f7bce211"]},{"id":"ITEM-2","itemData":{"author":[{"dropping-particle":"","family":"Tong","given":"Mingjing","non-dropping-particle":"","parse-names":false,"suffix":""},{"dropping-particle":"","family":"Tallapragada","given":"Vijay","non-dropping-particle":"","parse-names":false,"suffix":""},{"dropping-particle":"","family":"Liu","given":"Emily","non-dropping-particle":"","parse-names":false,"suffix":""},{"dropping-particle":"","family":"Wang","given":"Weiguo","non-dropping-particle":"","parse-names":false,"suffix":""},{"dropping-particle":"","family":"Kieu","given":"Chanh","non-dropping-particle":"","parse-names":false,"suffix":""},{"dropping-particle":"","family":"Liu","given":"Qingfu","non-dropping-particle":"","parse-names":false,"suffix":""},{"dropping-particle":"","family":"Zhan","given":"Banglin","non-dropping-particle":"","parse-names":false,"suffix":""}],"container-title":"2014 HFIP annual meeting","id":"ITEM-2","issued":{"date-parts":[["2014"]]},"title":"Impact of Assimilating Aircraft Reconnaissance Observations in Operational HWRF","type":"paper-conference"},"uris":["http://www.mendeley.com/documents/?uuid=0f52dd70-2e22-3712-aa59-e5d3850e6a5a"]}],"mendeley":{"formattedCitation":"(Trahan and Sparling 2012; Tong et al. 2014)","plainTextFormattedCitation":"(Trahan and Sparling 2012; Tong et al. 2014)","previouslyFormattedCitation":"(Trahan and Sparling 2012; Tong et al. 2014)"},"properties":{"noteIndex":0},"schema":"https://github.com/citation-style-language/schema/raw/master/csl-citation.json"}</w:instrText>
      </w:r>
      <w:r w:rsidR="00443593" w:rsidRPr="00723DA9">
        <w:rPr>
          <w:rFonts w:ascii="Times New Roman" w:eastAsia="宋体" w:hAnsi="Times New Roman" w:cs="Times New Roman"/>
          <w:sz w:val="24"/>
          <w:szCs w:val="24"/>
        </w:rPr>
        <w:fldChar w:fldCharType="separate"/>
      </w:r>
      <w:r w:rsidR="00443593" w:rsidRPr="00723DA9">
        <w:rPr>
          <w:rFonts w:ascii="Times New Roman" w:eastAsia="宋体" w:hAnsi="Times New Roman" w:cs="Times New Roman"/>
          <w:noProof/>
          <w:sz w:val="24"/>
          <w:szCs w:val="24"/>
        </w:rPr>
        <w:t>(Trahan and Sparling 2012; Tong et al. 2014)</w:t>
      </w:r>
      <w:r w:rsidR="00443593"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which can be detrimental to assimilating of inner core observations using ensemble based DA that adopts the Gaussian error distribution assumption </w:t>
      </w:r>
      <w:r w:rsidR="00443593" w:rsidRPr="00723DA9">
        <w:rPr>
          <w:rFonts w:ascii="Times New Roman" w:eastAsia="宋体" w:hAnsi="Times New Roman" w:cs="Times New Roman"/>
          <w:sz w:val="24"/>
          <w:szCs w:val="24"/>
        </w:rPr>
        <w:fldChar w:fldCharType="begin" w:fldLock="1"/>
      </w:r>
      <w:r w:rsidR="001B2990" w:rsidRPr="00723DA9">
        <w:rPr>
          <w:rFonts w:ascii="Times New Roman" w:eastAsia="宋体" w:hAnsi="Times New Roman" w:cs="Times New Roman"/>
          <w:sz w:val="24"/>
          <w:szCs w:val="24"/>
        </w:rPr>
        <w:instrText>ADDIN CSL_CITATION {"citationItems":[{"id":"ITEM-1","itemData":{"DOI":"10.1175/MWR3351.1","ISSN":"0027-0644","abstract":"Observations of hurricane position, which in practice might be available from satellite or radar imagery, can be easily assimilated with an ensemble Kalman filter (EnKF) given an operator that computes the position of the vortex in the background forecast. The simple linear updating scheme used in the EnKF is effective for small displacements of forecasted vortices from the true position; this situation is operationally relevant since hurricane position is often available frequently in time. When displacements of the forecasted vortices are comparable to the vortex size, non-Gaussian effects become significant and the EnKF&amp;#8217;s linear update begins to degrade. Simulations using a simple two-dimensional barotropic model demonstrate the potential of the technique and show that the track forecast initialized with the EnKF analysis is improved. The assimilation of observations of the vortex shape and intensity, along with position, extends the technique&amp;#8217;s effectiveness to larger displacements of the forecasted vortices than when assimilating position alone.","author":[{"dropping-particle":"","family":"Chen","given":"Yongsheng","non-dropping-particle":"","parse-names":false,"suffix":""},{"dropping-particle":"","family":"Snyder","given":"Chris","non-dropping-particle":"","parse-names":false,"suffix":""}],"container-title":"Monthly Weather Review","id":"ITEM-1","issue":"5","issued":{"date-parts":[["2007"]]},"page":"1828-1845","title":"Assimilating Vortex Position with an Ensemble Kalman Filter","type":"article-journal","volume":"135"},"uris":["http://www.mendeley.com/documents/?uuid=948e958f-a078-4deb-aa1b-9e2f8f08eb1f"]},{"id":"ITEM-2","itemData":{"DOI":"10.3402/tellusa.v65i0.20804","ISSN":"1600-0870","author":[{"dropping-particle":"","family":"Yang","given":"Shu-Chih","non-dropping-particle":"","parse-names":false,"suffix":""},{"dropping-particle":"","family":"Lin","given":"Kuan-Jen","non-dropping-particle":"","parse-names":false,"suffix":""},{"dropping-particle":"","family":"Miyoshi","given":"Takemasa","non-dropping-particle":"","parse-names":false,"suffix":""},{"dropping-particle":"","family":"Kalnay","given":"Eugenia","non-dropping-particle":"","parse-names":false,"suffix":""}],"container-title":"Tellus A","id":"ITEM-2","issued":{"date-parts":[["2013"]]},"page":"1-21","title":"Improving the spin-up of regional EnKF for typhoon assimilation and forecasting with Typhoon Sinlaku (2008)","type":"article-journal","volume":"65"},"uris":["http://www.mendeley.com/documents/?uuid=a072a194-6890-4a0a-95dd-0a9f3376e1fc"]},{"id":"ITEM-3","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Society","id":"ITEM-3","issue":"702","issued":{"date-parts":[["2017"]]},"page":"223-239","title":"GSI-based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assimilation","type":"article-journal","volume":"143"},"uris":["http://www.mendeley.com/documents/?uuid=c3225f76-d6f6-4c30-9c20-7f67e167eeaf"]}],"mendeley":{"formattedCitation":"(Chen and Snyder 2007; Yang et al. 2013; Lu et al. 2017a)","plainTextFormattedCitation":"(Chen and Snyder 2007; Yang et al. 2013; Lu et al. 2017a)","previouslyFormattedCitation":"(Chen and Snyder 2007; Yang et al. 2013; Lu et al. 2017a)"},"properties":{"noteIndex":0},"schema":"https://github.com/citation-style-language/schema/raw/master/csl-citation.json"}</w:instrText>
      </w:r>
      <w:r w:rsidR="00443593" w:rsidRPr="00723DA9">
        <w:rPr>
          <w:rFonts w:ascii="Times New Roman" w:eastAsia="宋体" w:hAnsi="Times New Roman" w:cs="Times New Roman"/>
          <w:sz w:val="24"/>
          <w:szCs w:val="24"/>
        </w:rPr>
        <w:fldChar w:fldCharType="separate"/>
      </w:r>
      <w:r w:rsidR="00443593" w:rsidRPr="00723DA9">
        <w:rPr>
          <w:rFonts w:ascii="Times New Roman" w:eastAsia="宋体" w:hAnsi="Times New Roman" w:cs="Times New Roman"/>
          <w:noProof/>
          <w:sz w:val="24"/>
          <w:szCs w:val="24"/>
        </w:rPr>
        <w:t>(Chen and Snyder 2007; Yang et al. 2013; Lu et al. 2017a)</w:t>
      </w:r>
      <w:r w:rsidR="00443593" w:rsidRPr="00723DA9">
        <w:rPr>
          <w:rFonts w:ascii="Times New Roman" w:eastAsia="宋体" w:hAnsi="Times New Roman" w:cs="Times New Roman"/>
          <w:sz w:val="24"/>
          <w:szCs w:val="24"/>
        </w:rPr>
        <w:fldChar w:fldCharType="end"/>
      </w:r>
      <w:r w:rsidR="00443593"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Therefore, in the fully cycled DA system, for each DA cycle as described in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2</w:t>
      </w:r>
      <w:r w:rsidR="00443593" w:rsidRPr="00723DA9">
        <w:rPr>
          <w:rFonts w:ascii="Times New Roman" w:eastAsia="宋体" w:hAnsi="Times New Roman" w:cs="Times New Roman"/>
          <w:sz w:val="24"/>
          <w:szCs w:val="24"/>
        </w:rPr>
        <w:t>.1</w:t>
      </w:r>
      <w:r w:rsidRPr="00723DA9">
        <w:rPr>
          <w:rFonts w:ascii="Times New Roman" w:eastAsia="宋体" w:hAnsi="Times New Roman" w:cs="Times New Roman"/>
          <w:sz w:val="24"/>
          <w:szCs w:val="24"/>
        </w:rPr>
        <w:t xml:space="preserve">, both the background ensemble and control forecasts are relocated before being updated by 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or </w:t>
      </w:r>
      <w:proofErr w:type="spellStart"/>
      <w:r w:rsidR="00377180">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w:t>
      </w:r>
      <w:r w:rsidR="00B36A2F" w:rsidRPr="00723DA9">
        <w:rPr>
          <w:rFonts w:ascii="Times New Roman" w:eastAsia="MS Mincho" w:hAnsi="Times New Roman" w:cs="Times New Roman"/>
          <w:sz w:val="24"/>
          <w:szCs w:val="24"/>
        </w:rPr>
        <w:t xml:space="preserve"> </w:t>
      </w:r>
      <w:r w:rsidRPr="00723DA9">
        <w:rPr>
          <w:rFonts w:ascii="Times New Roman" w:eastAsia="宋体" w:hAnsi="Times New Roman" w:cs="Times New Roman"/>
          <w:sz w:val="24"/>
          <w:szCs w:val="24"/>
        </w:rPr>
        <w:t xml:space="preserve">Before VR, the locations toward which the background forecasts will move are determined first. The locations are determined by applying the EnSRF method </w:t>
      </w:r>
      <w:r w:rsidR="001B2990" w:rsidRPr="00723DA9">
        <w:rPr>
          <w:rFonts w:ascii="Times New Roman" w:eastAsia="宋体" w:hAnsi="Times New Roman" w:cs="Times New Roman"/>
          <w:sz w:val="24"/>
          <w:szCs w:val="24"/>
        </w:rPr>
        <w:fldChar w:fldCharType="begin" w:fldLock="1"/>
      </w:r>
      <w:r w:rsidR="00C8781B" w:rsidRPr="00723DA9">
        <w:rPr>
          <w:rFonts w:ascii="Times New Roman" w:eastAsia="宋体" w:hAnsi="Times New Roman" w:cs="Times New Roman"/>
          <w:sz w:val="24"/>
          <w:szCs w:val="24"/>
        </w:rPr>
        <w:instrText>ADDIN CSL_CITATION {"citationItems":[{"id":"ITEM-1","itemData":{"abstract":"The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may be negatively biased, even if the ensemble background-error covariance estimates are unbiased. This problem must be dealt with in any Kalman filter-based ensemble data assimilation scheme. A second consequence of sampling error is particular to schemes like the EnKF that use perturbed observations. While this procedure gives asymptotically correct analysis-error covariance estimates for large ensembles, the addition of perturbed observations adds an additional source of sampling error related to the estimation of the observation-error covariances. In addition to reducing the accuracy of the analysis-error covariance estimate, this extra source of sampling error increases the probability that the analysis-error covariance will be underestimated. Because of this, ensemble data assimilation methods that use perturbed observations are expected to be less accurate than those which do not. Several ensemble filter formulations have recently been proposed that do not require perturbed observations. This study examines a particularly simple implementation called the ensemble square root filter, or EnSRF. The EnSRF uses the traditional Kalman gain for updating the ensemble mean but uses a ''reduced'' Kalman gain to update deviations from the ensemble mean. There is no additional computational cost incurred by the EnSRF relative to the EnKF when the observations have independent errors and are processed one at a time. Using a hierarchy of perfect model assimilation exp…","author":[{"dropping-particle":"","family":"Whitaker","given":"Jeffrey S","non-dropping-particle":"","parse-names":false,"suffix":""},{"dropping-particle":"","family":"Hamill","given":"Thomas M","non-dropping-particle":"","parse-names":false,"suffix":""}],"id":"ITEM-1","issued":{"date-parts":[["2002"]]},"title":"Ensemble Data Assimilation without Perturbed Observations","type":"report"},"uris":["http://www.mendeley.com/documents/?uuid=44af1cb7-7a09-3ce7-9c46-0b049d0fc93d"]}],"mendeley":{"formattedCitation":"(Whitaker and Hamill 2002)","plainTextFormattedCitation":"(Whitaker and Hamill 2002)","previouslyFormattedCitation":"(Whitaker and Hamill 2002)"},"properties":{"noteIndex":0},"schema":"https://github.com/citation-style-language/schema/raw/master/csl-citation.json"}</w:instrText>
      </w:r>
      <w:r w:rsidR="001B2990" w:rsidRPr="00723DA9">
        <w:rPr>
          <w:rFonts w:ascii="Times New Roman" w:eastAsia="宋体" w:hAnsi="Times New Roman" w:cs="Times New Roman"/>
          <w:sz w:val="24"/>
          <w:szCs w:val="24"/>
        </w:rPr>
        <w:fldChar w:fldCharType="separate"/>
      </w:r>
      <w:r w:rsidR="001B2990" w:rsidRPr="00723DA9">
        <w:rPr>
          <w:rFonts w:ascii="Times New Roman" w:eastAsia="宋体" w:hAnsi="Times New Roman" w:cs="Times New Roman"/>
          <w:noProof/>
          <w:sz w:val="24"/>
          <w:szCs w:val="24"/>
        </w:rPr>
        <w:t>(Whitaker and Hamill 2002)</w:t>
      </w:r>
      <w:r w:rsidR="001B2990"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to a single-variable problem as follows: </w:t>
      </w:r>
    </w:p>
    <w:p w14:paraId="5C0AC1D9" w14:textId="77777777" w:rsidR="00EB4A18" w:rsidRPr="00723DA9" w:rsidRDefault="00EB4A18" w:rsidP="00771F99">
      <w:pPr>
        <w:spacing w:after="0" w:line="480" w:lineRule="auto"/>
        <w:rPr>
          <w:rFonts w:ascii="Times New Roman" w:eastAsia="宋体" w:hAnsi="Times New Roman" w:cs="Times New Roman"/>
          <w:sz w:val="24"/>
          <w:szCs w:val="24"/>
        </w:rPr>
      </w:pPr>
      <w:r w:rsidRPr="00723DA9">
        <w:rPr>
          <w:rFonts w:ascii="Times New Roman" w:eastAsia="宋体" w:hAnsi="Times New Roman" w:cs="Times New Roman"/>
          <w:sz w:val="24"/>
          <w:szCs w:val="24"/>
        </w:rPr>
        <w:t>1) Update the ensemble mean location:</w:t>
      </w:r>
    </w:p>
    <w:p w14:paraId="23BB8BDC" w14:textId="2EAE2EDD" w:rsidR="00EB4A18" w:rsidRPr="00723DA9" w:rsidRDefault="00C350DE" w:rsidP="00771F99">
      <w:pPr>
        <w:spacing w:after="0" w:line="480" w:lineRule="auto"/>
        <w:ind w:firstLine="357"/>
        <w:jc w:val="center"/>
        <w:rPr>
          <w:rFonts w:ascii="Times New Roman" w:eastAsia="宋体" w:hAnsi="Times New Roman" w:cs="Times New Roman"/>
          <w:sz w:val="24"/>
          <w:szCs w:val="24"/>
        </w:rPr>
      </w:pPr>
      <m:oMath>
        <m:sSup>
          <m:sSupPr>
            <m:ctrlPr>
              <w:rPr>
                <w:rFonts w:ascii="Cambria Math" w:eastAsia="宋体" w:hAnsi="Cambria Math" w:cs="Times New Roman"/>
                <w:i/>
                <w:sz w:val="24"/>
                <w:szCs w:val="24"/>
                <w:lang w:eastAsia="en-US"/>
              </w:rPr>
            </m:ctrlPr>
          </m:sSupPr>
          <m:e>
            <m:acc>
              <m:accPr>
                <m:chr m:val="̄"/>
                <m:ctrlPr>
                  <w:rPr>
                    <w:rFonts w:ascii="Cambria Math" w:eastAsia="宋体" w:hAnsi="Cambria Math" w:cs="Times New Roman"/>
                    <w:i/>
                    <w:sz w:val="24"/>
                    <w:szCs w:val="24"/>
                    <w:lang w:eastAsia="en-US"/>
                  </w:rPr>
                </m:ctrlPr>
              </m:accPr>
              <m:e>
                <m:r>
                  <m:rPr>
                    <m:sty m:val="bi"/>
                  </m:rPr>
                  <w:rPr>
                    <w:rFonts w:ascii="Cambria Math" w:eastAsia="宋体" w:hAnsi="Cambria Math" w:cs="Times New Roman"/>
                    <w:sz w:val="24"/>
                    <w:szCs w:val="24"/>
                    <w:lang w:eastAsia="en-US"/>
                  </w:rPr>
                  <m:t>x</m:t>
                </m:r>
              </m:e>
            </m:acc>
          </m:e>
          <m:sup>
            <m:r>
              <w:rPr>
                <w:rFonts w:ascii="Cambria Math" w:eastAsia="宋体" w:hAnsi="Cambria Math" w:cs="Times New Roman"/>
                <w:sz w:val="24"/>
                <w:szCs w:val="24"/>
                <w:lang w:eastAsia="en-US"/>
              </w:rPr>
              <m:t>a</m:t>
            </m:r>
          </m:sup>
        </m:sSup>
        <m:r>
          <w:rPr>
            <w:rFonts w:ascii="Cambria Math" w:eastAsia="宋体" w:hAnsi="Cambria Math" w:cs="Times New Roman"/>
            <w:sz w:val="24"/>
            <w:szCs w:val="24"/>
            <w:lang w:eastAsia="en-US"/>
          </w:rPr>
          <m:t>=</m:t>
        </m:r>
        <m:sSup>
          <m:sSupPr>
            <m:ctrlPr>
              <w:rPr>
                <w:rFonts w:ascii="Cambria Math" w:eastAsia="宋体" w:hAnsi="Cambria Math" w:cs="Times New Roman"/>
                <w:i/>
                <w:sz w:val="24"/>
                <w:szCs w:val="24"/>
                <w:lang w:eastAsia="en-US"/>
              </w:rPr>
            </m:ctrlPr>
          </m:sSupPr>
          <m:e>
            <m:acc>
              <m:accPr>
                <m:chr m:val="̄"/>
                <m:ctrlPr>
                  <w:rPr>
                    <w:rFonts w:ascii="Cambria Math" w:eastAsia="宋体" w:hAnsi="Cambria Math" w:cs="Times New Roman"/>
                    <w:i/>
                    <w:sz w:val="24"/>
                    <w:szCs w:val="24"/>
                    <w:lang w:eastAsia="en-US"/>
                  </w:rPr>
                </m:ctrlPr>
              </m:accPr>
              <m:e>
                <m:r>
                  <m:rPr>
                    <m:sty m:val="bi"/>
                  </m:rPr>
                  <w:rPr>
                    <w:rFonts w:ascii="Cambria Math" w:eastAsia="宋体" w:hAnsi="Cambria Math" w:cs="Times New Roman"/>
                    <w:sz w:val="24"/>
                    <w:szCs w:val="24"/>
                    <w:lang w:eastAsia="en-US"/>
                  </w:rPr>
                  <m:t>x</m:t>
                </m:r>
              </m:e>
            </m:acc>
          </m:e>
          <m:sup>
            <m:r>
              <w:rPr>
                <w:rFonts w:ascii="Cambria Math" w:eastAsia="宋体" w:hAnsi="Cambria Math" w:cs="Times New Roman"/>
                <w:sz w:val="24"/>
                <w:szCs w:val="24"/>
                <w:lang w:eastAsia="en-US"/>
              </w:rPr>
              <m:t>b</m:t>
            </m:r>
          </m:sup>
        </m:sSup>
        <m:r>
          <w:rPr>
            <w:rFonts w:ascii="Cambria Math" w:eastAsia="宋体" w:hAnsi="Cambria Math" w:cs="Times New Roman"/>
            <w:sz w:val="24"/>
            <w:szCs w:val="24"/>
            <w:lang w:eastAsia="en-US"/>
          </w:rPr>
          <m:t>+</m:t>
        </m:r>
        <m:r>
          <m:rPr>
            <m:sty m:val="bi"/>
          </m:rPr>
          <w:rPr>
            <w:rFonts w:ascii="Cambria Math" w:eastAsia="宋体" w:hAnsi="Cambria Math" w:cs="Times New Roman"/>
            <w:sz w:val="24"/>
            <w:szCs w:val="24"/>
            <w:lang w:eastAsia="en-US"/>
          </w:rPr>
          <m:t>K</m:t>
        </m:r>
        <m:r>
          <w:rPr>
            <w:rFonts w:ascii="Cambria Math" w:eastAsia="宋体" w:hAnsi="Cambria Math" w:cs="Times New Roman"/>
            <w:sz w:val="24"/>
            <w:szCs w:val="24"/>
            <w:lang w:eastAsia="en-US"/>
          </w:rPr>
          <m:t>(</m:t>
        </m:r>
        <m:r>
          <m:rPr>
            <m:sty m:val="bi"/>
          </m:rPr>
          <w:rPr>
            <w:rFonts w:ascii="Cambria Math" w:eastAsia="宋体" w:hAnsi="Cambria Math" w:cs="Times New Roman"/>
            <w:sz w:val="24"/>
            <w:szCs w:val="24"/>
            <w:lang w:eastAsia="en-US"/>
          </w:rPr>
          <m:t>y</m:t>
        </m:r>
        <m:r>
          <w:rPr>
            <w:rFonts w:ascii="Cambria Math" w:eastAsia="宋体" w:hAnsi="Cambria Math" w:cs="Times New Roman"/>
            <w:sz w:val="24"/>
            <w:szCs w:val="24"/>
            <w:lang w:eastAsia="en-US"/>
          </w:rPr>
          <m:t>-</m:t>
        </m:r>
        <m:r>
          <m:rPr>
            <m:sty m:val="bi"/>
          </m:rPr>
          <w:rPr>
            <w:rFonts w:ascii="Cambria Math" w:eastAsia="宋体" w:hAnsi="Cambria Math" w:cs="Times New Roman"/>
            <w:sz w:val="24"/>
            <w:szCs w:val="24"/>
            <w:lang w:eastAsia="en-US"/>
          </w:rPr>
          <m:t>H</m:t>
        </m:r>
        <m:sSup>
          <m:sSupPr>
            <m:ctrlPr>
              <w:rPr>
                <w:rFonts w:ascii="Cambria Math" w:eastAsia="宋体" w:hAnsi="Cambria Math" w:cs="Times New Roman"/>
                <w:i/>
                <w:sz w:val="24"/>
                <w:szCs w:val="24"/>
                <w:lang w:eastAsia="en-US"/>
              </w:rPr>
            </m:ctrlPr>
          </m:sSupPr>
          <m:e>
            <m:acc>
              <m:accPr>
                <m:chr m:val="̄"/>
                <m:ctrlPr>
                  <w:rPr>
                    <w:rFonts w:ascii="Cambria Math" w:eastAsia="宋体" w:hAnsi="Cambria Math" w:cs="Times New Roman"/>
                    <w:i/>
                    <w:sz w:val="24"/>
                    <w:szCs w:val="24"/>
                    <w:lang w:eastAsia="en-US"/>
                  </w:rPr>
                </m:ctrlPr>
              </m:accPr>
              <m:e>
                <m:r>
                  <m:rPr>
                    <m:sty m:val="bi"/>
                  </m:rPr>
                  <w:rPr>
                    <w:rFonts w:ascii="Cambria Math" w:eastAsia="宋体" w:hAnsi="Cambria Math" w:cs="Times New Roman"/>
                    <w:sz w:val="24"/>
                    <w:szCs w:val="24"/>
                    <w:lang w:eastAsia="en-US"/>
                  </w:rPr>
                  <m:t>x</m:t>
                </m:r>
              </m:e>
            </m:acc>
          </m:e>
          <m:sup>
            <m:r>
              <w:rPr>
                <w:rFonts w:ascii="Cambria Math" w:eastAsia="宋体" w:hAnsi="Cambria Math" w:cs="Times New Roman"/>
                <w:sz w:val="24"/>
                <w:szCs w:val="24"/>
                <w:lang w:eastAsia="en-US"/>
              </w:rPr>
              <m:t>b</m:t>
            </m:r>
          </m:sup>
        </m:sSup>
        <m:r>
          <w:rPr>
            <w:rFonts w:ascii="Cambria Math" w:eastAsia="宋体" w:hAnsi="Cambria Math" w:cs="Times New Roman"/>
            <w:sz w:val="24"/>
            <w:szCs w:val="24"/>
            <w:lang w:eastAsia="en-US"/>
          </w:rPr>
          <m:t>)</m:t>
        </m:r>
      </m:oMath>
      <w:r w:rsidR="00EB4A18" w:rsidRPr="00723DA9">
        <w:rPr>
          <w:rFonts w:ascii="Times New Roman" w:eastAsia="宋体" w:hAnsi="Times New Roman" w:cs="Times New Roman"/>
          <w:sz w:val="24"/>
          <w:szCs w:val="24"/>
        </w:rPr>
        <w:t xml:space="preserve"> ,</w:t>
      </w:r>
      <w:r w:rsidR="00EB4A18" w:rsidRPr="00723DA9">
        <w:rPr>
          <w:rFonts w:ascii="Times New Roman" w:eastAsia="宋体" w:hAnsi="Times New Roman" w:cs="Times New Roman"/>
          <w:sz w:val="24"/>
          <w:szCs w:val="24"/>
        </w:rPr>
        <w:tab/>
      </w:r>
      <w:r w:rsidR="00EB4A18" w:rsidRPr="00723DA9">
        <w:rPr>
          <w:rFonts w:ascii="Times New Roman" w:eastAsia="宋体" w:hAnsi="Times New Roman" w:cs="Times New Roman"/>
          <w:sz w:val="24"/>
          <w:szCs w:val="24"/>
        </w:rPr>
        <w:tab/>
      </w:r>
      <w:r w:rsidR="00EB4A18" w:rsidRPr="00723DA9">
        <w:rPr>
          <w:rFonts w:ascii="Times New Roman" w:eastAsia="宋体" w:hAnsi="Times New Roman" w:cs="Times New Roman"/>
          <w:sz w:val="24"/>
          <w:szCs w:val="24"/>
        </w:rPr>
        <w:tab/>
        <w:t>(</w:t>
      </w:r>
      <w:r w:rsidR="001B41DC">
        <w:rPr>
          <w:rFonts w:ascii="Times New Roman" w:eastAsia="宋体" w:hAnsi="Times New Roman" w:cs="Times New Roman"/>
          <w:sz w:val="24"/>
          <w:szCs w:val="24"/>
        </w:rPr>
        <w:t>2.</w:t>
      </w:r>
      <w:r w:rsidR="00EB4A18" w:rsidRPr="00723DA9">
        <w:rPr>
          <w:rFonts w:ascii="Times New Roman" w:eastAsia="宋体" w:hAnsi="Times New Roman" w:cs="Times New Roman"/>
          <w:sz w:val="24"/>
          <w:szCs w:val="24"/>
        </w:rPr>
        <w:t>3)</w:t>
      </w:r>
    </w:p>
    <w:p w14:paraId="6CF12B38" w14:textId="599B495B" w:rsidR="00EB4A18" w:rsidRPr="00723DA9" w:rsidRDefault="00EB4A18" w:rsidP="00771F99">
      <w:pPr>
        <w:spacing w:after="0" w:line="480" w:lineRule="auto"/>
        <w:rPr>
          <w:rFonts w:ascii="Times New Roman" w:eastAsia="Calibri" w:hAnsi="Times New Roman" w:cs="Times New Roman"/>
          <w:sz w:val="24"/>
          <w:szCs w:val="24"/>
        </w:rPr>
      </w:pPr>
      <w:r w:rsidRPr="00723DA9">
        <w:rPr>
          <w:rFonts w:ascii="Times New Roman" w:eastAsia="宋体" w:hAnsi="Times New Roman" w:cs="Times New Roman"/>
          <w:sz w:val="24"/>
          <w:szCs w:val="24"/>
        </w:rPr>
        <w:t xml:space="preserve">where </w:t>
      </w:r>
      <m:oMath>
        <m:sSup>
          <m:sSupPr>
            <m:ctrlPr>
              <w:rPr>
                <w:rFonts w:ascii="Cambria Math" w:eastAsia="宋体" w:hAnsi="Cambria Math" w:cs="Times New Roman"/>
                <w:i/>
                <w:sz w:val="24"/>
                <w:szCs w:val="24"/>
                <w:lang w:eastAsia="en-US"/>
              </w:rPr>
            </m:ctrlPr>
          </m:sSupPr>
          <m:e>
            <m:acc>
              <m:accPr>
                <m:chr m:val="̄"/>
                <m:ctrlPr>
                  <w:rPr>
                    <w:rFonts w:ascii="Cambria Math" w:eastAsia="宋体" w:hAnsi="Cambria Math" w:cs="Times New Roman"/>
                    <w:i/>
                    <w:sz w:val="24"/>
                    <w:szCs w:val="24"/>
                    <w:lang w:eastAsia="en-US"/>
                  </w:rPr>
                </m:ctrlPr>
              </m:accPr>
              <m:e>
                <m:r>
                  <m:rPr>
                    <m:sty m:val="bi"/>
                  </m:rPr>
                  <w:rPr>
                    <w:rFonts w:ascii="Cambria Math" w:eastAsia="宋体" w:hAnsi="Cambria Math" w:cs="Times New Roman"/>
                    <w:sz w:val="24"/>
                    <w:szCs w:val="24"/>
                    <w:lang w:eastAsia="en-US"/>
                  </w:rPr>
                  <m:t>x</m:t>
                </m:r>
              </m:e>
            </m:acc>
          </m:e>
          <m:sup>
            <m:r>
              <w:rPr>
                <w:rFonts w:ascii="Cambria Math" w:eastAsia="宋体" w:hAnsi="Cambria Math" w:cs="Times New Roman"/>
                <w:sz w:val="24"/>
                <w:szCs w:val="24"/>
                <w:lang w:eastAsia="en-US"/>
              </w:rPr>
              <m:t>a</m:t>
            </m:r>
          </m:sup>
        </m:sSup>
      </m:oMath>
      <w:r w:rsidRPr="00723DA9">
        <w:rPr>
          <w:rFonts w:ascii="Times New Roman" w:eastAsia="宋体" w:hAnsi="Times New Roman" w:cs="Times New Roman"/>
          <w:sz w:val="24"/>
          <w:szCs w:val="24"/>
        </w:rPr>
        <w:t xml:space="preserve"> denotes the updated ensemble mean location, </w:t>
      </w:r>
      <m:oMath>
        <m:sSup>
          <m:sSupPr>
            <m:ctrlPr>
              <w:rPr>
                <w:rFonts w:ascii="Cambria Math" w:eastAsia="宋体" w:hAnsi="Cambria Math" w:cs="Times New Roman"/>
                <w:i/>
                <w:sz w:val="24"/>
                <w:szCs w:val="24"/>
                <w:lang w:eastAsia="en-US"/>
              </w:rPr>
            </m:ctrlPr>
          </m:sSupPr>
          <m:e>
            <m:acc>
              <m:accPr>
                <m:chr m:val="̄"/>
                <m:ctrlPr>
                  <w:rPr>
                    <w:rFonts w:ascii="Cambria Math" w:eastAsia="宋体" w:hAnsi="Cambria Math" w:cs="Times New Roman"/>
                    <w:i/>
                    <w:sz w:val="24"/>
                    <w:szCs w:val="24"/>
                    <w:lang w:eastAsia="en-US"/>
                  </w:rPr>
                </m:ctrlPr>
              </m:accPr>
              <m:e>
                <m:r>
                  <m:rPr>
                    <m:sty m:val="bi"/>
                  </m:rPr>
                  <w:rPr>
                    <w:rFonts w:ascii="Cambria Math" w:eastAsia="宋体" w:hAnsi="Cambria Math" w:cs="Times New Roman"/>
                    <w:sz w:val="24"/>
                    <w:szCs w:val="24"/>
                    <w:lang w:eastAsia="en-US"/>
                  </w:rPr>
                  <m:t>x</m:t>
                </m:r>
              </m:e>
            </m:acc>
          </m:e>
          <m:sup>
            <m:r>
              <w:rPr>
                <w:rFonts w:ascii="Cambria Math" w:eastAsia="宋体" w:hAnsi="Cambria Math" w:cs="Times New Roman"/>
                <w:sz w:val="24"/>
                <w:szCs w:val="24"/>
                <w:lang w:eastAsia="en-US"/>
              </w:rPr>
              <m:t>b</m:t>
            </m:r>
          </m:sup>
        </m:sSup>
      </m:oMath>
      <w:r w:rsidRPr="00723DA9">
        <w:rPr>
          <w:rFonts w:ascii="Times New Roman" w:eastAsia="宋体" w:hAnsi="Times New Roman" w:cs="Times New Roman"/>
          <w:sz w:val="24"/>
          <w:szCs w:val="24"/>
        </w:rPr>
        <w:t xml:space="preserve"> is the mean of the first guess locations, and </w:t>
      </w:r>
      <w:r w:rsidRPr="00723DA9">
        <w:rPr>
          <w:rFonts w:ascii="Times New Roman" w:hAnsi="Times New Roman" w:cs="Times New Roman"/>
          <w:b/>
          <w:sz w:val="24"/>
          <w:szCs w:val="24"/>
        </w:rPr>
        <w:t>K</w:t>
      </w:r>
      <w:r w:rsidRPr="00723DA9">
        <w:rPr>
          <w:rFonts w:ascii="Times New Roman" w:hAnsi="Times New Roman" w:cs="Times New Roman"/>
          <w:sz w:val="24"/>
          <w:szCs w:val="24"/>
        </w:rPr>
        <w:t xml:space="preserve"> the traditional Kalman gain, which is computed as </w:t>
      </w:r>
      <m:oMath>
        <m:r>
          <m:rPr>
            <m:sty m:val="bi"/>
          </m:rPr>
          <w:rPr>
            <w:rFonts w:ascii="Cambria Math" w:eastAsia="Calibri" w:hAnsi="Cambria Math" w:cs="Times New Roman"/>
            <w:sz w:val="24"/>
            <w:szCs w:val="24"/>
            <w:lang w:eastAsia="en-US"/>
          </w:rPr>
          <m:t>K</m:t>
        </m:r>
        <m:r>
          <w:rPr>
            <w:rFonts w:ascii="Cambria Math" w:eastAsia="Calibri" w:hAnsi="Cambria Math" w:cs="Times New Roman"/>
            <w:sz w:val="24"/>
            <w:szCs w:val="24"/>
            <w:lang w:eastAsia="en-US"/>
          </w:rPr>
          <m:t>=</m:t>
        </m:r>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P</m:t>
            </m:r>
          </m:e>
          <m:sup>
            <m:r>
              <w:rPr>
                <w:rFonts w:ascii="Cambria Math" w:eastAsia="Calibri" w:hAnsi="Cambria Math" w:cs="Times New Roman"/>
                <w:sz w:val="24"/>
                <w:szCs w:val="24"/>
                <w:lang w:eastAsia="en-US"/>
              </w:rPr>
              <m:t>b</m:t>
            </m:r>
          </m:sup>
        </m:sSup>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H</m:t>
            </m:r>
          </m:e>
          <m:sup>
            <m:r>
              <w:rPr>
                <w:rFonts w:ascii="Cambria Math" w:eastAsia="Calibri" w:hAnsi="Cambria Math" w:cs="Times New Roman"/>
                <w:sz w:val="24"/>
                <w:szCs w:val="24"/>
                <w:lang w:eastAsia="en-US"/>
              </w:rPr>
              <m:t>T</m:t>
            </m:r>
          </m:sup>
        </m:sSup>
        <m:r>
          <w:rPr>
            <w:rFonts w:ascii="Cambria Math" w:eastAsia="Calibri" w:hAnsi="Cambria Math" w:cs="Times New Roman"/>
            <w:sz w:val="24"/>
            <w:szCs w:val="24"/>
            <w:lang w:eastAsia="en-US"/>
          </w:rPr>
          <m:t>(</m:t>
        </m:r>
        <m:r>
          <m:rPr>
            <m:sty m:val="bi"/>
          </m:rPr>
          <w:rPr>
            <w:rFonts w:ascii="Cambria Math" w:eastAsia="Calibri" w:hAnsi="Cambria Math" w:cs="Times New Roman"/>
            <w:sz w:val="24"/>
            <w:szCs w:val="24"/>
            <w:lang w:eastAsia="en-US"/>
          </w:rPr>
          <m:t>H</m:t>
        </m:r>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P</m:t>
            </m:r>
          </m:e>
          <m:sup>
            <m:r>
              <w:rPr>
                <w:rFonts w:ascii="Cambria Math" w:eastAsia="Calibri" w:hAnsi="Cambria Math" w:cs="Times New Roman"/>
                <w:sz w:val="24"/>
                <w:szCs w:val="24"/>
                <w:lang w:eastAsia="en-US"/>
              </w:rPr>
              <m:t>b</m:t>
            </m:r>
          </m:sup>
        </m:sSup>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H</m:t>
            </m:r>
          </m:e>
          <m:sup>
            <m:r>
              <w:rPr>
                <w:rFonts w:ascii="Cambria Math" w:eastAsia="Calibri" w:hAnsi="Cambria Math" w:cs="Times New Roman"/>
                <w:sz w:val="24"/>
                <w:szCs w:val="24"/>
                <w:lang w:eastAsia="en-US"/>
              </w:rPr>
              <m:t>T</m:t>
            </m:r>
          </m:sup>
        </m:sSup>
        <m:r>
          <w:rPr>
            <w:rFonts w:ascii="Cambria Math" w:eastAsia="Calibri" w:hAnsi="Cambria Math" w:cs="Times New Roman"/>
            <w:sz w:val="24"/>
            <w:szCs w:val="24"/>
            <w:lang w:eastAsia="en-US"/>
          </w:rPr>
          <m:t>+</m:t>
        </m:r>
        <m:r>
          <m:rPr>
            <m:sty m:val="bi"/>
          </m:rPr>
          <w:rPr>
            <w:rFonts w:ascii="Cambria Math" w:eastAsia="Calibri" w:hAnsi="Cambria Math" w:cs="Times New Roman"/>
            <w:sz w:val="24"/>
            <w:szCs w:val="24"/>
            <w:lang w:eastAsia="en-US"/>
          </w:rPr>
          <m:t>R</m:t>
        </m:r>
        <m:sSup>
          <m:sSupPr>
            <m:ctrlPr>
              <w:rPr>
                <w:rFonts w:ascii="Cambria Math" w:eastAsia="Calibri" w:hAnsi="Cambria Math" w:cs="Times New Roman"/>
                <w:i/>
                <w:sz w:val="24"/>
                <w:szCs w:val="24"/>
                <w:lang w:eastAsia="en-US"/>
              </w:rPr>
            </m:ctrlPr>
          </m:sSupPr>
          <m:e>
            <m:r>
              <w:rPr>
                <w:rFonts w:ascii="Cambria Math" w:eastAsia="Calibri" w:hAnsi="Cambria Math" w:cs="Times New Roman"/>
                <w:sz w:val="24"/>
                <w:szCs w:val="24"/>
                <w:lang w:eastAsia="en-US"/>
              </w:rPr>
              <m:t>)</m:t>
            </m:r>
          </m:e>
          <m:sup>
            <m:r>
              <m:rPr>
                <m:nor/>
              </m:rPr>
              <w:rPr>
                <w:rFonts w:ascii="Times New Roman" w:eastAsia="Calibri" w:hAnsi="Times New Roman" w:cs="Times New Roman"/>
                <w:sz w:val="24"/>
                <w:szCs w:val="24"/>
                <w:lang w:eastAsia="en-US"/>
              </w:rPr>
              <m:t>-1</m:t>
            </m:r>
            <m:ctrlPr>
              <w:rPr>
                <w:rFonts w:ascii="Cambria Math" w:eastAsia="Calibri" w:hAnsi="Cambria Math" w:cs="Times New Roman"/>
                <w:sz w:val="24"/>
                <w:szCs w:val="24"/>
                <w:lang w:eastAsia="en-US"/>
              </w:rPr>
            </m:ctrlPr>
          </m:sup>
        </m:sSup>
      </m:oMath>
      <w:r w:rsidRPr="00723DA9">
        <w:rPr>
          <w:rFonts w:ascii="Times New Roman" w:hAnsi="Times New Roman" w:cs="Times New Roman"/>
          <w:sz w:val="24"/>
          <w:szCs w:val="24"/>
        </w:rPr>
        <w:t>.  Note that eq. (</w:t>
      </w:r>
      <w:r w:rsidR="001B41DC">
        <w:rPr>
          <w:rFonts w:ascii="Times New Roman" w:hAnsi="Times New Roman" w:cs="Times New Roman"/>
          <w:sz w:val="24"/>
          <w:szCs w:val="24"/>
        </w:rPr>
        <w:t>2.</w:t>
      </w:r>
      <w:r w:rsidRPr="00723DA9">
        <w:rPr>
          <w:rFonts w:ascii="Times New Roman" w:hAnsi="Times New Roman" w:cs="Times New Roman"/>
          <w:sz w:val="24"/>
          <w:szCs w:val="24"/>
        </w:rPr>
        <w:t xml:space="preserve">3) is applied on a scalar system so </w:t>
      </w:r>
      <m:oMath>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P</m:t>
            </m:r>
          </m:e>
          <m:sup>
            <m:r>
              <w:rPr>
                <w:rFonts w:ascii="Cambria Math" w:eastAsia="Calibri" w:hAnsi="Cambria Math" w:cs="Times New Roman"/>
                <w:sz w:val="24"/>
                <w:szCs w:val="24"/>
                <w:lang w:eastAsia="en-US"/>
              </w:rPr>
              <m:t>b</m:t>
            </m:r>
          </m:sup>
        </m:sSup>
      </m:oMath>
      <w:r w:rsidRPr="00723DA9">
        <w:rPr>
          <w:rFonts w:ascii="Times New Roman" w:hAnsi="Times New Roman" w:cs="Times New Roman"/>
          <w:sz w:val="24"/>
          <w:szCs w:val="24"/>
        </w:rPr>
        <w:t xml:space="preserve"> is the location error variance estimated by </w:t>
      </w:r>
      <w:r w:rsidRPr="00723DA9">
        <w:rPr>
          <w:rFonts w:ascii="Times New Roman" w:hAnsi="Times New Roman" w:cs="Times New Roman"/>
          <w:sz w:val="24"/>
          <w:szCs w:val="24"/>
        </w:rPr>
        <w:lastRenderedPageBreak/>
        <w:t xml:space="preserve">the ensemble, </w:t>
      </w:r>
      <w:r w:rsidRPr="00723DA9">
        <w:rPr>
          <w:rFonts w:ascii="Times New Roman" w:hAnsi="Times New Roman" w:cs="Times New Roman"/>
          <w:b/>
          <w:sz w:val="24"/>
          <w:szCs w:val="24"/>
        </w:rPr>
        <w:t>H</w:t>
      </w:r>
      <w:r w:rsidRPr="00723DA9">
        <w:rPr>
          <w:rFonts w:ascii="Times New Roman" w:hAnsi="Times New Roman" w:cs="Times New Roman"/>
          <w:sz w:val="24"/>
          <w:szCs w:val="24"/>
        </w:rPr>
        <w:t xml:space="preserve"> is a unit operator because the background ensemble contains only positions of hurricanes, </w:t>
      </w:r>
      <w:r w:rsidRPr="00723DA9">
        <w:rPr>
          <w:rFonts w:ascii="Times New Roman" w:hAnsi="Times New Roman" w:cs="Times New Roman"/>
          <w:b/>
          <w:sz w:val="24"/>
          <w:szCs w:val="24"/>
        </w:rPr>
        <w:t>y</w:t>
      </w:r>
      <w:r w:rsidRPr="00723DA9">
        <w:rPr>
          <w:rFonts w:ascii="Times New Roman" w:hAnsi="Times New Roman" w:cs="Times New Roman"/>
          <w:sz w:val="24"/>
          <w:szCs w:val="24"/>
        </w:rPr>
        <w:t xml:space="preserve"> is the location observations obtained from TCVital, and </w:t>
      </w:r>
      <w:r w:rsidRPr="00723DA9">
        <w:rPr>
          <w:rFonts w:ascii="Times New Roman" w:hAnsi="Times New Roman" w:cs="Times New Roman"/>
          <w:b/>
          <w:sz w:val="24"/>
          <w:szCs w:val="24"/>
        </w:rPr>
        <w:t>R</w:t>
      </w:r>
      <w:r w:rsidRPr="00723DA9">
        <w:rPr>
          <w:rFonts w:ascii="Times New Roman" w:hAnsi="Times New Roman" w:cs="Times New Roman"/>
          <w:sz w:val="24"/>
          <w:szCs w:val="24"/>
        </w:rPr>
        <w:t xml:space="preserve"> is the error variance of the TCVital locations. The standard error of the TCVital locations is estimated to be 10-km in this study. This estimation is based on and adapted from</w:t>
      </w:r>
      <w:r w:rsidR="00C8781B" w:rsidRPr="00723DA9">
        <w:rPr>
          <w:rFonts w:ascii="Times New Roman" w:eastAsia="宋体" w:hAnsi="Times New Roman" w:cs="Times New Roman"/>
          <w:sz w:val="24"/>
          <w:szCs w:val="24"/>
        </w:rPr>
        <w:t xml:space="preserve"> </w:t>
      </w:r>
      <w:r w:rsidR="00C8781B" w:rsidRPr="00723DA9">
        <w:rPr>
          <w:rFonts w:ascii="Times New Roman" w:eastAsia="宋体" w:hAnsi="Times New Roman" w:cs="Times New Roman"/>
          <w:sz w:val="24"/>
          <w:szCs w:val="24"/>
        </w:rPr>
        <w:fldChar w:fldCharType="begin" w:fldLock="1"/>
      </w:r>
      <w:r w:rsidR="006A4AA3" w:rsidRPr="00723DA9">
        <w:rPr>
          <w:rFonts w:ascii="Times New Roman" w:eastAsia="宋体" w:hAnsi="Times New Roman" w:cs="Times New Roman"/>
          <w:sz w:val="24"/>
          <w:szCs w:val="24"/>
        </w:rPr>
        <w:instrText>ADDIN CSL_CITATION {"citationItems":[{"id":"ITEM-1","itemData":{"DOI":"10.1175/WAF-D-11-00063.1","ISSN":"0882-8156","author":[{"dropping-particle":"","family":"Trahan","given":"Sam","non-dropping-particle":"","parse-names":false,"suffix":""},{"dropping-particle":"","family":"Sparling","given":"Lynn","non-dropping-particle":"","parse-names":false,"suffix":""}],"container-title":"Weather and Forecasting","id":"ITEM-1","issue":"3","issued":{"date-parts":[["2012"]]},"page":"744-756","title":"An Analysis of NCEP Tropical Cyclone Vitals and Potential Effects on Forecasting Models","type":"article-journal","volume":"27"},"uris":["http://www.mendeley.com/documents/?uuid=53c99da2-40b3-4dec-b17f-4bc8f7bce211"]}],"mendeley":{"formattedCitation":"(Trahan and Sparling 2012)","manualFormatting":"Trahan and Sparling (2012)","plainTextFormattedCitation":"(Trahan and Sparling 2012)","previouslyFormattedCitation":"(Trahan and Sparling 2012)"},"properties":{"noteIndex":0},"schema":"https://github.com/citation-style-language/schema/raw/master/csl-citation.json"}</w:instrText>
      </w:r>
      <w:r w:rsidR="00C8781B" w:rsidRPr="00723DA9">
        <w:rPr>
          <w:rFonts w:ascii="Times New Roman" w:eastAsia="宋体" w:hAnsi="Times New Roman" w:cs="Times New Roman"/>
          <w:sz w:val="24"/>
          <w:szCs w:val="24"/>
        </w:rPr>
        <w:fldChar w:fldCharType="separate"/>
      </w:r>
      <w:r w:rsidR="00C8781B" w:rsidRPr="00723DA9">
        <w:rPr>
          <w:rFonts w:ascii="Times New Roman" w:eastAsia="宋体" w:hAnsi="Times New Roman" w:cs="Times New Roman"/>
          <w:noProof/>
          <w:sz w:val="24"/>
          <w:szCs w:val="24"/>
        </w:rPr>
        <w:t>Trahan and Sparling (2012)</w:t>
      </w:r>
      <w:r w:rsidR="00C8781B" w:rsidRPr="00723DA9">
        <w:rPr>
          <w:rFonts w:ascii="Times New Roman" w:eastAsia="宋体" w:hAnsi="Times New Roman" w:cs="Times New Roman"/>
          <w:sz w:val="24"/>
          <w:szCs w:val="24"/>
        </w:rPr>
        <w:fldChar w:fldCharType="end"/>
      </w:r>
      <w:r w:rsidRPr="00723DA9">
        <w:rPr>
          <w:rFonts w:ascii="Times New Roman" w:hAnsi="Times New Roman" w:cs="Times New Roman"/>
          <w:sz w:val="24"/>
          <w:szCs w:val="24"/>
        </w:rPr>
        <w:t xml:space="preserve">. </w:t>
      </w:r>
    </w:p>
    <w:p w14:paraId="7B13FB4D" w14:textId="77777777" w:rsidR="00EB4A18" w:rsidRPr="00723DA9" w:rsidRDefault="00EB4A18"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t xml:space="preserve">2) Update the location perturbations </w:t>
      </w:r>
    </w:p>
    <w:p w14:paraId="489CB1D5" w14:textId="5866AD78" w:rsidR="00EB4A18" w:rsidRPr="00723DA9" w:rsidRDefault="00C350DE" w:rsidP="00771F99">
      <w:pPr>
        <w:spacing w:after="0" w:line="480" w:lineRule="auto"/>
        <w:jc w:val="center"/>
        <w:rPr>
          <w:rFonts w:ascii="Times New Roman" w:hAnsi="Times New Roman" w:cs="Times New Roman"/>
          <w:sz w:val="24"/>
          <w:szCs w:val="24"/>
        </w:rPr>
      </w:pPr>
      <m:oMath>
        <m:sSubSup>
          <m:sSubSupPr>
            <m:ctrlPr>
              <w:rPr>
                <w:rFonts w:ascii="Cambria Math" w:eastAsia="Calibri" w:hAnsi="Cambria Math" w:cs="Times New Roman"/>
                <w:i/>
                <w:sz w:val="24"/>
                <w:szCs w:val="24"/>
                <w:lang w:eastAsia="en-US"/>
              </w:rPr>
            </m:ctrlPr>
          </m:sSubSupPr>
          <m:e>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x</m:t>
                </m:r>
              </m:e>
              <m:sup>
                <m:r>
                  <w:rPr>
                    <w:rFonts w:ascii="Cambria Math" w:eastAsia="Calibri" w:hAnsi="Cambria Math" w:cs="Times New Roman"/>
                    <w:sz w:val="24"/>
                    <w:szCs w:val="24"/>
                    <w:lang w:eastAsia="en-US"/>
                  </w:rPr>
                  <m:t>'</m:t>
                </m:r>
              </m:sup>
            </m:sSup>
          </m:e>
          <m:sub>
            <m:r>
              <w:rPr>
                <w:rFonts w:ascii="Cambria Math" w:eastAsia="Calibri" w:hAnsi="Cambria Math" w:cs="Times New Roman"/>
                <w:sz w:val="24"/>
                <w:szCs w:val="24"/>
                <w:lang w:eastAsia="en-US"/>
              </w:rPr>
              <m:t>k</m:t>
            </m:r>
          </m:sub>
          <m:sup>
            <m:r>
              <w:rPr>
                <w:rFonts w:ascii="Cambria Math" w:eastAsia="Calibri" w:hAnsi="Cambria Math" w:cs="Times New Roman"/>
                <w:sz w:val="24"/>
                <w:szCs w:val="24"/>
                <w:lang w:eastAsia="en-US"/>
              </w:rPr>
              <m:t>a</m:t>
            </m:r>
          </m:sup>
        </m:sSubSup>
        <m:r>
          <w:rPr>
            <w:rFonts w:ascii="Cambria Math" w:eastAsia="Calibri" w:hAnsi="Cambria Math" w:cs="Times New Roman"/>
            <w:sz w:val="24"/>
            <w:szCs w:val="24"/>
            <w:lang w:eastAsia="en-US"/>
          </w:rPr>
          <m:t>=(</m:t>
        </m:r>
        <m:r>
          <m:rPr>
            <m:sty m:val="bi"/>
          </m:rPr>
          <w:rPr>
            <w:rFonts w:ascii="Cambria Math" w:eastAsia="Calibri" w:hAnsi="Cambria Math" w:cs="Times New Roman"/>
            <w:sz w:val="24"/>
            <w:szCs w:val="24"/>
            <w:lang w:eastAsia="en-US"/>
          </w:rPr>
          <m:t>I</m:t>
        </m:r>
        <m:r>
          <w:rPr>
            <w:rFonts w:ascii="Cambria Math" w:eastAsia="Calibri" w:hAnsi="Cambria Math" w:cs="Times New Roman"/>
            <w:sz w:val="24"/>
            <w:szCs w:val="24"/>
            <w:lang w:eastAsia="en-US"/>
          </w:rPr>
          <m:t>-</m:t>
        </m:r>
        <m:acc>
          <m:accPr>
            <m:chr m:val="̃"/>
            <m:ctrlPr>
              <w:rPr>
                <w:rFonts w:ascii="Cambria Math" w:eastAsia="Calibri" w:hAnsi="Cambria Math" w:cs="Times New Roman"/>
                <w:i/>
                <w:sz w:val="24"/>
                <w:szCs w:val="24"/>
                <w:lang w:eastAsia="en-US"/>
              </w:rPr>
            </m:ctrlPr>
          </m:accPr>
          <m:e>
            <m:r>
              <m:rPr>
                <m:sty m:val="bi"/>
              </m:rPr>
              <w:rPr>
                <w:rFonts w:ascii="Cambria Math" w:eastAsia="Calibri" w:hAnsi="Cambria Math" w:cs="Times New Roman"/>
                <w:sz w:val="24"/>
                <w:szCs w:val="24"/>
                <w:lang w:eastAsia="en-US"/>
              </w:rPr>
              <m:t>K</m:t>
            </m:r>
          </m:e>
        </m:acc>
        <m:r>
          <m:rPr>
            <m:sty m:val="bi"/>
          </m:rPr>
          <w:rPr>
            <w:rFonts w:ascii="Cambria Math" w:eastAsia="Calibri" w:hAnsi="Cambria Math" w:cs="Times New Roman"/>
            <w:sz w:val="24"/>
            <w:szCs w:val="24"/>
            <w:lang w:eastAsia="en-US"/>
          </w:rPr>
          <m:t>H</m:t>
        </m:r>
        <m:r>
          <w:rPr>
            <w:rFonts w:ascii="Cambria Math" w:eastAsia="Calibri" w:hAnsi="Cambria Math" w:cs="Times New Roman"/>
            <w:sz w:val="24"/>
            <w:szCs w:val="24"/>
            <w:lang w:eastAsia="en-US"/>
          </w:rPr>
          <m:t>)</m:t>
        </m:r>
        <m:sSubSup>
          <m:sSubSupPr>
            <m:ctrlPr>
              <w:rPr>
                <w:rFonts w:ascii="Cambria Math" w:eastAsia="Calibri" w:hAnsi="Cambria Math" w:cs="Times New Roman"/>
                <w:i/>
                <w:sz w:val="24"/>
                <w:szCs w:val="24"/>
                <w:lang w:eastAsia="en-US"/>
              </w:rPr>
            </m:ctrlPr>
          </m:sSubSupPr>
          <m:e>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x</m:t>
                </m:r>
              </m:e>
              <m:sup>
                <m:r>
                  <w:rPr>
                    <w:rFonts w:ascii="Cambria Math" w:eastAsia="Calibri" w:hAnsi="Cambria Math" w:cs="Times New Roman"/>
                    <w:sz w:val="24"/>
                    <w:szCs w:val="24"/>
                    <w:lang w:eastAsia="en-US"/>
                  </w:rPr>
                  <m:t>'</m:t>
                </m:r>
              </m:sup>
            </m:sSup>
          </m:e>
          <m:sub>
            <m:r>
              <w:rPr>
                <w:rFonts w:ascii="Cambria Math" w:eastAsia="Calibri" w:hAnsi="Cambria Math" w:cs="Times New Roman"/>
                <w:sz w:val="24"/>
                <w:szCs w:val="24"/>
                <w:lang w:eastAsia="en-US"/>
              </w:rPr>
              <m:t>k</m:t>
            </m:r>
          </m:sub>
          <m:sup>
            <m:r>
              <w:rPr>
                <w:rFonts w:ascii="Cambria Math" w:eastAsia="Calibri" w:hAnsi="Cambria Math" w:cs="Times New Roman"/>
                <w:sz w:val="24"/>
                <w:szCs w:val="24"/>
                <w:lang w:eastAsia="en-US"/>
              </w:rPr>
              <m:t>b</m:t>
            </m:r>
          </m:sup>
        </m:sSubSup>
      </m:oMath>
      <w:r w:rsidR="00EB4A18" w:rsidRPr="00723DA9">
        <w:rPr>
          <w:rFonts w:ascii="Times New Roman" w:hAnsi="Times New Roman" w:cs="Times New Roman"/>
          <w:sz w:val="24"/>
          <w:szCs w:val="24"/>
        </w:rPr>
        <w:t xml:space="preserve">, </w:t>
      </w:r>
      <w:r w:rsidR="00EB4A18" w:rsidRPr="00723DA9">
        <w:rPr>
          <w:rFonts w:ascii="Times New Roman" w:hAnsi="Times New Roman" w:cs="Times New Roman"/>
          <w:sz w:val="24"/>
          <w:szCs w:val="24"/>
        </w:rPr>
        <w:tab/>
      </w:r>
      <w:r w:rsidR="00EB4A18" w:rsidRPr="00723DA9">
        <w:rPr>
          <w:rFonts w:ascii="Times New Roman" w:hAnsi="Times New Roman" w:cs="Times New Roman"/>
          <w:sz w:val="24"/>
          <w:szCs w:val="24"/>
        </w:rPr>
        <w:tab/>
      </w:r>
      <w:r w:rsidR="00EB4A18" w:rsidRPr="00723DA9">
        <w:rPr>
          <w:rFonts w:ascii="Times New Roman" w:hAnsi="Times New Roman" w:cs="Times New Roman"/>
          <w:sz w:val="24"/>
          <w:szCs w:val="24"/>
        </w:rPr>
        <w:tab/>
      </w:r>
      <w:r w:rsidR="00EB4A18" w:rsidRPr="00723DA9">
        <w:rPr>
          <w:rFonts w:ascii="Times New Roman" w:hAnsi="Times New Roman" w:cs="Times New Roman"/>
          <w:sz w:val="24"/>
          <w:szCs w:val="24"/>
        </w:rPr>
        <w:tab/>
        <w:t>(</w:t>
      </w:r>
      <w:r w:rsidR="001B41DC">
        <w:rPr>
          <w:rFonts w:ascii="Times New Roman" w:hAnsi="Times New Roman" w:cs="Times New Roman"/>
          <w:sz w:val="24"/>
          <w:szCs w:val="24"/>
        </w:rPr>
        <w:t>2.</w:t>
      </w:r>
      <w:r w:rsidR="00EB4A18" w:rsidRPr="00723DA9">
        <w:rPr>
          <w:rFonts w:ascii="Times New Roman" w:hAnsi="Times New Roman" w:cs="Times New Roman"/>
          <w:sz w:val="24"/>
          <w:szCs w:val="24"/>
        </w:rPr>
        <w:t>4)</w:t>
      </w:r>
    </w:p>
    <w:p w14:paraId="3E5F11C5" w14:textId="7B417344" w:rsidR="00EB4A18" w:rsidRPr="00723DA9" w:rsidRDefault="00EB4A18"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t xml:space="preserve">where </w:t>
      </w:r>
      <m:oMath>
        <m:acc>
          <m:accPr>
            <m:chr m:val="̃"/>
            <m:ctrlPr>
              <w:rPr>
                <w:rFonts w:ascii="Cambria Math" w:eastAsia="Calibri" w:hAnsi="Cambria Math" w:cs="Times New Roman"/>
                <w:i/>
                <w:lang w:eastAsia="en-US"/>
              </w:rPr>
            </m:ctrlPr>
          </m:accPr>
          <m:e>
            <m:r>
              <m:rPr>
                <m:sty m:val="bi"/>
              </m:rPr>
              <w:rPr>
                <w:rFonts w:ascii="Cambria Math" w:eastAsia="Calibri" w:hAnsi="Cambria Math" w:cs="Times New Roman"/>
                <w:lang w:eastAsia="en-US"/>
              </w:rPr>
              <m:t>K</m:t>
            </m:r>
          </m:e>
        </m:acc>
        <m:r>
          <w:rPr>
            <w:rFonts w:ascii="Cambria Math" w:eastAsia="Calibri" w:hAnsi="Cambria Math" w:cs="Times New Roman"/>
            <w:lang w:eastAsia="en-US"/>
          </w:rPr>
          <m:t>=</m:t>
        </m:r>
        <m:sSup>
          <m:sSupPr>
            <m:ctrlPr>
              <w:rPr>
                <w:rFonts w:ascii="Cambria Math" w:eastAsia="Calibri" w:hAnsi="Cambria Math" w:cs="Times New Roman"/>
                <w:i/>
                <w:lang w:eastAsia="en-US"/>
              </w:rPr>
            </m:ctrlPr>
          </m:sSupPr>
          <m:e>
            <m:d>
              <m:dPr>
                <m:ctrlPr>
                  <w:rPr>
                    <w:rFonts w:ascii="Cambria Math" w:eastAsia="Calibri" w:hAnsi="Cambria Math" w:cs="Times New Roman"/>
                    <w:i/>
                    <w:lang w:eastAsia="en-US"/>
                  </w:rPr>
                </m:ctrlPr>
              </m:dPr>
              <m:e>
                <m:r>
                  <w:rPr>
                    <w:rFonts w:ascii="Cambria Math" w:eastAsia="Calibri" w:hAnsi="Cambria Math" w:cs="Times New Roman"/>
                    <w:lang w:eastAsia="en-US"/>
                  </w:rPr>
                  <m:t>1+</m:t>
                </m:r>
                <m:rad>
                  <m:radPr>
                    <m:degHide m:val="1"/>
                    <m:ctrlPr>
                      <w:rPr>
                        <w:rFonts w:ascii="Cambria Math" w:eastAsia="Calibri" w:hAnsi="Cambria Math" w:cs="Times New Roman"/>
                        <w:i/>
                        <w:lang w:eastAsia="en-US"/>
                      </w:rPr>
                    </m:ctrlPr>
                  </m:radPr>
                  <m:deg/>
                  <m:e>
                    <m:f>
                      <m:fPr>
                        <m:ctrlPr>
                          <w:rPr>
                            <w:rFonts w:ascii="Cambria Math" w:eastAsia="Calibri" w:hAnsi="Cambria Math" w:cs="Times New Roman"/>
                            <w:i/>
                            <w:lang w:eastAsia="en-US"/>
                          </w:rPr>
                        </m:ctrlPr>
                      </m:fPr>
                      <m:num>
                        <m:r>
                          <m:rPr>
                            <m:sty m:val="bi"/>
                          </m:rPr>
                          <w:rPr>
                            <w:rFonts w:ascii="Cambria Math" w:eastAsia="Calibri" w:hAnsi="Cambria Math" w:cs="Times New Roman"/>
                            <w:lang w:eastAsia="en-US"/>
                          </w:rPr>
                          <m:t>R</m:t>
                        </m:r>
                      </m:num>
                      <m:den>
                        <m:r>
                          <m:rPr>
                            <m:sty m:val="bi"/>
                          </m:rPr>
                          <w:rPr>
                            <w:rFonts w:ascii="Cambria Math" w:eastAsia="Calibri" w:hAnsi="Cambria Math" w:cs="Times New Roman"/>
                            <w:lang w:eastAsia="en-US"/>
                          </w:rPr>
                          <m:t>H</m:t>
                        </m:r>
                        <m:sSup>
                          <m:sSupPr>
                            <m:ctrlPr>
                              <w:rPr>
                                <w:rFonts w:ascii="Cambria Math" w:eastAsia="Calibri" w:hAnsi="Cambria Math" w:cs="Times New Roman"/>
                                <w:i/>
                                <w:lang w:eastAsia="en-US"/>
                              </w:rPr>
                            </m:ctrlPr>
                          </m:sSupPr>
                          <m:e>
                            <m:r>
                              <m:rPr>
                                <m:sty m:val="bi"/>
                              </m:rPr>
                              <w:rPr>
                                <w:rFonts w:ascii="Cambria Math" w:eastAsia="Calibri" w:hAnsi="Cambria Math" w:cs="Times New Roman"/>
                                <w:lang w:eastAsia="en-US"/>
                              </w:rPr>
                              <m:t>P</m:t>
                            </m:r>
                          </m:e>
                          <m:sup>
                            <m:r>
                              <w:rPr>
                                <w:rFonts w:ascii="Cambria Math" w:eastAsia="Calibri" w:hAnsi="Cambria Math" w:cs="Times New Roman"/>
                                <w:lang w:eastAsia="en-US"/>
                              </w:rPr>
                              <m:t>b</m:t>
                            </m:r>
                          </m:sup>
                        </m:sSup>
                        <m:sSup>
                          <m:sSupPr>
                            <m:ctrlPr>
                              <w:rPr>
                                <w:rFonts w:ascii="Cambria Math" w:eastAsia="Calibri" w:hAnsi="Cambria Math" w:cs="Times New Roman"/>
                                <w:i/>
                                <w:lang w:eastAsia="en-US"/>
                              </w:rPr>
                            </m:ctrlPr>
                          </m:sSupPr>
                          <m:e>
                            <m:r>
                              <m:rPr>
                                <m:sty m:val="bi"/>
                              </m:rPr>
                              <w:rPr>
                                <w:rFonts w:ascii="Cambria Math" w:eastAsia="Calibri" w:hAnsi="Cambria Math" w:cs="Times New Roman"/>
                                <w:lang w:eastAsia="en-US"/>
                              </w:rPr>
                              <m:t>H</m:t>
                            </m:r>
                          </m:e>
                          <m:sup>
                            <m:r>
                              <w:rPr>
                                <w:rFonts w:ascii="Cambria Math" w:eastAsia="Calibri" w:hAnsi="Cambria Math" w:cs="Times New Roman"/>
                                <w:lang w:eastAsia="en-US"/>
                              </w:rPr>
                              <m:t>T</m:t>
                            </m:r>
                          </m:sup>
                        </m:sSup>
                        <m:r>
                          <w:rPr>
                            <w:rFonts w:ascii="Cambria Math" w:eastAsia="Calibri" w:hAnsi="Cambria Math" w:cs="Times New Roman"/>
                            <w:lang w:eastAsia="en-US"/>
                          </w:rPr>
                          <m:t>+</m:t>
                        </m:r>
                        <m:r>
                          <m:rPr>
                            <m:sty m:val="bi"/>
                          </m:rPr>
                          <w:rPr>
                            <w:rFonts w:ascii="Cambria Math" w:eastAsia="Calibri" w:hAnsi="Cambria Math" w:cs="Times New Roman"/>
                            <w:lang w:eastAsia="en-US"/>
                          </w:rPr>
                          <m:t>R</m:t>
                        </m:r>
                      </m:den>
                    </m:f>
                  </m:e>
                </m:rad>
              </m:e>
            </m:d>
          </m:e>
          <m:sup>
            <m:r>
              <w:rPr>
                <w:rFonts w:ascii="Cambria Math" w:eastAsia="Calibri" w:hAnsi="Cambria Math" w:cs="Times New Roman"/>
                <w:lang w:eastAsia="en-US"/>
              </w:rPr>
              <m:t>-1</m:t>
            </m:r>
          </m:sup>
        </m:sSup>
        <m:r>
          <m:rPr>
            <m:sty m:val="bi"/>
          </m:rPr>
          <w:rPr>
            <w:rFonts w:ascii="Cambria Math" w:eastAsia="Calibri" w:hAnsi="Cambria Math" w:cs="Times New Roman"/>
            <w:lang w:eastAsia="en-US"/>
          </w:rPr>
          <m:t>K</m:t>
        </m:r>
      </m:oMath>
      <w:r w:rsidR="00590E05" w:rsidRPr="00723DA9">
        <w:rPr>
          <w:rFonts w:ascii="Times New Roman" w:hAnsi="Times New Roman" w:cs="Times New Roman"/>
          <w:b/>
          <w:bCs/>
          <w:lang w:eastAsia="en-US"/>
        </w:rPr>
        <w:t xml:space="preserve"> </w:t>
      </w:r>
      <w:r w:rsidRPr="00723DA9">
        <w:rPr>
          <w:rFonts w:ascii="Times New Roman" w:hAnsi="Times New Roman" w:cs="Times New Roman"/>
          <w:sz w:val="24"/>
          <w:szCs w:val="24"/>
        </w:rPr>
        <w:t xml:space="preserve">denotes the reduced Kalman gain, </w:t>
      </w:r>
      <m:oMath>
        <m:r>
          <m:rPr>
            <m:sty m:val="bi"/>
          </m:rPr>
          <w:rPr>
            <w:rFonts w:ascii="Cambria Math" w:eastAsia="Calibri" w:hAnsi="Cambria Math" w:cs="Times New Roman"/>
            <w:sz w:val="24"/>
            <w:szCs w:val="24"/>
            <w:lang w:eastAsia="en-US"/>
          </w:rPr>
          <m:t>I</m:t>
        </m:r>
      </m:oMath>
      <w:r w:rsidR="00D67ACB"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is the identity matrix and </w:t>
      </w:r>
      <m:oMath>
        <m:sSubSup>
          <m:sSubSupPr>
            <m:ctrlPr>
              <w:rPr>
                <w:rFonts w:ascii="Cambria Math" w:eastAsia="Calibri" w:hAnsi="Cambria Math" w:cs="Times New Roman"/>
                <w:i/>
                <w:sz w:val="24"/>
                <w:szCs w:val="24"/>
                <w:lang w:eastAsia="en-US"/>
              </w:rPr>
            </m:ctrlPr>
          </m:sSubSupPr>
          <m:e>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x</m:t>
                </m:r>
              </m:e>
              <m:sup>
                <m:r>
                  <w:rPr>
                    <w:rFonts w:ascii="Cambria Math" w:eastAsia="Calibri" w:hAnsi="Cambria Math" w:cs="Times New Roman"/>
                    <w:sz w:val="24"/>
                    <w:szCs w:val="24"/>
                    <w:lang w:eastAsia="en-US"/>
                  </w:rPr>
                  <m:t>'</m:t>
                </m:r>
              </m:sup>
            </m:sSup>
          </m:e>
          <m:sub>
            <m:r>
              <w:rPr>
                <w:rFonts w:ascii="Cambria Math" w:eastAsia="Calibri" w:hAnsi="Cambria Math" w:cs="Times New Roman"/>
                <w:sz w:val="24"/>
                <w:szCs w:val="24"/>
                <w:lang w:eastAsia="en-US"/>
              </w:rPr>
              <m:t>k</m:t>
            </m:r>
          </m:sub>
          <m:sup>
            <m:r>
              <w:rPr>
                <w:rFonts w:ascii="Cambria Math" w:eastAsia="Calibri" w:hAnsi="Cambria Math" w:cs="Times New Roman"/>
                <w:sz w:val="24"/>
                <w:szCs w:val="24"/>
                <w:lang w:eastAsia="en-US"/>
              </w:rPr>
              <m:t>b</m:t>
            </m:r>
          </m:sup>
        </m:sSubSup>
      </m:oMath>
      <w:r w:rsidRPr="00723DA9">
        <w:rPr>
          <w:rFonts w:ascii="Times New Roman" w:hAnsi="Times New Roman" w:cs="Times New Roman"/>
          <w:sz w:val="24"/>
          <w:szCs w:val="24"/>
        </w:rPr>
        <w:t xml:space="preserve"> are the deviation of the k</w:t>
      </w:r>
      <w:proofErr w:type="spellStart"/>
      <w:r w:rsidRPr="00723DA9">
        <w:rPr>
          <w:rFonts w:ascii="Times New Roman" w:hAnsi="Times New Roman" w:cs="Times New Roman"/>
          <w:sz w:val="24"/>
          <w:szCs w:val="24"/>
          <w:vertAlign w:val="superscript"/>
        </w:rPr>
        <w:t>th</w:t>
      </w:r>
      <w:proofErr w:type="spellEnd"/>
      <w:r w:rsidRPr="00723DA9">
        <w:rPr>
          <w:rFonts w:ascii="Times New Roman" w:hAnsi="Times New Roman" w:cs="Times New Roman"/>
          <w:sz w:val="24"/>
          <w:szCs w:val="24"/>
        </w:rPr>
        <w:t xml:space="preserve"> first guess location from the mean location and </w:t>
      </w:r>
      <m:oMath>
        <m:sSubSup>
          <m:sSubSupPr>
            <m:ctrlPr>
              <w:rPr>
                <w:rFonts w:ascii="Cambria Math" w:eastAsia="Calibri" w:hAnsi="Cambria Math" w:cs="Times New Roman"/>
                <w:i/>
                <w:sz w:val="24"/>
                <w:szCs w:val="24"/>
                <w:lang w:eastAsia="en-US"/>
              </w:rPr>
            </m:ctrlPr>
          </m:sSubSupPr>
          <m:e>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x</m:t>
                </m:r>
              </m:e>
              <m:sup>
                <m:r>
                  <w:rPr>
                    <w:rFonts w:ascii="Cambria Math" w:eastAsia="Calibri" w:hAnsi="Cambria Math" w:cs="Times New Roman"/>
                    <w:sz w:val="24"/>
                    <w:szCs w:val="24"/>
                    <w:lang w:eastAsia="en-US"/>
                  </w:rPr>
                  <m:t>'</m:t>
                </m:r>
              </m:sup>
            </m:sSup>
          </m:e>
          <m:sub>
            <m:r>
              <w:rPr>
                <w:rFonts w:ascii="Cambria Math" w:eastAsia="Calibri" w:hAnsi="Cambria Math" w:cs="Times New Roman"/>
                <w:sz w:val="24"/>
                <w:szCs w:val="24"/>
                <w:lang w:eastAsia="en-US"/>
              </w:rPr>
              <m:t>k</m:t>
            </m:r>
          </m:sub>
          <m:sup>
            <m:r>
              <w:rPr>
                <w:rFonts w:ascii="Cambria Math" w:eastAsia="Calibri" w:hAnsi="Cambria Math" w:cs="Times New Roman"/>
                <w:sz w:val="24"/>
                <w:szCs w:val="24"/>
                <w:lang w:eastAsia="en-US"/>
              </w:rPr>
              <m:t>a</m:t>
            </m:r>
          </m:sup>
        </m:sSubSup>
      </m:oMath>
      <w:r w:rsidR="0012167E" w:rsidRPr="00723DA9">
        <w:rPr>
          <w:rFonts w:ascii="Times New Roman" w:hAnsi="Times New Roman" w:cs="Times New Roman"/>
          <w:sz w:val="24"/>
          <w:szCs w:val="24"/>
          <w:lang w:eastAsia="en-US"/>
        </w:rPr>
        <w:t xml:space="preserve"> </w:t>
      </w:r>
      <w:r w:rsidRPr="00723DA9">
        <w:rPr>
          <w:rFonts w:ascii="Times New Roman" w:hAnsi="Times New Roman" w:cs="Times New Roman"/>
          <w:sz w:val="24"/>
          <w:szCs w:val="24"/>
        </w:rPr>
        <w:t xml:space="preserve">is the corresponding updated location perturbation. </w:t>
      </w:r>
    </w:p>
    <w:p w14:paraId="603980CA" w14:textId="3509FC2D" w:rsidR="00EB4A18" w:rsidRPr="00723DA9" w:rsidRDefault="00EB4A18"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t>3) Combine eq. (</w:t>
      </w:r>
      <w:r w:rsidR="001B41DC">
        <w:rPr>
          <w:rFonts w:ascii="Times New Roman" w:hAnsi="Times New Roman" w:cs="Times New Roman"/>
          <w:sz w:val="24"/>
          <w:szCs w:val="24"/>
        </w:rPr>
        <w:t>2.</w:t>
      </w:r>
      <w:r w:rsidRPr="00723DA9">
        <w:rPr>
          <w:rFonts w:ascii="Times New Roman" w:hAnsi="Times New Roman" w:cs="Times New Roman"/>
          <w:sz w:val="24"/>
          <w:szCs w:val="24"/>
        </w:rPr>
        <w:t>3) and eq. (</w:t>
      </w:r>
      <w:r w:rsidR="001B41DC">
        <w:rPr>
          <w:rFonts w:ascii="Times New Roman" w:hAnsi="Times New Roman" w:cs="Times New Roman"/>
          <w:sz w:val="24"/>
          <w:szCs w:val="24"/>
        </w:rPr>
        <w:t>2.</w:t>
      </w:r>
      <w:r w:rsidRPr="00723DA9">
        <w:rPr>
          <w:rFonts w:ascii="Times New Roman" w:hAnsi="Times New Roman" w:cs="Times New Roman"/>
          <w:sz w:val="24"/>
          <w:szCs w:val="24"/>
        </w:rPr>
        <w:t xml:space="preserve">4) to get the updated ensemble of </w:t>
      </w:r>
      <w:r w:rsidRPr="00723DA9">
        <w:rPr>
          <w:rFonts w:ascii="Times New Roman" w:eastAsia="宋体" w:hAnsi="Times New Roman" w:cs="Times New Roman"/>
          <w:sz w:val="24"/>
          <w:szCs w:val="24"/>
        </w:rPr>
        <w:t>locations</w:t>
      </w:r>
      <w:r w:rsidRPr="00723DA9">
        <w:rPr>
          <w:rFonts w:ascii="Times New Roman" w:hAnsi="Times New Roman" w:cs="Times New Roman"/>
          <w:sz w:val="24"/>
          <w:szCs w:val="24"/>
        </w:rPr>
        <w:t>:</w:t>
      </w:r>
    </w:p>
    <w:p w14:paraId="190EB780" w14:textId="5E7A7B94" w:rsidR="00EB4A18" w:rsidRPr="00723DA9" w:rsidRDefault="00C350DE" w:rsidP="00771F99">
      <w:pPr>
        <w:spacing w:after="0" w:line="480" w:lineRule="auto"/>
        <w:ind w:firstLine="357"/>
        <w:jc w:val="center"/>
        <w:rPr>
          <w:rFonts w:ascii="Times New Roman" w:hAnsi="Times New Roman" w:cs="Times New Roman"/>
          <w:sz w:val="24"/>
          <w:szCs w:val="24"/>
        </w:rPr>
      </w:pPr>
      <m:oMath>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x</m:t>
            </m:r>
          </m:e>
          <m:sub>
            <m:r>
              <w:rPr>
                <w:rFonts w:ascii="Cambria Math" w:eastAsia="Calibri" w:hAnsi="Cambria Math" w:cs="Times New Roman"/>
                <w:sz w:val="24"/>
                <w:szCs w:val="24"/>
                <w:lang w:eastAsia="en-US"/>
              </w:rPr>
              <m:t>k</m:t>
            </m:r>
          </m:sub>
          <m:sup>
            <m:r>
              <w:rPr>
                <w:rFonts w:ascii="Cambria Math" w:eastAsia="Calibri" w:hAnsi="Cambria Math" w:cs="Times New Roman"/>
                <w:sz w:val="24"/>
                <w:szCs w:val="24"/>
                <w:lang w:eastAsia="en-US"/>
              </w:rPr>
              <m:t>a</m:t>
            </m:r>
          </m:sup>
        </m:sSubSup>
        <m:r>
          <w:rPr>
            <w:rFonts w:ascii="Cambria Math" w:eastAsia="Calibri" w:hAnsi="Cambria Math" w:cs="Times New Roman"/>
            <w:sz w:val="24"/>
            <w:szCs w:val="24"/>
            <w:lang w:eastAsia="en-US"/>
          </w:rPr>
          <m:t>=</m:t>
        </m:r>
        <m:sSup>
          <m:sSupPr>
            <m:ctrlPr>
              <w:rPr>
                <w:rFonts w:ascii="Cambria Math" w:eastAsia="Calibri" w:hAnsi="Cambria Math" w:cs="Times New Roman"/>
                <w:i/>
                <w:sz w:val="24"/>
                <w:szCs w:val="24"/>
                <w:lang w:eastAsia="en-US"/>
              </w:rPr>
            </m:ctrlPr>
          </m:sSupPr>
          <m:e>
            <m:acc>
              <m:accPr>
                <m:chr m:val="̄"/>
                <m:ctrlPr>
                  <w:rPr>
                    <w:rFonts w:ascii="Cambria Math" w:eastAsia="Calibri" w:hAnsi="Cambria Math" w:cs="Times New Roman"/>
                    <w:i/>
                    <w:sz w:val="24"/>
                    <w:szCs w:val="24"/>
                    <w:lang w:eastAsia="en-US"/>
                  </w:rPr>
                </m:ctrlPr>
              </m:accPr>
              <m:e>
                <m:r>
                  <m:rPr>
                    <m:sty m:val="bi"/>
                  </m:rPr>
                  <w:rPr>
                    <w:rFonts w:ascii="Cambria Math" w:eastAsia="Calibri" w:hAnsi="Cambria Math" w:cs="Times New Roman"/>
                    <w:sz w:val="24"/>
                    <w:szCs w:val="24"/>
                    <w:lang w:eastAsia="en-US"/>
                  </w:rPr>
                  <m:t>x</m:t>
                </m:r>
              </m:e>
            </m:acc>
          </m:e>
          <m:sup>
            <m:r>
              <w:rPr>
                <w:rFonts w:ascii="Cambria Math" w:eastAsia="Calibri" w:hAnsi="Cambria Math" w:cs="Times New Roman"/>
                <w:sz w:val="24"/>
                <w:szCs w:val="24"/>
                <w:lang w:eastAsia="en-US"/>
              </w:rPr>
              <m:t>a</m:t>
            </m:r>
          </m:sup>
        </m:sSup>
        <m:r>
          <w:rPr>
            <w:rFonts w:ascii="Cambria Math" w:eastAsia="Calibri" w:hAnsi="Cambria Math" w:cs="Times New Roman"/>
            <w:sz w:val="24"/>
            <w:szCs w:val="24"/>
            <w:lang w:eastAsia="en-US"/>
          </w:rPr>
          <m:t>+</m:t>
        </m:r>
        <m:sSubSup>
          <m:sSubSupPr>
            <m:ctrlPr>
              <w:rPr>
                <w:rFonts w:ascii="Cambria Math" w:eastAsia="Calibri" w:hAnsi="Cambria Math" w:cs="Times New Roman"/>
                <w:i/>
                <w:sz w:val="24"/>
                <w:szCs w:val="24"/>
                <w:lang w:eastAsia="en-US"/>
              </w:rPr>
            </m:ctrlPr>
          </m:sSubSupPr>
          <m:e>
            <m:sSup>
              <m:sSupPr>
                <m:ctrlPr>
                  <w:rPr>
                    <w:rFonts w:ascii="Cambria Math" w:eastAsia="Calibri" w:hAnsi="Cambria Math" w:cs="Times New Roman"/>
                    <w:i/>
                    <w:sz w:val="24"/>
                    <w:szCs w:val="24"/>
                    <w:lang w:eastAsia="en-US"/>
                  </w:rPr>
                </m:ctrlPr>
              </m:sSupPr>
              <m:e>
                <m:r>
                  <m:rPr>
                    <m:sty m:val="bi"/>
                  </m:rPr>
                  <w:rPr>
                    <w:rFonts w:ascii="Cambria Math" w:eastAsia="Calibri" w:hAnsi="Cambria Math" w:cs="Times New Roman"/>
                    <w:sz w:val="24"/>
                    <w:szCs w:val="24"/>
                    <w:lang w:eastAsia="en-US"/>
                  </w:rPr>
                  <m:t>x</m:t>
                </m:r>
              </m:e>
              <m:sup>
                <m:r>
                  <w:rPr>
                    <w:rFonts w:ascii="Cambria Math" w:eastAsia="Calibri" w:hAnsi="Cambria Math" w:cs="Times New Roman"/>
                    <w:sz w:val="24"/>
                    <w:szCs w:val="24"/>
                    <w:lang w:eastAsia="en-US"/>
                  </w:rPr>
                  <m:t>'</m:t>
                </m:r>
              </m:sup>
            </m:sSup>
          </m:e>
          <m:sub>
            <m:r>
              <w:rPr>
                <w:rFonts w:ascii="Cambria Math" w:eastAsia="Calibri" w:hAnsi="Cambria Math" w:cs="Times New Roman"/>
                <w:sz w:val="24"/>
                <w:szCs w:val="24"/>
                <w:lang w:eastAsia="en-US"/>
              </w:rPr>
              <m:t>k</m:t>
            </m:r>
          </m:sub>
          <m:sup>
            <m:r>
              <w:rPr>
                <w:rFonts w:ascii="Cambria Math" w:eastAsia="Calibri" w:hAnsi="Cambria Math" w:cs="Times New Roman"/>
                <w:sz w:val="24"/>
                <w:szCs w:val="24"/>
                <w:lang w:eastAsia="en-US"/>
              </w:rPr>
              <m:t>a</m:t>
            </m:r>
          </m:sup>
        </m:sSubSup>
      </m:oMath>
      <w:r w:rsidR="00EB4A18" w:rsidRPr="00723DA9">
        <w:rPr>
          <w:rFonts w:ascii="Times New Roman" w:hAnsi="Times New Roman" w:cs="Times New Roman"/>
          <w:sz w:val="24"/>
          <w:szCs w:val="24"/>
        </w:rPr>
        <w:tab/>
      </w:r>
      <w:r w:rsidR="00EB4A18" w:rsidRPr="00723DA9">
        <w:rPr>
          <w:rFonts w:ascii="Times New Roman" w:hAnsi="Times New Roman" w:cs="Times New Roman"/>
          <w:sz w:val="24"/>
          <w:szCs w:val="24"/>
        </w:rPr>
        <w:tab/>
      </w:r>
      <w:r w:rsidR="00EB4A18" w:rsidRPr="00723DA9">
        <w:rPr>
          <w:rFonts w:ascii="Times New Roman" w:hAnsi="Times New Roman" w:cs="Times New Roman"/>
          <w:sz w:val="24"/>
          <w:szCs w:val="24"/>
        </w:rPr>
        <w:tab/>
      </w:r>
      <w:r w:rsidR="00EB4A18" w:rsidRPr="00723DA9">
        <w:rPr>
          <w:rFonts w:ascii="Times New Roman" w:hAnsi="Times New Roman" w:cs="Times New Roman"/>
          <w:sz w:val="24"/>
          <w:szCs w:val="24"/>
        </w:rPr>
        <w:tab/>
        <w:t>(</w:t>
      </w:r>
      <w:r w:rsidR="001B41DC">
        <w:rPr>
          <w:rFonts w:ascii="Times New Roman" w:hAnsi="Times New Roman" w:cs="Times New Roman"/>
          <w:sz w:val="24"/>
          <w:szCs w:val="24"/>
        </w:rPr>
        <w:t>2.</w:t>
      </w:r>
      <w:r w:rsidR="00EB4A18" w:rsidRPr="00723DA9">
        <w:rPr>
          <w:rFonts w:ascii="Times New Roman" w:hAnsi="Times New Roman" w:cs="Times New Roman"/>
          <w:sz w:val="24"/>
          <w:szCs w:val="24"/>
        </w:rPr>
        <w:t>5)</w:t>
      </w:r>
    </w:p>
    <w:p w14:paraId="64A2757A" w14:textId="1DF04280" w:rsidR="00EB4A18" w:rsidRPr="00723DA9" w:rsidRDefault="00EB4A18"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t xml:space="preserve">where </w:t>
      </w:r>
      <m:oMath>
        <m:sSubSup>
          <m:sSubSupPr>
            <m:ctrlPr>
              <w:rPr>
                <w:rFonts w:ascii="Cambria Math" w:eastAsia="Calibri" w:hAnsi="Cambria Math" w:cs="Times New Roman"/>
                <w:i/>
                <w:sz w:val="24"/>
                <w:szCs w:val="24"/>
                <w:lang w:eastAsia="en-US"/>
              </w:rPr>
            </m:ctrlPr>
          </m:sSubSupPr>
          <m:e>
            <m:r>
              <m:rPr>
                <m:sty m:val="bi"/>
              </m:rPr>
              <w:rPr>
                <w:rFonts w:ascii="Cambria Math" w:eastAsia="Calibri" w:hAnsi="Cambria Math" w:cs="Times New Roman"/>
                <w:sz w:val="24"/>
                <w:szCs w:val="24"/>
                <w:lang w:eastAsia="en-US"/>
              </w:rPr>
              <m:t>x</m:t>
            </m:r>
          </m:e>
          <m:sub>
            <m:r>
              <w:rPr>
                <w:rFonts w:ascii="Cambria Math" w:eastAsia="Calibri" w:hAnsi="Cambria Math" w:cs="Times New Roman"/>
                <w:sz w:val="24"/>
                <w:szCs w:val="24"/>
                <w:lang w:eastAsia="en-US"/>
              </w:rPr>
              <m:t>k</m:t>
            </m:r>
          </m:sub>
          <m:sup>
            <m:r>
              <w:rPr>
                <w:rFonts w:ascii="Cambria Math" w:eastAsia="Calibri" w:hAnsi="Cambria Math" w:cs="Times New Roman"/>
                <w:sz w:val="24"/>
                <w:szCs w:val="24"/>
                <w:lang w:eastAsia="en-US"/>
              </w:rPr>
              <m:t>a</m:t>
            </m:r>
          </m:sup>
        </m:sSubSup>
      </m:oMath>
      <w:r w:rsidRPr="00723DA9">
        <w:rPr>
          <w:rFonts w:ascii="Times New Roman" w:hAnsi="Times New Roman" w:cs="Times New Roman"/>
          <w:sz w:val="24"/>
          <w:szCs w:val="24"/>
        </w:rPr>
        <w:t xml:space="preserve"> is the k</w:t>
      </w:r>
      <w:proofErr w:type="spellStart"/>
      <w:r w:rsidRPr="00723DA9">
        <w:rPr>
          <w:rFonts w:ascii="Times New Roman" w:hAnsi="Times New Roman" w:cs="Times New Roman"/>
          <w:sz w:val="24"/>
          <w:szCs w:val="24"/>
          <w:vertAlign w:val="superscript"/>
        </w:rPr>
        <w:t>th</w:t>
      </w:r>
      <w:proofErr w:type="spellEnd"/>
      <w:r w:rsidRPr="00723DA9">
        <w:rPr>
          <w:rFonts w:ascii="Times New Roman" w:hAnsi="Times New Roman" w:cs="Times New Roman"/>
          <w:sz w:val="24"/>
          <w:szCs w:val="24"/>
        </w:rPr>
        <w:t xml:space="preserve"> analyzed </w:t>
      </w:r>
      <w:proofErr w:type="gramStart"/>
      <w:r w:rsidRPr="00723DA9">
        <w:rPr>
          <w:rFonts w:ascii="Times New Roman" w:hAnsi="Times New Roman" w:cs="Times New Roman"/>
          <w:sz w:val="24"/>
          <w:szCs w:val="24"/>
        </w:rPr>
        <w:t>location.</w:t>
      </w:r>
      <w:proofErr w:type="gramEnd"/>
    </w:p>
    <w:p w14:paraId="5C0FA4C6" w14:textId="68F701D3" w:rsidR="006E1813" w:rsidRPr="00723DA9" w:rsidRDefault="00EB4A18" w:rsidP="00771F99">
      <w:pPr>
        <w:spacing w:after="0" w:line="480" w:lineRule="auto"/>
        <w:ind w:firstLine="357"/>
        <w:rPr>
          <w:rFonts w:ascii="Times New Roman" w:eastAsiaTheme="majorEastAsia" w:hAnsi="Times New Roman" w:cs="Times New Roman"/>
          <w:b/>
          <w:sz w:val="24"/>
          <w:szCs w:val="24"/>
        </w:rPr>
      </w:pPr>
      <w:r w:rsidRPr="00723DA9">
        <w:rPr>
          <w:rFonts w:ascii="Times New Roman" w:eastAsia="宋体" w:hAnsi="Times New Roman" w:cs="Times New Roman"/>
          <w:sz w:val="24"/>
          <w:szCs w:val="24"/>
        </w:rPr>
        <w:t xml:space="preserve">After the locations are determined, the following relocation procedures are modified based on the HWRF VR procedure </w:t>
      </w:r>
      <w:r w:rsidR="006A4AA3" w:rsidRPr="00723DA9">
        <w:rPr>
          <w:rFonts w:ascii="Times New Roman" w:eastAsia="宋体" w:hAnsi="Times New Roman" w:cs="Times New Roman"/>
          <w:sz w:val="24"/>
          <w:szCs w:val="24"/>
        </w:rPr>
        <w:fldChar w:fldCharType="begin" w:fldLock="1"/>
      </w:r>
      <w:r w:rsidR="006A4AA3" w:rsidRPr="00723DA9">
        <w:rPr>
          <w:rFonts w:ascii="Times New Roman" w:eastAsia="宋体" w:hAnsi="Times New Roman" w:cs="Times New Roman"/>
          <w:sz w:val="24"/>
          <w:szCs w:val="24"/>
        </w:rPr>
        <w:instrText>ADDIN CSL_CITATION {"citationItems":[{"id":"ITEM-1","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Note","id":"ITEM-1","issued":{"date-parts":[["2000"]]},"page":"472","title":"Improvements in Hurricane Initialization and Forecasting at NCEP with Global and Regional ( GFDL ) models","type":"paper-conference"},"uris":["http://www.mendeley.com/documents/?uuid=432c0949-751b-4f5a-b482-e8a093126d11"]},{"id":"ITEM-2","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Meteorology","id":"ITEM-2","issued":{"date-parts":[["2006"]]},"title":"Hurricane Relocation in Global Ensemble Forecast System","type":"paper-conference"},"uris":["http://www.mendeley.com/documents/?uuid=1a8cbd0a-b8d6-493d-9f17-38a64f3581ee"]},{"id":"ITEM-3","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Center","id":"ITEM-3","issued":{"date-parts":[["2014"]]},"number-of-pages":"1-81","title":"Hurricane Weather Research and Forecasting (HWRF) model: 2014 scientific documentation","type":"report"},"uris":["http://www.mendeley.com/documents/?uuid=f63fdf0a-d919-4d8f-8934-8c12eb353c91"]}],"mendeley":{"formattedCitation":"(Liu et al. 2000, 2006; Tallapragada et al. 2014)","plainTextFormattedCitation":"(Liu et al. 2000, 2006; Tallapragada et al. 2014)","previouslyFormattedCitation":"(Liu et al. 2000, 2006; Tallapragada et al. 2014)"},"properties":{"noteIndex":0},"schema":"https://github.com/citation-style-language/schema/raw/master/csl-citation.json"}</w:instrText>
      </w:r>
      <w:r w:rsidR="006A4AA3" w:rsidRPr="00723DA9">
        <w:rPr>
          <w:rFonts w:ascii="Times New Roman" w:eastAsia="宋体" w:hAnsi="Times New Roman" w:cs="Times New Roman"/>
          <w:sz w:val="24"/>
          <w:szCs w:val="24"/>
        </w:rPr>
        <w:fldChar w:fldCharType="separate"/>
      </w:r>
      <w:r w:rsidR="006A4AA3" w:rsidRPr="00723DA9">
        <w:rPr>
          <w:rFonts w:ascii="Times New Roman" w:eastAsia="宋体" w:hAnsi="Times New Roman" w:cs="Times New Roman"/>
          <w:noProof/>
          <w:sz w:val="24"/>
          <w:szCs w:val="24"/>
        </w:rPr>
        <w:t>(Liu et al. 2000, 2006; Tallapragada et al. 2014)</w:t>
      </w:r>
      <w:r w:rsidR="006A4AA3"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and are applied to relocate both the control and ensemble background.</w:t>
      </w:r>
      <w:r w:rsidR="006A4AA3"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w:t>
      </w:r>
      <w:r w:rsidRPr="00723DA9">
        <w:rPr>
          <w:rFonts w:ascii="Times New Roman" w:hAnsi="Times New Roman" w:cs="Times New Roman"/>
          <w:sz w:val="24"/>
          <w:szCs w:val="24"/>
        </w:rPr>
        <w:t>he HWRF forecast vortex is separated from its environment and placed in the location determined by either Eq. (</w:t>
      </w:r>
      <w:r w:rsidR="001B41DC">
        <w:rPr>
          <w:rFonts w:ascii="Times New Roman" w:hAnsi="Times New Roman" w:cs="Times New Roman"/>
          <w:sz w:val="24"/>
          <w:szCs w:val="24"/>
        </w:rPr>
        <w:t>2.</w:t>
      </w:r>
      <w:r w:rsidRPr="00723DA9">
        <w:rPr>
          <w:rFonts w:ascii="Times New Roman" w:hAnsi="Times New Roman" w:cs="Times New Roman"/>
          <w:sz w:val="24"/>
          <w:szCs w:val="24"/>
        </w:rPr>
        <w:t>3) or Eq. (</w:t>
      </w:r>
      <w:r w:rsidR="001B41DC">
        <w:rPr>
          <w:rFonts w:ascii="Times New Roman" w:hAnsi="Times New Roman" w:cs="Times New Roman"/>
          <w:sz w:val="24"/>
          <w:szCs w:val="24"/>
        </w:rPr>
        <w:t>2.</w:t>
      </w:r>
      <w:r w:rsidRPr="00723DA9">
        <w:rPr>
          <w:rFonts w:ascii="Times New Roman" w:hAnsi="Times New Roman" w:cs="Times New Roman"/>
          <w:sz w:val="24"/>
          <w:szCs w:val="24"/>
        </w:rPr>
        <w:t xml:space="preserve">5). </w:t>
      </w:r>
      <w:r w:rsidR="006A4AA3"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VM procedure is applied to the control vortices by adjusting the HWRF vortex size and intensity before putting it back into the HWRF environment. </w:t>
      </w:r>
      <w:r w:rsidR="006A4AA3" w:rsidRPr="00723DA9">
        <w:rPr>
          <w:rFonts w:ascii="Times New Roman" w:hAnsi="Times New Roman" w:cs="Times New Roman"/>
          <w:sz w:val="24"/>
          <w:szCs w:val="24"/>
        </w:rPr>
        <w:t xml:space="preserve"> </w:t>
      </w:r>
      <w:r w:rsidRPr="00723DA9">
        <w:rPr>
          <w:rFonts w:ascii="Times New Roman" w:hAnsi="Times New Roman" w:cs="Times New Roman"/>
          <w:sz w:val="24"/>
          <w:szCs w:val="24"/>
        </w:rPr>
        <w:t>Due to the incongruences between VM and inner core DA in updating the vortex size and intensity</w:t>
      </w:r>
      <w:r w:rsidR="006A4AA3" w:rsidRPr="00723DA9">
        <w:rPr>
          <w:rFonts w:ascii="Times New Roman" w:hAnsi="Times New Roman" w:cs="Times New Roman"/>
          <w:sz w:val="24"/>
          <w:szCs w:val="24"/>
        </w:rPr>
        <w:t xml:space="preserve"> </w:t>
      </w:r>
      <w:r w:rsidR="006A4AA3" w:rsidRPr="00723DA9">
        <w:rPr>
          <w:rFonts w:ascii="Times New Roman" w:hAnsi="Times New Roman" w:cs="Times New Roman"/>
          <w:sz w:val="24"/>
          <w:szCs w:val="24"/>
        </w:rPr>
        <w:fldChar w:fldCharType="begin" w:fldLock="1"/>
      </w:r>
      <w:r w:rsidR="00F66C78" w:rsidRPr="00723DA9">
        <w:rPr>
          <w:rFonts w:ascii="Times New Roman" w:hAnsi="Times New Roman" w:cs="Times New Roman"/>
          <w:sz w:val="24"/>
          <w:szCs w:val="24"/>
        </w:rPr>
        <w:instrText>ADDIN CSL_CITATION {"citationItems":[{"id":"ITEM-1","itemData":{"URL":"https://ams.confex.com/ams/95Annual/webprogram/Paper269008.html","accessed":{"date-parts":[["2017","11","19"]]},"author":[{"dropping-particle":"","family":"Zhou","given":"Chunhua","non-dropping-particle":"","parse-names":false,"suffix":""},{"dropping-particle":"","family":"Shao","given":"H.","non-dropping-particle":"","parse-names":false,"suffix":""},{"dropping-particle":"","family":"Bernardet","given":"L. R.","non-dropping-particle":"","parse-names":false,"suffix":""},{"dropping-particle":"","family":"M. Tong","given":"","non-dropping-particle":"","parse-names":false,"suffix":""},{"dropping-particle":"","family":"Tallapragada","given":"","non-dropping-particle":"V.","parse-names":false,"suffix":""}],"container-title":"95th AMS Annual","id":"ITEM-1","issued":{"date-parts":[["2015"]]},"title":"Regional Applications of the GSI-Hybrid Data Assimilation for High-Resolution Tropical Storm Forecasts (95th American Meteorological Society Annual Meeting)","type":"webpage"},"uris":["http://www.mendeley.com/documents/?uuid=d950c86f-cf87-3969-ac28-e4ed7b50776b"]}],"mendeley":{"formattedCitation":"(Zhou et al. 2015b)","plainTextFormattedCitation":"(Zhou et al. 2015b)","previouslyFormattedCitation":"(Zhou et al. 2015b)"},"properties":{"noteIndex":0},"schema":"https://github.com/citation-style-language/schema/raw/master/csl-citation.json"}</w:instrText>
      </w:r>
      <w:r w:rsidR="006A4AA3" w:rsidRPr="00723DA9">
        <w:rPr>
          <w:rFonts w:ascii="Times New Roman" w:hAnsi="Times New Roman" w:cs="Times New Roman"/>
          <w:sz w:val="24"/>
          <w:szCs w:val="24"/>
        </w:rPr>
        <w:fldChar w:fldCharType="separate"/>
      </w:r>
      <w:r w:rsidR="006A4AA3" w:rsidRPr="00723DA9">
        <w:rPr>
          <w:rFonts w:ascii="Times New Roman" w:hAnsi="Times New Roman" w:cs="Times New Roman"/>
          <w:noProof/>
          <w:sz w:val="24"/>
          <w:szCs w:val="24"/>
        </w:rPr>
        <w:t>(Zhou et al. 2015b)</w:t>
      </w:r>
      <w:r w:rsidR="006A4AA3" w:rsidRPr="00723DA9">
        <w:rPr>
          <w:rFonts w:ascii="Times New Roman" w:hAnsi="Times New Roman" w:cs="Times New Roman"/>
          <w:sz w:val="24"/>
          <w:szCs w:val="24"/>
        </w:rPr>
        <w:fldChar w:fldCharType="end"/>
      </w:r>
      <w:r w:rsidRPr="00723DA9">
        <w:rPr>
          <w:rFonts w:ascii="Times New Roman" w:hAnsi="Times New Roman" w:cs="Times New Roman"/>
          <w:sz w:val="24"/>
          <w:szCs w:val="24"/>
        </w:rPr>
        <w:t>, VM is only applied to the control background for the</w:t>
      </w:r>
      <w:r w:rsidRPr="00723DA9">
        <w:rPr>
          <w:rFonts w:ascii="Times New Roman" w:eastAsia="宋体" w:hAnsi="Times New Roman" w:cs="Times New Roman"/>
          <w:sz w:val="24"/>
          <w:szCs w:val="24"/>
        </w:rPr>
        <w:t xml:space="preserve"> DA cycles when no inner</w:t>
      </w:r>
      <w:r w:rsidR="00C61F50" w:rsidRPr="00723DA9">
        <w:rPr>
          <w:rFonts w:ascii="Times New Roman" w:eastAsia="宋体" w:hAnsi="Times New Roman" w:cs="Times New Roman"/>
          <w:sz w:val="24"/>
          <w:szCs w:val="24"/>
        </w:rPr>
        <w:t>-</w:t>
      </w:r>
      <w:r w:rsidRPr="00723DA9">
        <w:rPr>
          <w:rFonts w:ascii="Times New Roman" w:eastAsia="宋体" w:hAnsi="Times New Roman" w:cs="Times New Roman"/>
          <w:sz w:val="24"/>
          <w:szCs w:val="24"/>
        </w:rPr>
        <w:t>core</w:t>
      </w:r>
      <w:r w:rsidR="00C61F50" w:rsidRPr="00723DA9">
        <w:rPr>
          <w:rFonts w:ascii="Times New Roman" w:eastAsia="宋体" w:hAnsi="Times New Roman" w:cs="Times New Roman"/>
          <w:sz w:val="24"/>
          <w:szCs w:val="24"/>
        </w:rPr>
        <w:t xml:space="preserve"> observations</w:t>
      </w:r>
      <w:r w:rsidRPr="00723DA9">
        <w:rPr>
          <w:rFonts w:ascii="Times New Roman" w:eastAsia="宋体" w:hAnsi="Times New Roman" w:cs="Times New Roman"/>
          <w:sz w:val="24"/>
          <w:szCs w:val="24"/>
        </w:rPr>
        <w:t xml:space="preserve"> (e.g. TDR data) are available.</w:t>
      </w:r>
      <w:r w:rsidRPr="00723DA9">
        <w:rPr>
          <w:rFonts w:ascii="Times New Roman" w:hAnsi="Times New Roman" w:cs="Times New Roman"/>
          <w:sz w:val="24"/>
          <w:szCs w:val="24"/>
        </w:rPr>
        <w:t xml:space="preserve"> </w:t>
      </w:r>
      <w:r w:rsidR="006E1813" w:rsidRPr="00723DA9">
        <w:rPr>
          <w:rFonts w:ascii="Times New Roman" w:hAnsi="Times New Roman" w:cs="Times New Roman"/>
          <w:b/>
          <w:sz w:val="24"/>
          <w:szCs w:val="24"/>
        </w:rPr>
        <w:br w:type="page"/>
      </w:r>
    </w:p>
    <w:p w14:paraId="2134DA5A" w14:textId="26D91120" w:rsidR="008B33D8" w:rsidRPr="00723DA9" w:rsidRDefault="00E22E12" w:rsidP="004D6806">
      <w:pPr>
        <w:pStyle w:val="Heading1"/>
        <w:spacing w:before="0" w:after="240" w:line="480" w:lineRule="auto"/>
        <w:rPr>
          <w:rFonts w:ascii="Times New Roman" w:hAnsi="Times New Roman" w:cs="Times New Roman"/>
          <w:b/>
          <w:color w:val="auto"/>
          <w:sz w:val="24"/>
          <w:szCs w:val="24"/>
        </w:rPr>
      </w:pPr>
      <w:bookmarkStart w:id="20" w:name="_Toc21623979"/>
      <w:r w:rsidRPr="00723DA9">
        <w:rPr>
          <w:rFonts w:ascii="Times New Roman" w:hAnsi="Times New Roman" w:cs="Times New Roman"/>
          <w:b/>
          <w:color w:val="auto"/>
          <w:sz w:val="24"/>
          <w:szCs w:val="24"/>
        </w:rPr>
        <w:lastRenderedPageBreak/>
        <w:t>Chapter</w:t>
      </w:r>
      <w:r w:rsidR="008B33D8" w:rsidRPr="00723DA9">
        <w:rPr>
          <w:rFonts w:ascii="Times New Roman" w:hAnsi="Times New Roman" w:cs="Times New Roman"/>
          <w:b/>
          <w:color w:val="auto"/>
          <w:sz w:val="24"/>
          <w:szCs w:val="24"/>
        </w:rPr>
        <w:t xml:space="preserve"> </w:t>
      </w:r>
      <w:r w:rsidR="003952A5" w:rsidRPr="00723DA9">
        <w:rPr>
          <w:rFonts w:ascii="Times New Roman" w:hAnsi="Times New Roman" w:cs="Times New Roman"/>
          <w:b/>
          <w:color w:val="auto"/>
          <w:sz w:val="24"/>
          <w:szCs w:val="24"/>
        </w:rPr>
        <w:t>3</w:t>
      </w:r>
      <w:r w:rsidR="008B33D8" w:rsidRPr="00723DA9">
        <w:rPr>
          <w:rFonts w:ascii="Times New Roman" w:hAnsi="Times New Roman" w:cs="Times New Roman"/>
          <w:b/>
          <w:color w:val="auto"/>
          <w:sz w:val="24"/>
          <w:szCs w:val="24"/>
        </w:rPr>
        <w:t>: GSI-Based, Continuously Cycled, Dual</w:t>
      </w:r>
      <w:r w:rsidR="00DB4CC3" w:rsidRPr="00723DA9">
        <w:rPr>
          <w:rFonts w:ascii="Times New Roman" w:hAnsi="Times New Roman" w:cs="Times New Roman"/>
          <w:b/>
          <w:color w:val="auto"/>
          <w:sz w:val="24"/>
          <w:szCs w:val="24"/>
        </w:rPr>
        <w:t>-</w:t>
      </w:r>
      <w:r w:rsidR="008B33D8" w:rsidRPr="00723DA9">
        <w:rPr>
          <w:rFonts w:ascii="Times New Roman" w:hAnsi="Times New Roman" w:cs="Times New Roman"/>
          <w:b/>
          <w:color w:val="auto"/>
          <w:sz w:val="24"/>
          <w:szCs w:val="24"/>
        </w:rPr>
        <w:t>Resolution Hybrid Ensemble–Variational Data Assimilation System for HWRF: Experiments with Edouard (2014)</w:t>
      </w:r>
      <w:bookmarkEnd w:id="20"/>
    </w:p>
    <w:p w14:paraId="6CDD4F80" w14:textId="5EE0349C" w:rsidR="00635555" w:rsidRPr="00723DA9" w:rsidRDefault="00635555" w:rsidP="006562DB">
      <w:pPr>
        <w:pStyle w:val="Heading2"/>
        <w:numPr>
          <w:ilvl w:val="1"/>
          <w:numId w:val="18"/>
        </w:numPr>
        <w:spacing w:line="480" w:lineRule="auto"/>
        <w:ind w:left="0" w:firstLine="0"/>
        <w:rPr>
          <w:rFonts w:ascii="Times New Roman" w:hAnsi="Times New Roman" w:cs="Times New Roman"/>
          <w:b/>
          <w:color w:val="auto"/>
          <w:sz w:val="24"/>
          <w:szCs w:val="24"/>
        </w:rPr>
      </w:pPr>
      <w:bookmarkStart w:id="21" w:name="_Toc21623980"/>
      <w:r w:rsidRPr="00723DA9">
        <w:rPr>
          <w:rFonts w:ascii="Times New Roman" w:hAnsi="Times New Roman" w:cs="Times New Roman"/>
          <w:b/>
          <w:color w:val="auto"/>
          <w:sz w:val="24"/>
          <w:szCs w:val="24"/>
        </w:rPr>
        <w:t>Introduction</w:t>
      </w:r>
      <w:bookmarkEnd w:id="21"/>
      <w:r w:rsidRPr="00723DA9">
        <w:rPr>
          <w:rFonts w:ascii="Times New Roman" w:hAnsi="Times New Roman" w:cs="Times New Roman"/>
          <w:b/>
          <w:color w:val="auto"/>
          <w:sz w:val="24"/>
          <w:szCs w:val="24"/>
        </w:rPr>
        <w:t xml:space="preserve"> </w:t>
      </w:r>
    </w:p>
    <w:p w14:paraId="7F0D27F0" w14:textId="6C34CC41" w:rsidR="001D3D46"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An accurate estimation of the background error covariance is required to effectively assimilate observations to initialize numerical predictions of TC</w:t>
      </w:r>
      <w:r w:rsidR="000416ED">
        <w:rPr>
          <w:rFonts w:ascii="Times New Roman" w:hAnsi="Times New Roman" w:cs="Times New Roman"/>
          <w:sz w:val="24"/>
          <w:szCs w:val="24"/>
        </w:rPr>
        <w:t>s</w:t>
      </w:r>
      <w:r w:rsidRPr="00723DA9">
        <w:rPr>
          <w:rFonts w:ascii="Times New Roman" w:hAnsi="Times New Roman" w:cs="Times New Roman"/>
          <w:sz w:val="24"/>
          <w:szCs w:val="24"/>
        </w:rPr>
        <w:t xml:space="preserve">.  Early studies have </w:t>
      </w:r>
      <w:r w:rsidR="00224DC8" w:rsidRPr="00723DA9">
        <w:rPr>
          <w:rFonts w:ascii="Times New Roman" w:hAnsi="Times New Roman" w:cs="Times New Roman"/>
          <w:sz w:val="24"/>
          <w:szCs w:val="24"/>
        </w:rPr>
        <w:t>suggested that</w:t>
      </w:r>
      <w:r w:rsidRPr="00723DA9">
        <w:rPr>
          <w:rFonts w:ascii="Times New Roman" w:hAnsi="Times New Roman" w:cs="Times New Roman"/>
          <w:sz w:val="24"/>
          <w:szCs w:val="24"/>
        </w:rPr>
        <w:t xml:space="preserve"> the </w:t>
      </w:r>
      <w:r w:rsidR="00957E2B" w:rsidRPr="00723DA9">
        <w:rPr>
          <w:rFonts w:ascii="Times New Roman" w:hAnsi="Times New Roman" w:cs="Times New Roman"/>
          <w:sz w:val="24"/>
          <w:szCs w:val="24"/>
        </w:rPr>
        <w:t xml:space="preserve">ensemble-based error covariance can be </w:t>
      </w:r>
      <w:r w:rsidR="00A4398B">
        <w:rPr>
          <w:rFonts w:ascii="Times New Roman" w:hAnsi="Times New Roman" w:cs="Times New Roman"/>
          <w:sz w:val="24"/>
          <w:szCs w:val="24"/>
        </w:rPr>
        <w:t>promising</w:t>
      </w:r>
      <w:r w:rsidRPr="00723DA9">
        <w:rPr>
          <w:rFonts w:ascii="Times New Roman" w:hAnsi="Times New Roman" w:cs="Times New Roman"/>
          <w:sz w:val="24"/>
          <w:szCs w:val="24"/>
        </w:rPr>
        <w:t xml:space="preserve"> for TC DA </w:t>
      </w:r>
      <w:r w:rsidR="005E3B49" w:rsidRPr="00723DA9">
        <w:rPr>
          <w:rFonts w:ascii="Times New Roman" w:hAnsi="Times New Roman" w:cs="Times New Roman"/>
          <w:sz w:val="24"/>
          <w:szCs w:val="24"/>
        </w:rPr>
        <w:fldChar w:fldCharType="begin" w:fldLock="1"/>
      </w:r>
      <w:r w:rsidR="00C82E72" w:rsidRPr="00723DA9">
        <w:rPr>
          <w:rFonts w:ascii="Times New Roman" w:hAnsi="Times New Roman" w:cs="Times New Roman"/>
          <w:sz w:val="24"/>
          <w:szCs w:val="24"/>
        </w:rPr>
        <w:instrText>ADDIN CSL_CITATION {"citationItems":[{"id":"ITEM-1","itemData":{"DOI":"10.1175/2009MWR2645.1","abstract":"This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 Wea. Rev.","id":"ITEM-1","issued":{"date-parts":[["2009"]]},"page":"2105-2125","title":"Cloud-Resolving Hurricane Initialization and Prediction through Assimilation of Doppler Radar Observations with an Ensemble Kalman Filter","type":"article-journal","volume":"137"},"uris":["http://www.mendeley.com/documents/?uuid=6d5295a0-779e-3cf3-99f1-15e6431eea78"]},{"id":"ITEM-2","itemData":{"DOI":"10.1175/2010MWR3361.1","abstract":"An ensemble Kalman filter (EnKF) combined with the Advanced Research Weather Research and Forecasting model (ARW-WRF; hereafter WRF) on a 36-km Atlantic basin domain is cycled over six different time periods that include the 10 tropical cyclones (TCs) selected for the NOAA High-Resolution Hurricane (HRH) test. The analysis ensemble is generated every 6 h by assimilating conventional in situ observations, synoptic dropsondes, and TC advisory position and minimum sea level pressure (SLP) data. On average, observation assimilation leads to smaller TC position errors in the analysis compared to the 6-h forecast; however, the same is true for TC minimum SLP only for tropical depressions and storms. Over the 69 HRH initialization times, TC track forecasts from a single member of the WRF EnKF ensemble has 12 h less skill compared to other operational models; the increased track error partially results from the WRF EnKF analysis having a stronger Atlantic subtropical ridge. For nonmajor TCs, the WRF EnKF forecast has lower TC minimum SLP and maximum wind speed errors compared to some operational models, particularly the GFDL model, while category-3,-4, and-5 TCs are characterized by large biases due to horizontal resolution. WRF forecasts initialized from an EnKF analysis have similar or smaller TC track, intensity, and 34-kt wind radii errors relative to those initialized from two other operational analyses, which suggests that EnKF assimilation produces the best TC forecasts for this domain. Both TC track and intensity forecasts are deficient in ensemble variance, which is at least partially due to the lack of error growth in dynamical fields and model biases.","author":[{"dropping-particle":"","family":"Torn","given":"Ryan D","non-dropping-particle":"","parse-names":false,"suffix":""}],"container-title":"Mon. Wea. Rev. ","id":"ITEM-2","issued":{"date-parts":[["2010"]]},"page":"4375-4392","title":"Performance of a Mesoscale Ensemble Kalman Filter (EnKF) during the NOAA High-Resolution Hurricane Test","type":"article-journal","volume":"138"},"uris":["http://www.mendeley.com/documents/?uuid=e443ab41-a1cd-3a03-8ce8-bf5efc596534"]},{"id":"ITEM-3","itemData":{"DOI":"10.1002/qj.751","ISBN":"00359009","ISSN":"00359009","abstract":"The Central European limited-area ensemble forecasting system ALADIN-LAEF (Aire Limitée Adaptation Dynamique Développement InterNational—Limited-Area Ensemble Forecasting) has been developed within the framework of ALADIN international cooperation and the Regional Cooperation for Limited-Area modelling in Central Europe (RC LACE). It was put into pre-operation in March 2007. The main feature of the pre-operational ALADIN-LAEF was the dynamical downscaling of the global ensemble forecast from the European Centre for Medium-range Weather Forecasts (ECMWF). In 2009, ALADIN-LAEF was upgraded with several methods for dealing with the forecast uncertainties to improve the forecast quality. These are: (1) the blending method, which combines the large-scale uncertainty generated by ECMWF singular vectors with the small-scale perturbations resolved by ALADIN breeding into atmospheric initial condition perturbations; (2) the multi-physics approach, wherein different physics schemes are used for different forecast members to account for model uncertainties; and (3) the non-cycling surface breeding technique, which generates surface initial condition perturbations.This article illustrates the technical details of the updated ALADIN-LAEF and investigates its performance. Detailed verification of the upgraded ALADIN-LAEF and a comparison with its first implementation (dynamical downscaling of ECMWF ensemble forecasts) are presented for a two-month period in summer 2007. The results show better performance and skill for the upgraded system due to the better representation of forecast uncertainties. Copyright © 2011 Royal Meteorological Society","author":[{"dropping-particle":"","family":"Wang","given":"Yong","non-dropping-particle":"","parse-names":false,"suffix":""},{"dropping-particle":"","family":"Bellus","given":"Martin","non-dropping-particle":"","parse-names":false,"suffix":""},{"dropping-particle":"","family":"Wittmann","given":"Christoph","non-dropping-particle":"","parse-names":false,"suffix":""},{"dropping-particle":"","family":"Steinheimer","given":"Martin","non-dropping-particle":"","parse-names":false,"suffix":""},{"dropping-particle":"","family":"Weidle","given":"Florian","non-dropping-particle":"","parse-names":false,"suffix":""},{"dropping-particle":"","family":"Kann","given":"Alexander","non-dropping-particle":"","parse-names":false,"suffix":""},{"dropping-particle":"","family":"Ivatek-Šahdan","given":"Stjepan","non-dropping-particle":"","parse-names":false,"suffix":""},{"dropping-particle":"","family":"Tian","given":"Weihong","non-dropping-particle":"","parse-names":false,"suffix":""},{"dropping-particle":"","family":"Ma","given":"Xulin","non-dropping-particle":"","parse-names":false,"suffix":""},{"dropping-particle":"","family":"Tascu","given":"Simona","non-dropping-particle":"","parse-names":false,"suffix":""},{"dropping-particle":"","family":"Bazile","given":"Eric","non-dropping-particle":"","parse-names":false,"suffix":""}],"container-title":"Quarterly Journal of the Royal Meteorological Society","id":"ITEM-3","issue":"655","issued":{"date-parts":[["2011"]]},"page":"483-502","title":"The Central European limited-area ensemble forecasting system: ALADIN-LAEF","type":"article-journal","volume":"137"},"uris":["http://www.mendeley.com/documents/?uuid=c739ce92-fba5-446b-807d-1b117b84cc20"]},{"id":"ITEM-4","itemData":{"DOI":"10.1175/MWR-D-12-00043.1","ISSN":"0027-0644","author":[{"dropping-particle":"","family":"Li","given":"Yongzuo","non-dropping-particle":"","parse-names":false,"suffix":""},{"dropping-particle":"","family":"Wang","given":"Xuguang","non-dropping-particle":"","parse-names":false,"suffix":""},{"dropping-particle":"","family":"Xue","given":"Ming","non-dropping-particle":"","parse-names":false,"suffix":""}],"container-title":"Monthly Weather Review","id":"ITEM-4","issued":{"date-parts":[["2012"]]},"page":"3507-3524","title":"Assimilation of Radar Radial Velocity Data with the WRF Hybrid Ensemble-3DVAR System for the Prediction of Hurricane Ike (2008)","type":"article-journal","volume":"140"},"uris":["http://www.mendeley.com/documents/?uuid=25af83c9-af9b-491a-9dcc-6d65193ee01f"]},{"id":"ITEM-5","itemData":{"DOI":"10.1175/2011MWR3602.1","ISBN":"0027-0644","ISSN":"0027-0644","abstract":"Through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Review","id":"ITEM-5","issue":"3","issued":{"date-parts":[["2012"]]},"page":"841-859","title":"Assimilating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-6","itemData":{"DOI":"10.1175/MWR-D-13-00028.1","ISSN":"0027-0644","author":[{"dropping-particle":"","family":"Schwartz","given":"Craig S.","non-dropping-particle":"","parse-names":false,"suffix":""},{"dropping-particle":"","family":"Liu","given":"Zhiquan","non-dropping-particle":"","parse-names":false,"suffix":""},{"dropping-particle":"","family":"Huang","given":"Xiang-Yu","non-dropping-particle":"","parse-names":false,"suffix":""},{"dropping-particle":"","family":"Kuo","given":"Ying-Hwa","non-dropping-particle":"","parse-names":false,"suffix":""},{"dropping-particle":"","family":"Fong","given":"Chin-Tzu","non-dropping-particle":"","parse-names":false,"suffix":""}],"container-title":"Monthly Weather Review","id":"ITEM-6","issue":"12","issued":{"date-parts":[["2013"]]},"page":"4350-4372","title":"Comparing Limited-Area 3DVAR and Hybrid Variational-Ensemble Data Assimilation Methods for Typhoon Track Forecasts: Sensitivity to Outer Loops and Vortex Relocation","type":"article-journal","volume":"141"},"uris":["http://www.mendeley.com/documents/?uuid=fa751570-18c1-4905-9093-c6007a890181"]},{"id":"ITEM-7","itemData":{"DOI":"10.1175/MWR-D-14-00259.1","ISBN":"8610829952","ISSN":"0027-0644","author":[{"dropping-particle":"","family":"Schwartz","given":"Craig S.","non-dropping-particle":"","parse-names":false,"suffix":""},{"dropping-particle":"","family":"Liu","given":"Zhiquan","non-dropping-particle":"","parse-names":false,"suffix":""},{"dropping-particle":"","family":"Huang","given":"Xiang-Yu","non-dropping-particle":"","parse-names":false,"suffix":""}],"container-title":"Monthly Weather Review","id":"ITEM-7","issue":"9","issued":{"date-parts":[["2015"]]},"page":"3454-3477","title":"Sensitivity of Limited-Area Hybrid Variational-Ensemble Analyses and Forecasts to Ensemble Perturbation Resolution","type":"article-journal","volume":"143"},"uris":["http://www.mendeley.com/documents/?uuid=b31c8d34-e35d-4c85-a5a3-e8287f01f4c9"]},{"id":"ITEM-8","itemData":{"DOI":"10.1175/JAS-D-13-0291.1","abstract":"The genesis of Hurricane Karl (2010) is explored using analyses and forecasts from a cycling ensemble Kalman filter (EnKF) that assimilates routinely collected observations as well as dropsonde measurements that were taken during the Pre-Depression Investigation of Cloud Systems in the Tropics (PREDICT) field campaign. A total of 127 dropsonde observations were collected from six PREDICT flight missions over a 5-day period before and during Karl's genesis. EnKF analyses that take into account the PREDICT dropsondes provide a detailed four-dimensional overview of the evolving kinematic and thermodynamic structure within the pregenesis disturbance. In particular, the additional field observations are found to increase the low-and midlevel circulation and column moisture in the EnKF analyses and reduce the position error of the low-level vortex. Deterministic forecasts from these analyses show a 24-h improvement in predicting genesis over a control experiment that omits the dropsonde observations. In ensemble forecasts for this event, the more accurate analyses translate into a higher confidence in predicting the intensification of Karl; that is, data assimilation experiments also suggest that initial condition errors at the mesoscale pose large challenges for predicting genesis, thus highlighting the need for improved observation networks and more advanced data assimilation methods.","author":[{"dropping-particle":"","family":"Poterjoy","given":"Jonathan","non-dropping-particle":"","parse-names":false,"suffix":""},{"dropping-particle":"","family":"Zhang","given":"Fuqing","non-dropping-particle":"","parse-names":false,"suffix":""}],"container-title":"Journal of the Atmospheric Sciences","id":"ITEM-8","issued":{"date-parts":[["2014"]]},"page":"1260-1275","title":"Predictability and Genesis of Hurricane Karl (2010) Examined through the EnKF Assimilation of Field Observations Collected during PREDICT","type":"article-journal","volume":"71"},"uris":["http://www.mendeley.com/documents/?uuid=adf08e5f-76a9-3ff2-9475-a9f64baca78e"]},{"id":"ITEM-9","itemData":{"DOI":"10.1175/MWR-D-13-00303.1","ISSN":"0027-0644","author":[{"dropping-particle":"","family":"Wang","given":"Xuguang","non-dropping-particle":"","parse-names":false,"suffix":""},{"dropping-particle":"","family":"Lei","given":"Ting","non-dropping-particle":"","parse-names":false,"suffix":""}],"container-title":"Monthly Weather Review","id":"ITEM-9","issue":"9","issued":{"date-parts":[["2014"]]},"page":"3303-3325","title":"GSI-Based Four-Dimensional Ensemble–Variational (4DEnsVar) Data Assimilation: Formulation and Single-Resolution Experiments with Real Data for NCEP Global Forecast System","type":"article-journal","volume":"142"},"uris":["http://www.mendeley.com/documents/?uuid=f295b23c-2791-41f1-8a74-218a53b815e3"]},{"id":"ITEM-10","itemData":{"author":[{"dropping-particle":"","family":"Li","given":"Yongzuo","non-dropping-particle":"","parse-names":false,"suffix":""}],"id":"ITEM-10","issued":{"date-parts":[["2015"]]},"number-of-pages":"1-124","publisher":"Oklahoma University","title":"ASSIMILATION OF RADAR OBSERVATIONS WITH ENSEMBLE VARIATIONAL HYBRID DATA ASSIMILATION METHOD FOR THE INITIALIZATION AND PREDICTION OF HURRICANES","type":"thesis"},"uris":["http://www.mendeley.com/documents/?uuid=8571a6ad-c332-4419-9be7-ae5ce442bc2f"]},{"id":"ITEM-11","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Society","id":"ITEM-11","issue":"702","issued":{"date-parts":[["2017"]]},"page":"223-239","title":"GSI-based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assimilation","type":"article-journal","volume":"143"},"uris":["http://www.mendeley.com/documents/?uuid=c3225f76-d6f6-4c30-9c20-7f67e167eeaf"]}],"mendeley":{"formattedCitation":"(Zhang et al. 2009b; Torn 2010; Wang et al. 2011; Li et al. 2012; Weng and Zhang 2012; Schwartz et al. 2013, 2015; Poterjoy and Zhang 2014a; Wang and Lei 2014; Li 2015; Lu et al. 2017a)","plainTextFormattedCitation":"(Zhang et al. 2009b; Torn 2010; Wang et al. 2011; Li et al. 2012; Weng and Zhang 2012; Schwartz et al. 2013, 2015; Poterjoy and Zhang 2014a; Wang and Lei 2014; Li 2015; Lu et al. 2017a)","previouslyFormattedCitation":"(Zhang et al. 2009b; Torn 2010; Wang et al. 2011; Li et al. 2012; Weng and Zhang 2012; Schwartz et al. 2013, 2015; Poterjoy and Zhang 2014a; Wang and Lei 2014; Li 2015; Lu et al. 2017a)"},"properties":{"noteIndex":0},"schema":"https://github.com/citation-style-language/schema/raw/master/csl-citation.json"}</w:instrText>
      </w:r>
      <w:r w:rsidR="005E3B49" w:rsidRPr="00723DA9">
        <w:rPr>
          <w:rFonts w:ascii="Times New Roman" w:hAnsi="Times New Roman" w:cs="Times New Roman"/>
          <w:sz w:val="24"/>
          <w:szCs w:val="24"/>
        </w:rPr>
        <w:fldChar w:fldCharType="separate"/>
      </w:r>
      <w:r w:rsidR="005E3B49" w:rsidRPr="00723DA9">
        <w:rPr>
          <w:rFonts w:ascii="Times New Roman" w:hAnsi="Times New Roman" w:cs="Times New Roman"/>
          <w:noProof/>
          <w:sz w:val="24"/>
          <w:szCs w:val="24"/>
        </w:rPr>
        <w:t>(Zhang et al. 2009b; Torn 2010; Wang et al. 2011; Li et al. 2012; Weng and Zhang 2012; Schwartz et al. 2013, 2015; Poterjoy and Zhang 2014a; Wang and Lei 2014; Li 2015; Lu et al. 2017a)</w:t>
      </w:r>
      <w:r w:rsidR="005E3B49" w:rsidRPr="00723DA9">
        <w:rPr>
          <w:rFonts w:ascii="Times New Roman" w:hAnsi="Times New Roman" w:cs="Times New Roman"/>
          <w:sz w:val="24"/>
          <w:szCs w:val="24"/>
        </w:rPr>
        <w:fldChar w:fldCharType="end"/>
      </w:r>
      <w:r w:rsidR="001D3D46" w:rsidRPr="00723DA9">
        <w:rPr>
          <w:rFonts w:ascii="Times New Roman" w:hAnsi="Times New Roman" w:cs="Times New Roman"/>
          <w:sz w:val="24"/>
          <w:szCs w:val="24"/>
        </w:rPr>
        <w:t>.</w:t>
      </w:r>
    </w:p>
    <w:p w14:paraId="0B1E52D4" w14:textId="147F244C" w:rsidR="00273B42" w:rsidRPr="00723DA9" w:rsidRDefault="001D3D46"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S</w:t>
      </w:r>
      <w:r w:rsidR="00CA1666" w:rsidRPr="00723DA9">
        <w:rPr>
          <w:rFonts w:ascii="Times New Roman" w:hAnsi="Times New Roman" w:cs="Times New Roman"/>
          <w:sz w:val="24"/>
          <w:szCs w:val="24"/>
        </w:rPr>
        <w:t xml:space="preserve">tarting from 2013, the GSI based hybrid DA method was implemented for the operational HWRF model following the successful implementation of the hybrid DA system for the operational GFS </w:t>
      </w:r>
      <w:r w:rsidR="00CA1666" w:rsidRPr="00723DA9">
        <w:rPr>
          <w:rFonts w:ascii="Times New Roman" w:hAnsi="Times New Roman" w:cs="Times New Roman"/>
          <w:sz w:val="24"/>
          <w:szCs w:val="24"/>
        </w:rPr>
        <w:fldChar w:fldCharType="begin" w:fldLock="1"/>
      </w:r>
      <w:r w:rsidR="00CA1666" w:rsidRPr="00723DA9">
        <w:rPr>
          <w:rFonts w:ascii="Times New Roman" w:hAnsi="Times New Roman" w:cs="Times New Roman"/>
          <w:sz w:val="24"/>
          <w:szCs w:val="24"/>
        </w:rPr>
        <w:instrText>ADDIN CSL_CITATION {"citationItems":[{"id":"ITEM-1","itemData":{"DOI":"10.1175/MWR-D-12-00141.1","ISSN":"0027-0644","author":[{"dropping-particle":"","family":"Wang","given":"Xuguang","non-dropping-particle":"","parse-names":false,"suffix":""},{"dropping-particle":"","family":"Parrish","given":"David","non-dropping-particle":"","parse-names":false,"suffix":""},{"dropping-particle":"","family":"Kleist","given":"Daryl","non-dropping-particle":"","parse-names":false,"suffix":""},{"dropping-particle":"","family":"Whitaker","given":"Jeffrey","non-dropping-particle":"","parse-names":false,"suffix":""}],"container-title":"Monthly Weather Review","id":"ITEM-1","issue":"11","issued":{"date-parts":[["2013"]]},"page":"4098-4117","title":"GSI 3DVar-Based Ensemble–Variational Hybrid Data Assimilation for NCEP Global Forecast System: Single-Resolution Experiments","type":"article-journal","volume":"141"},"uris":["http://www.mendeley.com/documents/?uuid=32b6d9cf-94de-43b1-804c-021d7bbf809d"]},{"id":"ITEM-2","itemData":{"DOI":"10.1175/MWR-D-13-00303.1","ISSN":"0027-0644","author":[{"dropping-particle":"","family":"Wang","given":"Xuguang","non-dropping-particle":"","parse-names":false,"suffix":""},{"dropping-particle":"","family":"Lei","given":"Ting","non-dropping-particle":"","parse-names":false,"suffix":""}],"container-title":"Monthly Weather Review","id":"ITEM-2","issue":"9","issued":{"date-parts":[["2014"]]},"page":"3303-3325","title":"GSI-Based Four-Dimensional Ensemble–Variational (4DEnsVar) Data Assimilation: Formulation and Single-Resolution Experiments with Real Data for NCEP Global Forecast System","type":"article-journal","volume":"142"},"uris":["http://www.mendeley.com/documents/?uuid=f295b23c-2791-41f1-8a74-218a53b815e3"]},{"id":"ITEM-3","itemData":{"DOI":"10.1175/MWR-D-13-00351.1","author":[{"dropping-particle":"","family":"Kleist","given":"Daryl","non-dropping-particle":"","parse-names":false,"suffix":""},{"dropping-particle":"","family":"Ide","given":"Kayo","non-dropping-particle":"","parse-names":false,"suffix":""}],"id":"ITEM-3","issue":"2013","issued":{"date-parts":[["2015"]]},"page":"433-451","title":"An OSSE-Based Evaluation of Hybrid Variational – Ensemble Data Assimilation for the NCEP GFS . Part I : System Description and 3D-Hybrid Results","type":"article-journal"},"uris":["http://www.mendeley.com/documents/?uuid=b055b294-5337-4fc9-b482-ad365a7915bd"]},{"id":"ITEM-4","itemData":{"DOI":"10.1175/MWR-D-13-00350.1","ISSN":"0027-0644","abstract":"AbstractAn observing system simulation experiment (OSSE) has been carried out to evaluate the impact of a hybrid ensemble-variational data assimilation algorithm for use with the National Centers for Environmental Prediction (NCEP) global data assimilation system. An OSSE provides a controlled framework for evaluating analysis and forecast errors since a truth is known. In this case, the nature run was generated and provided by the European Centre for Medium-Range Weather Forecasts as part of the international Joint OSSE project. The assimilation and forecast impact studies are carried out using a model that is different than the nature run model, thereby accounting for model error and avoiding issues with the so-called identical twin experiments.It is found that the quality of analysis is improved substantially when going from 3DVar to a hybrid 3D ensemble-variational (EnVar) based algorithm. This is especially true in terms of the analysis error reduction for wind and moisture, most notably in the tropics. Forecast impact experiments show that the hybrid-initialized forecasts improve upon the 3DVar based forecasts for most metrics, lead times, variables, and levels. An additional experiment that utilizes 3DEnVar (100% ensemble) demonstrates that the use of a 25% static error covariance contribution does not alter the quality of hybrid analysis when utilizing the tangent linear normal mode constraint on the total hybrid increment.","author":[{"dropping-particle":"","family":"Kleist","given":"Daryl T.","non-dropping-particle":"","parse-names":false,"suffix":""},{"dropping-particle":"","family":"Ide","given":"Kayo","non-dropping-particle":"","parse-names":false,"suffix":""}],"container-title":"Monthly Weather Review","id":"ITEM-4","issue":"2","issued":{"date-parts":[["2015"]]},"page":"452-470","title":"An OSSE-Based Evaluation of Hybrid Variational–Ensemble Data Assimilation for the NCEP GFS. Part II: 4DEnVar and Hybrid Variants","type":"article-journal","volume":"143"},"uris":["http://www.mendeley.com/documents/?uuid=4af3a6c6-8ab5-46e8-9622-c65e71662c4b"]}],"mendeley":{"formattedCitation":"(Wang et al. 2013; Wang and Lei 2014; Kleist and Ide 2015a,b)","plainTextFormattedCitation":"(Wang et al. 2013; Wang and Lei 2014; Kleist and Ide 2015a,b)","previouslyFormattedCitation":"(Wang et al. 2013; Wang and Lei 2014; Kleist and Ide 2015a,b)"},"properties":{"noteIndex":0},"schema":"https://github.com/citation-style-language/schema/raw/master/csl-citation.json"}</w:instrText>
      </w:r>
      <w:r w:rsidR="00CA1666" w:rsidRPr="00723DA9">
        <w:rPr>
          <w:rFonts w:ascii="Times New Roman" w:hAnsi="Times New Roman" w:cs="Times New Roman"/>
          <w:sz w:val="24"/>
          <w:szCs w:val="24"/>
        </w:rPr>
        <w:fldChar w:fldCharType="separate"/>
      </w:r>
      <w:r w:rsidR="00CA1666" w:rsidRPr="00723DA9">
        <w:rPr>
          <w:rFonts w:ascii="Times New Roman" w:hAnsi="Times New Roman" w:cs="Times New Roman"/>
          <w:noProof/>
          <w:sz w:val="24"/>
          <w:szCs w:val="24"/>
        </w:rPr>
        <w:t>(Wang et al. 2013; Wang and Lei 2014; Kleist and Ide 2015a,b)</w:t>
      </w:r>
      <w:r w:rsidR="00CA1666" w:rsidRPr="00723DA9">
        <w:rPr>
          <w:rFonts w:ascii="Times New Roman" w:hAnsi="Times New Roman" w:cs="Times New Roman"/>
          <w:sz w:val="24"/>
          <w:szCs w:val="24"/>
        </w:rPr>
        <w:fldChar w:fldCharType="end"/>
      </w:r>
      <w:r w:rsidR="00CA1666" w:rsidRPr="00723DA9">
        <w:rPr>
          <w:rFonts w:ascii="Times New Roman" w:hAnsi="Times New Roman" w:cs="Times New Roman"/>
          <w:sz w:val="24"/>
          <w:szCs w:val="24"/>
        </w:rPr>
        <w:t xml:space="preserve">.  </w:t>
      </w:r>
      <w:r w:rsidR="00273B42" w:rsidRPr="00723DA9">
        <w:rPr>
          <w:rFonts w:ascii="Times New Roman" w:hAnsi="Times New Roman" w:cs="Times New Roman"/>
          <w:sz w:val="24"/>
          <w:szCs w:val="24"/>
        </w:rPr>
        <w:t xml:space="preserve">In this operational HWRF 3DEnVar DA system, the ensemble covariances were from either the GFS ensemble forecast or an HWRF ensemble initialized from GFS analyses </w:t>
      </w:r>
      <w:r w:rsidR="00273B42" w:rsidRPr="00723DA9">
        <w:rPr>
          <w:rFonts w:ascii="Times New Roman" w:hAnsi="Times New Roman" w:cs="Times New Roman"/>
          <w:sz w:val="24"/>
          <w:szCs w:val="24"/>
        </w:rPr>
        <w:fldChar w:fldCharType="begin" w:fldLock="1"/>
      </w:r>
      <w:r w:rsidR="00273B42" w:rsidRPr="00723DA9">
        <w:rPr>
          <w:rFonts w:ascii="Times New Roman" w:hAnsi="Times New Roman" w:cs="Times New Roman"/>
          <w:sz w:val="24"/>
          <w:szCs w:val="24"/>
        </w:rPr>
        <w:instrText>ADDIN CSL_CITATION {"citationItems":[{"id":"ITEM-1","itemData":{"DOI":"10.1175/MWR-D-17-0380.1","author":[{"dropping-particle":"","family":"Tong","given":"M","non-dropping-particle":"","parse-names":false,"suffix":""},{"dropping-particle":"","family":"Sippel","given":"J","non-dropping-particle":"","parse-names":false,"suffix":""},{"dropping-particle":"","family":"Tallapragada","given":"V","non-dropping-particle":"","parse-names":false,"suffix":""},{"dropping-particle":"","family":"Liu","given":"E","non-dropping-particle":"","parse-names":false,"suffix":""},{"dropping-particle":"","family":"Kieu","given":"C","non-dropping-particle":"","parse-names":false,"suffix":""},{"dropping-particle":"","family":"Kwon","given":"I","non-dropping-particle":"","parse-names":false,"suffix":""},{"dropping-particle":"","family":"Wang","given":"W","non-dropping-particle":"","parse-names":false,"suffix":""},{"dropping-particle":"","family":"Liu","given":"Q","non-dropping-particle":"","parse-names":false,"suffix":""},{"dropping-particle":"","family":"Ling","given":"Y","non-dropping-particle":"","parse-names":false,"suffix":""},{"dropping-particle":"","family":"Zhang","given":"B","non-dropping-particle":"","parse-names":false,"suffix":""}],"container-title":"Mon. Wea. Rev","id":"ITEM-1","issued":{"date-parts":[["2018"]]},"title":"Impact of Assimilating Aircraft Reconnaissance Observations on Tropical Cyclone Initialization and Prediction using Operational HWRF and GSI Ensemble-Variational Hybrid Data Assimilation","type":"article-journal"},"uris":["http://www.mendeley.com/documents/?uuid=a89a3ac3-1663-30dc-a6dc-ce9fa5f9e93e"]}],"mendeley":{"formattedCitation":"(Tong et al. 2018)","plainTextFormattedCitation":"(Tong et al. 2018)","previouslyFormattedCitation":"(Tong et al. 2018)"},"properties":{"noteIndex":0},"schema":"https://github.com/citation-style-language/schema/raw/master/csl-citation.json"}</w:instrText>
      </w:r>
      <w:r w:rsidR="00273B42" w:rsidRPr="00723DA9">
        <w:rPr>
          <w:rFonts w:ascii="Times New Roman" w:hAnsi="Times New Roman" w:cs="Times New Roman"/>
          <w:sz w:val="24"/>
          <w:szCs w:val="24"/>
        </w:rPr>
        <w:fldChar w:fldCharType="separate"/>
      </w:r>
      <w:r w:rsidR="00273B42" w:rsidRPr="00723DA9">
        <w:rPr>
          <w:rFonts w:ascii="Times New Roman" w:hAnsi="Times New Roman" w:cs="Times New Roman"/>
          <w:noProof/>
          <w:sz w:val="24"/>
          <w:szCs w:val="24"/>
        </w:rPr>
        <w:t>(Tong et al. 2018)</w:t>
      </w:r>
      <w:r w:rsidR="00273B42" w:rsidRPr="00723DA9">
        <w:rPr>
          <w:rFonts w:ascii="Times New Roman" w:hAnsi="Times New Roman" w:cs="Times New Roman"/>
          <w:sz w:val="24"/>
          <w:szCs w:val="24"/>
        </w:rPr>
        <w:fldChar w:fldCharType="end"/>
      </w:r>
      <w:r w:rsidR="00273B42" w:rsidRPr="00723DA9">
        <w:rPr>
          <w:rFonts w:ascii="Times New Roman" w:hAnsi="Times New Roman" w:cs="Times New Roman"/>
          <w:sz w:val="24"/>
          <w:szCs w:val="24"/>
        </w:rPr>
        <w:t>.  However, these ensembles are inherently inconsistent with the errors in the HWRF background forecast since the GFS analyses and forecasts are produced from a different model with a different resolution and assimilate different sets of observations.  Therefore, these ensembles are not able to accurately estimate the error covariances associated with the higher resolution HWRF TC background forecast initialized from its own DA.  We hypothesize that this inconsistency significantly degrades HWRF forecasts</w:t>
      </w:r>
      <w:r w:rsidR="00D10210" w:rsidRPr="007A1DFF">
        <w:rPr>
          <w:rStyle w:val="FootnoteReference"/>
        </w:rPr>
        <w:footnoteReference w:id="2"/>
      </w:r>
      <w:r w:rsidR="00273B42" w:rsidRPr="00723DA9">
        <w:rPr>
          <w:rFonts w:ascii="Times New Roman" w:hAnsi="Times New Roman" w:cs="Times New Roman"/>
          <w:sz w:val="24"/>
          <w:szCs w:val="24"/>
        </w:rPr>
        <w:t>.</w:t>
      </w:r>
    </w:p>
    <w:p w14:paraId="2FB27725" w14:textId="72D3204E" w:rsidR="0045653F" w:rsidRPr="00723DA9" w:rsidRDefault="00273B42"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To investigate the hypotheses, a GSI-based</w:t>
      </w:r>
      <w:r w:rsidR="005B2992" w:rsidRPr="00723DA9">
        <w:rPr>
          <w:rFonts w:ascii="Times New Roman" w:hAnsi="Times New Roman" w:cs="Times New Roman"/>
          <w:sz w:val="24"/>
          <w:szCs w:val="24"/>
        </w:rPr>
        <w:t xml:space="preserve"> hybrid</w:t>
      </w:r>
      <w:r w:rsidRPr="00723DA9">
        <w:rPr>
          <w:rFonts w:ascii="Times New Roman" w:hAnsi="Times New Roman" w:cs="Times New Roman"/>
          <w:sz w:val="24"/>
          <w:szCs w:val="24"/>
        </w:rPr>
        <w:t xml:space="preserve"> </w:t>
      </w:r>
      <w:proofErr w:type="spellStart"/>
      <w:r w:rsidRPr="00723DA9">
        <w:rPr>
          <w:rFonts w:ascii="Times New Roman" w:hAnsi="Times New Roman" w:cs="Times New Roman"/>
          <w:sz w:val="24"/>
          <w:szCs w:val="24"/>
        </w:rPr>
        <w:t>EnVar</w:t>
      </w:r>
      <w:proofErr w:type="spellEnd"/>
      <w:r w:rsidRPr="00723DA9">
        <w:rPr>
          <w:rFonts w:ascii="Times New Roman" w:hAnsi="Times New Roman" w:cs="Times New Roman"/>
          <w:sz w:val="24"/>
          <w:szCs w:val="24"/>
        </w:rPr>
        <w:t xml:space="preserve"> DA system that uses the self-consistent HWRF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ensemble was developed for HWRF </w:t>
      </w:r>
      <w:r w:rsidRPr="00723DA9">
        <w:rPr>
          <w:rFonts w:ascii="Times New Roman" w:hAnsi="Times New Roman" w:cs="Times New Roman"/>
          <w:sz w:val="24"/>
          <w:szCs w:val="24"/>
        </w:rPr>
        <w:fldChar w:fldCharType="begin" w:fldLock="1"/>
      </w:r>
      <w:r w:rsidR="00FB5C34" w:rsidRPr="00723DA9">
        <w:rPr>
          <w:rFonts w:ascii="Times New Roman" w:hAnsi="Times New Roman" w:cs="Times New Roman"/>
          <w:sz w:val="24"/>
          <w:szCs w:val="24"/>
        </w:rPr>
        <w:instrText>ADDIN CSL_CITATION {"citationItems":[{"id":"ITEM-1","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assimilation","type":"article-journal","volume":"143"},"uris":["http://www.mendeley.com/documents/?uuid=c3225f76-d6f6-4c30-9c20-7f67e167eeaf"]}],"mendeley":{"formattedCitation":"(Lu et al. 2017a)","plainTextFormattedCitation":"(Lu et al. 2017a)","previouslyFormattedCitation":"(Lu et al. 2017a)"},"properties":{"noteIndex":0},"schema":"https://github.com/citation-style-language/schema/raw/master/csl-citation.json"}</w:instrText>
      </w:r>
      <w:r w:rsidRPr="00723DA9">
        <w:rPr>
          <w:rFonts w:ascii="Times New Roman" w:hAnsi="Times New Roman" w:cs="Times New Roman"/>
          <w:sz w:val="24"/>
          <w:szCs w:val="24"/>
        </w:rPr>
        <w:fldChar w:fldCharType="separate"/>
      </w:r>
      <w:r w:rsidR="00A653B7" w:rsidRPr="00723DA9">
        <w:rPr>
          <w:rFonts w:ascii="Times New Roman" w:hAnsi="Times New Roman" w:cs="Times New Roman"/>
          <w:noProof/>
          <w:sz w:val="24"/>
          <w:szCs w:val="24"/>
        </w:rPr>
        <w:t>(Lu et al. 2017a)</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As an initial </w:t>
      </w:r>
      <w:r w:rsidRPr="00723DA9">
        <w:rPr>
          <w:rFonts w:ascii="Times New Roman" w:hAnsi="Times New Roman" w:cs="Times New Roman"/>
          <w:sz w:val="24"/>
          <w:szCs w:val="24"/>
        </w:rPr>
        <w:lastRenderedPageBreak/>
        <w:t>effort, the system used a fixed, single nest domain and covered only a small period of the TC life that was surveyed by the TDR observations.  Lu et al. (2017</w:t>
      </w:r>
      <w:r w:rsidR="00C82E72" w:rsidRPr="00723DA9">
        <w:rPr>
          <w:rFonts w:ascii="Times New Roman" w:hAnsi="Times New Roman" w:cs="Times New Roman"/>
          <w:sz w:val="24"/>
          <w:szCs w:val="24"/>
        </w:rPr>
        <w:t>a</w:t>
      </w:r>
      <w:r w:rsidRPr="00723DA9">
        <w:rPr>
          <w:rFonts w:ascii="Times New Roman" w:hAnsi="Times New Roman" w:cs="Times New Roman"/>
          <w:sz w:val="24"/>
          <w:szCs w:val="24"/>
        </w:rPr>
        <w:t xml:space="preserve">) found that the corrections of the wind and mass fields by this hybrid DA system were dynamically and thermodynamically consistent.  The self-consistent HWRF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ensemble was superior to the GFS ensemble when ingested by the hybrid system for improving both the analyzed structures and forecasts of the TCs.  In addition, the self-consistent hybrid system for HWRF exhibited the most benefits of assimilating airborne radar data. </w:t>
      </w:r>
    </w:p>
    <w:p w14:paraId="7F19F758" w14:textId="491E5173"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In this study, the HWRF hybrid DA system is further developed to address both the scientific and technical challenges to perform end-to-end, continuous DA and forecast cycles for the entire life of a </w:t>
      </w:r>
      <w:proofErr w:type="gramStart"/>
      <w:r w:rsidRPr="00723DA9">
        <w:rPr>
          <w:rFonts w:ascii="Times New Roman" w:hAnsi="Times New Roman" w:cs="Times New Roman"/>
          <w:sz w:val="24"/>
          <w:szCs w:val="24"/>
        </w:rPr>
        <w:t>TC, and</w:t>
      </w:r>
      <w:proofErr w:type="gramEnd"/>
      <w:r w:rsidRPr="00723DA9">
        <w:rPr>
          <w:rFonts w:ascii="Times New Roman" w:hAnsi="Times New Roman" w:cs="Times New Roman"/>
          <w:sz w:val="24"/>
          <w:szCs w:val="24"/>
        </w:rPr>
        <w:t xml:space="preserve"> assimilating all operational observations in addition to TDR.  Triply nested domains with movable inner nests are adopted during the continuous DA and forecast cycles. </w:t>
      </w:r>
      <w:r w:rsidR="009F4CD2">
        <w:rPr>
          <w:rFonts w:ascii="Times New Roman" w:hAnsi="Times New Roman" w:cs="Times New Roman"/>
          <w:sz w:val="24"/>
          <w:szCs w:val="24"/>
        </w:rPr>
        <w:t xml:space="preserve"> </w:t>
      </w:r>
      <w:r w:rsidRPr="00723DA9">
        <w:rPr>
          <w:rFonts w:ascii="Times New Roman" w:hAnsi="Times New Roman" w:cs="Times New Roman"/>
          <w:sz w:val="24"/>
          <w:szCs w:val="24"/>
        </w:rPr>
        <w:t xml:space="preserve">A remaining challenge is that the locations of the inner nests will diverge in the background ensemble if the storm-center-following moving nests are adopted.  The current ensemble DA system developed based on GSI is not able to provide state updates in areas where the background ensemble nests are not co-located.  A directed moving nest strategy is developed in this study to address this issue. </w:t>
      </w:r>
    </w:p>
    <w:p w14:paraId="120AF0E0" w14:textId="094AF208" w:rsidR="005B361A" w:rsidRPr="00723DA9" w:rsidRDefault="005B361A"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The positive impact of using a high-resolution NWP model in TC prediction has been found in numerous studies over the past decade </w:t>
      </w:r>
      <w:r w:rsidRPr="00723DA9">
        <w:rPr>
          <w:rFonts w:ascii="Times New Roman" w:hAnsi="Times New Roman" w:cs="Times New Roman"/>
          <w:sz w:val="24"/>
          <w:szCs w:val="24"/>
        </w:rPr>
        <w:fldChar w:fldCharType="begin" w:fldLock="1"/>
      </w:r>
      <w:r w:rsidRPr="00723DA9">
        <w:rPr>
          <w:rFonts w:ascii="Times New Roman" w:hAnsi="Times New Roman" w:cs="Times New Roman"/>
          <w:sz w:val="24"/>
          <w:szCs w:val="24"/>
        </w:rPr>
        <w:instrText>ADDIN CSL_CITATION {"citationItems":[{"id":"ITEM-1","itemData":{"DOI":"10.1175/1520-0493(2002)130&lt;1100:NSOTGO&gt;2.0.CO;2","ISBN":"0027-0644","ISSN":"0027-0644","abstract":"The authors examine numerous simulations that probe the dynamics governing the intensification and track of Tropical Cyclone Diana (1984) simulated in Part I. The development process is fundamentally dependent on a preexisting upper-tropospheric trough-ridge couplet. This couplet focuses mesoscale vertical motion that, in turn, produces lower-tropospheric potential vorticity (PV) anomalies, which form the seed for the tropical storm. Removal of this trough-ridge couplet from the initial conditions eliminates cyclogenesis. The simulated rate of development of Diana in the prehurricane phase depends principally on choices of cumulus parameterization, boundary layer treatment, sea surface temperature, and grid spacing. Simulations with cumulus schemes that allow more grid-scale precipitation on the 9-km grid exhibit unrealistic grid-scale overturning and slower intensification, primarily due to production of cyclonic vorticity anomalies at large radii. Use of an innermost nest with 3-km grid spacing, without a cumulus scheme, generally produces the intensification that agreed best with observations. Improvement over the control simulation stems from the emergence of convective downdrafts and a vertical motion spectrum that is less biased toward ascent. Consistent with recent work by Braun and Tao, the medium-range forecast model (MRF) planetary boundary layer (PBL) scheme produces a PBL that is too dry and too deep as winds intensify toward hurricane strength. Use of the Burk-Thompson scheme leads to excessive intensification with a 9-km grid spacing. Manual analysis of surface data produces a sea surface temperature (SST) field 1</w:instrText>
      </w:r>
      <w:r w:rsidRPr="00723DA9">
        <w:rPr>
          <w:rFonts w:ascii="Tahoma" w:hAnsi="Tahoma" w:cs="Tahoma"/>
          <w:sz w:val="24"/>
          <w:szCs w:val="24"/>
        </w:rPr>
        <w:instrText>��</w:instrText>
      </w:r>
      <w:r w:rsidRPr="00723DA9">
        <w:rPr>
          <w:rFonts w:ascii="Times New Roman" w:hAnsi="Times New Roman" w:cs="Times New Roman"/>
          <w:sz w:val="24"/>
          <w:szCs w:val="24"/>
        </w:rPr>
        <w:instrText>-2</w:instrText>
      </w:r>
      <w:r w:rsidRPr="00723DA9">
        <w:rPr>
          <w:rFonts w:ascii="Tahoma" w:hAnsi="Tahoma" w:cs="Tahoma"/>
          <w:sz w:val="24"/>
          <w:szCs w:val="24"/>
        </w:rPr>
        <w:instrText>��</w:instrText>
      </w:r>
      <w:r w:rsidRPr="00723DA9">
        <w:rPr>
          <w:rFonts w:ascii="Times New Roman" w:hAnsi="Times New Roman" w:cs="Times New Roman"/>
          <w:sz w:val="24"/>
          <w:szCs w:val="24"/>
        </w:rPr>
        <w:instrText>C warmer than is obtained from operational analysis. The warmer SSTs result in a storm that is about 27 hPa deeper after 60 h of integration. Storm track depends primarily on synoptic-scale structure at upper levels. Cumulus schemes that allow more grid-scale overturning enhance the anticyclonic outflow aloft. The outflow deforms the tropopause, building an anticyclone poleward of the storm and facilitating cutoff low formation equatorward of the storm. Using PV attribution, it is shown that these upper-level changes are responsible for an enhanced easterly steering flow and more westward storm track. Later initialization allows a better analysis of trough fracture, particularly the cutoff low and this also leads to a more westward storm track. Overall, despite the presence of a well-defined baroclinic precursor, the large s…","author":[{"dropping-particle":"","family":"Davis","given":"Christopher","non-dropping-particle":"","parse-names":false,"suffix":""},{"dropping-particle":"","family":"Bosart","given":"Lance F.","non-dropping-particle":"","parse-names":false,"suffix":""}],"container-title":"Monthly Weather Review","id":"ITEM-1","issue":"5","issued":{"date-parts":[["2002"]]},"page":"1100-1124","title":"Numerical Simulations of the Genesis of Hurricane Diana (1984). Part II: Sensitivity of Track and Intensity Prediction","type":"article-journal","volume":"130"},"uris":["http://www.mendeley.com/documents/?uuid=138a0f95-e703-4ac2-9bb0-440601d58fe7"]},{"id":"ITEM-2","itemData":{"DOI":"10.1175/1520-0493(2004)132&lt;0225:NSOHBP&gt;2.0.CO;2","ISSN":"0027-0644","abstract":"In this study, a 5-day explicit simulation of Hurricane Bonnie ( 1998) is performed using the fifth-generation Pennsylvania State University-National Center for Atmospheric Research Mesoscale Model (MM5) with the finest grid length of 4 km. The initial mass, wind, and moisture fields of the hurricane vortex are retrieved from the Advanced Microwave Sounding Unit-A (AMSU-A) satellite measurements, and the sea surface temperature (SST) is updated daily. It is shown that the simulated track is within 3degrees latitude-longitude of the best track at the end of the 5-day integration, but with the landfalling point close to the observed. The model also reproduces reasonably well the hurricane intensity and intensity changes, asymmetries in cloud and precipitation, as well as the vertical structures of dynamic and thermodynamic fields in the eye and eyewall. It is shown that the storm deepens markedly in the first 2 days, during which period its environmental vertical shear increases substantially. It is found that this deepening could occur because of the dominant energy supply by a strong low-level southeasterly flow into the eastern eyewall plus the presence of underlying warm SST and favorable upper-level divergent outflow. However, the approaching of a strong upper-level northwesterly flow tends to generate mass convergence and subsidence warming and drying, thereby suppressing the development of deep convection in the western semicircle. This gives rise to wavenumber-1 asymmetries in clouds and precipitation (i.e., a partial eyewall) and the eastward tilt of the eyewall and storm center. Both the observed and simulated storms also appear to exhibit eyewall replacement scenarios in which the storms weaken as double eyewalls appear, and then reintensify as their inner eyewalls diminish and concentric eyewalls develop. The results indicate that the eyewall replacement process may be predictable because it appears to depend on the large-scale flow.","author":[{"dropping-particle":"","family":"Zhu","given":"T","non-dropping-particle":"","parse-names":false,"suffix":""},{"dropping-particle":"","family":"Zhang","given":"D L","non-dropping-particle":"","parse-names":false,"suffix":""},{"dropping-particle":"","family":"Weng","given":"F H","non-dropping-particle":"","parse-names":false,"suffix":""}],"container-title":"Monthly Weather Review","id":"ITEM-2","issue":"1","issued":{"date-parts":[["2004"]]},"page":"225-241","title":"Numerical simulation of Hurricane Bonnie (1998). Part I: Eyewall evolution and intensity changes","type":"article-journal","volume":"132"},"uris":["http://www.mendeley.com/documents/?uuid=eae77fe6-c9a6-49de-9af5-1726f8a3b833"]},{"id":"ITEM-3","itemData":{"DOI":"10.1175/2010WAF2222423.1","ISSN":"0882-8156","abstract":"The representation of tropical cyclone track, intensity, and structure in a set of 69 parallel forecasts performed at each of two horizontal grid increments with the Advanced Research Hurricane(AHW) component of the Weather and Research and Forecasting Model (WRF) is evaluated. These forecasts covered 10 Atlantic tropical cyclones: 6 from the 2005 season and 4 from 2007. The forecasts were integrated from identical initial conditions produced by a cycling ensemble Kalman filter. The high-resolution forecasts used moving, stormcentered nests of 4- and 1.33-km grid spacing. The coarse-resolution forecasts consisted of a single 12-km domain (which was identical to the outer domain in the forecasts with nests). Forecasts were evaluated out to 120 h. Novel verification techniques were developed to evaluate forecasts of wind radii and the degree of storm asymmetry. Intensity (maximum wind) and rapid intensification, as well as wind radii, were all predicted more accurately with increased horizontal resolution. These results were deemed to be statistically significant based on the application of bootstrap confidence intervals. No statistically significant differences emerged regarding storm position errors between the two forecasts. Coarse-resolution forecasts tended to overpredict the extent of winds compared to high-resolution forecasts. The asymmetry of gale-force winds was better predicted in the coarser-resolution simulation, but asymmetry of hurricane-force winds was predicted better at high resolution. The skill of the wind radii forecasts decayed gradually over 120 h, suggesting a synoptic-scale control of the predictability of outer winds.","author":[{"dropping-particle":"","family":"Davis","given":"Christopher","non-dropping-particle":"","parse-names":false,"suffix":""},{"dropping-particle":"","family":"Wang","given":"Wei","non-dropping-particle":"","parse-names":false,"suffix":""},{"dropping-particle":"","family":"Dudhia","given":"Jimy","non-dropping-particle":"","parse-names":false,"suffix":""},{"dropping-particle":"","family":"Torn","given":"Ryan","non-dropping-particle":"","parse-names":false,"suffix":""}],"container-title":"Weather and Forecasting","id":"ITEM-3","issue":"6","issued":{"date-parts":[["2010"]]},"page":"1826-1841","title":"Does Increased Horizontal Resolution Improve Hurricane Wind Forecasts?","type":"article-journal","volume":"25"},"uris":["http://www.mendeley.com/documents/?uuid=ec8bbb05-8ba4-4bf3-823a-a6340d195d08"]},{"id":"ITEM-4","itemData":{"DOI":"10.1175/WAF-D-11-00001.1","ISSN":"0882-8156","abstract":"In this study, a 72-h cloud-permitting numerical prediction of Hurricane\\nWilma (2005), covering its initial 18-h spinup, an 18-h rapid intensification\\n(RI), and the subsequent 36-h weakening stage, is performed using\\nthe Weather Research Forecast Model (WRF) with the finest grid length\\nof 1 km. The model prediction uses the initial and lateral boundary\\nconditions, including the bogus vortex, that are identical to the\\nGeophysical Fluid Dynamics Laboratory</w:instrText>
      </w:r>
      <w:r w:rsidRPr="00723DA9">
        <w:rPr>
          <w:rFonts w:ascii="Tahoma" w:hAnsi="Tahoma" w:cs="Tahoma"/>
          <w:sz w:val="24"/>
          <w:szCs w:val="24"/>
        </w:rPr>
        <w:instrText>�</w:instrText>
      </w:r>
      <w:r w:rsidRPr="00723DA9">
        <w:rPr>
          <w:rFonts w:ascii="Times New Roman" w:hAnsi="Times New Roman" w:cs="Times New Roman"/>
          <w:sz w:val="24"/>
          <w:szCs w:val="24"/>
        </w:rPr>
        <w:instrText>fs then-operational data, except\\nfor the time-independent sea surface temperature field. Results show\\nthat the WRF prediction compares favorably in many aspects to the\\nbest-track analysis, as well as satellite and reconnaissance flight-level\\nobservations. In particular, the model predicts an RI rate of more\\nthan 4 hPa h</w:instrText>
      </w:r>
      <w:r w:rsidRPr="00723DA9">
        <w:rPr>
          <w:rFonts w:ascii="Tahoma" w:hAnsi="Tahoma" w:cs="Tahoma"/>
          <w:sz w:val="24"/>
          <w:szCs w:val="24"/>
        </w:rPr>
        <w:instrText>�</w:instrText>
      </w:r>
      <w:r w:rsidRPr="00723DA9">
        <w:rPr>
          <w:rFonts w:ascii="Times New Roman" w:hAnsi="Times New Roman" w:cs="Times New Roman"/>
          <w:sz w:val="24"/>
          <w:szCs w:val="24"/>
        </w:rPr>
        <w:instrText>|1 for an 18-h period, with the minimum central pressure\\nof less than 889 hPa. Of significance is that the model captures\\na sequence of important inner-core structural variations associated\\nwith Wilma</w:instrText>
      </w:r>
      <w:r w:rsidRPr="00723DA9">
        <w:rPr>
          <w:rFonts w:ascii="Tahoma" w:hAnsi="Tahoma" w:cs="Tahoma"/>
          <w:sz w:val="24"/>
          <w:szCs w:val="24"/>
        </w:rPr>
        <w:instrText>�</w:instrText>
      </w:r>
      <w:r w:rsidRPr="00723DA9">
        <w:rPr>
          <w:rFonts w:ascii="Times New Roman" w:hAnsi="Times New Roman" w:cs="Times New Roman"/>
          <w:sz w:val="24"/>
          <w:szCs w:val="24"/>
        </w:rPr>
        <w:instrText>fs intensity changes, namely, from a partial eyewall open\\nto the west prior to RI to a full eyewall at the onset of RI, rapid\\neyewall contraction during the initial spinup, the formation of double\\neyewalls with a wide moat area in between during the most intense\\nstage, and the subsequent eyewall replacement leading to the weakening\\nof Wilma. In addition, the model reproduces the boundary layer growth\\nup to 750 hPa with an intense inversion layer above in the eye. Recognizing\\nthat a single case does not provide a rigorous test of the model\\npredictability due to the stochastic nature of deep convection, results\\npresented herein suggest that it is possible to improve forecasts\\nof hurricane intensity and intensity changes, and especially RI,\\nif the inner-core structural changes and storm size could be reasonably\\npredicted in an operational setting using high-resolution cloud-permitting\\nmodels with realistic initial conditions and model physical parameterizations.","author":[{"dropping-particle":"","family":"Chen","given":"Hua","non-dropping-particle":"","parse-names":false,"suffix":""},{"dropping-particle":"","family":"Zhang","given":"Da-Lin","non-dropping-particle":"","parse-names":false,"suffix":""},{"dropping-particle":"","family":"Carton","given":"James","non-dropping-particle":"","parse-names":false,"suffix":""},{"dropping-particle":"","family":"Atlas","given":"Robert","non-dropping-particle":"","parse-names":false,"suffix":""}],"container-title":"Weather and Forecasting","id":"ITEM-4","issue":"6","issued":{"date-parts":[["2011"]]},"page":"885-901","title":"On the Rapid Intensification of Hurricane Wilma (2005). Part I: Model Prediction and Structural Changes","type":"article-journal","volume":"26"},"uris":["http://www.mendeley.com/documents/?uuid=46b578ba-78af-4080-b62b-0ae9fc843d73"]},{"id":"ITEM-5","itemData":{"DOI":"10.1029/2011GL048469","ISBN":"00948276","ISSN":"00948276","abstract":"This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Letters","id":"ITEM-5","issue":"15","issued":{"date-parts":[["2011"]]},"page":"2-7","title":"Performance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observations","type":"article-journal","volume":"38"},"uris":["http://www.mendeley.com/documents/?uuid=49d51ce5-38fd-4912-aac8-90ced5dff4af"]},{"id":"ITEM-6","itemData":{"DOI":"10.1002/qj.1970","ISBN":"0035-9009","ISSN":"00359009","PMID":"25246403","abstract":"Ensemble Kalman filter (EnKF) assimilation and forecasting experiments are performed for the case of Hurricane Ike (2008), the third most destructive hurricane hitting the USA. Data from two coastal WSR-88D radars are carefully quality controlled before assimilation. In the control assimilation experiment, reflectivity (Z) and radial velocity (Vr) data from two radars are assimilated at 10 min intervals over a 2 h period shortly before Ike made landfall. A 32-member forecast ensemble is initialized by introducing both mesoscale and convective-scale perturbations to the initial National Centers for Environmental Prediction (NCEP) operational global forecast system (GFS) analysis background, and the ensemble spread during the analysis cycles is maintained using multiplicative covariance inflation and posterior additive perturbations. The radar data assimilation results in much improved vortex intensity and structure analysis over the corresponding GFS analysis. Compared with the forecast starting from the GFS analysis, the forecast intensity, track and structure of Ike over a 12 h period are much improved in both deterministic and ensemble forecasts. Assimilation of either Vr or Z leads to improvement in the forecasts, with Vr data exhibiting much greater impacts than Z data. With the 2 h assimilation window, 30 min assimilation intervals produced results similar to 10 min intervals, while 60 min intervals were found to be too long. The ensemble forecasts starting from the EnKF analyses are found to be mostly better than the corresponding deterministic forecast, especially after ensemble post-processing, such as probability matching for precipitation. Precipitation equitable threat scores were calculated and compared. Copyright (c) 2012 Royal Meteorological Society","author":[{"dropping-particle":"","family":"Dong","given":"Jili","non-dropping-particle":"","parse-names":false,"suffix":""},{"dropping-particle":"","family":"Xue","given":"Ming","non-dropping-particle":"","parse-names":false,"suffix":""}],"container-title":"Quarterly Journal of the Royal Meteorological Society","id":"ITEM-6","issue":"671","issued":{"date-parts":[["2013"]]},"page":"467-487","title":"Assimilation of radial velocity and reflectivity data from coastal WSR-88D radars using an ensemble Kalman filter for the analysis and forecast of landfalling hurricane Ike (2008)","type":"article-journal","volume":"139"},"uris":["http://www.mendeley.com/documents/?uuid=8363a90d-1898-482d-93bb-93de600a2178"]}],"mendeley":{"formattedCitation":"(Davis and Bosart 2002; Zhu et al. 2004; Davis et al. 2010; Chen et al. 2011; Zhang et al. 2011; Dong and Xue 2013)","plainTextFormattedCitation":"(Davis and Bosart 2002; Zhu et al. 2004; Davis et al. 2010; Chen et al. 2011; Zhang et al. 2011; Dong and Xue 2013)","previouslyFormattedCitation":"(Davis and Bosart 2002; Zhu et al. 2004; Davis et al. 2010; Chen et al. 2011; Zhang et al. 2011; Dong and Xue 2013)"},"properties":{"noteIndex":0},"schema":"https://github.com/citation-style-language/schema/raw/master/csl-citation.json"}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(Davis and Bosart 2002; Zhu et al. 2004; Davis et al. 2010; Chen et al. 2011; Zhang et al. 2011; Dong and Xue 2013)</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w:t>
      </w:r>
      <w:r w:rsidR="00C82E7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Early studies suggested that model grid that is at least convection-allowing is required to resolve the convective scale features such as the moist convection and eyewall’s dynamics </w:t>
      </w:r>
      <w:r w:rsidRPr="00723DA9">
        <w:rPr>
          <w:rFonts w:ascii="Times New Roman" w:hAnsi="Times New Roman" w:cs="Times New Roman"/>
          <w:sz w:val="24"/>
          <w:szCs w:val="24"/>
        </w:rPr>
        <w:fldChar w:fldCharType="begin" w:fldLock="1"/>
      </w:r>
      <w:r w:rsidRPr="00723DA9">
        <w:rPr>
          <w:rFonts w:ascii="Times New Roman" w:hAnsi="Times New Roman" w:cs="Times New Roman"/>
          <w:sz w:val="24"/>
          <w:szCs w:val="24"/>
        </w:rPr>
        <w:instrText>ADDIN CSL_CITATION {"citationItems":[{"id":"ITEM-1","itemData":{"DOI":"10.1126/science.1135650","ISSN":"0036-8075","PMID":"17332404","abstract":"Observations made during the historic 2005 hurricane season document a case of \"eyewall replacement.\" Clouds outside the hurricane eyewall coalesce to form a new eyewall at a greater radius from the storm center, and the old eyewall dies. The winds in the new eyewall are initially weaker than those in the original eyewall, but as the new eyewall contracts, the storm reintensifies. Understanding this replacement mechanism is vital to forecasting variations in hurricane intensity. Processes in the \"moat\" region between the new and old eyewall have been particularly unclear. Aircraft data now show that the moat becomes dynamically similar to the eye and thus is converted into a region inimical to survival of the inner eyewall. We suggest that targeting aircraft to key parts of the storm to gain crucial input to high-resolution numerical models can lead to improvements in forecasting hurricane intensity.","author":[{"dropping-particle":"","family":"Houze","given":"Robert a","non-dropping-particle":"","parse-names":false,"suffix":""},{"dropping-particle":"","family":"Chen","given":"Shuyi S","non-dropping-particle":"","parse-names":false,"suffix":""},{"dropping-particle":"","family":"Smull","given":"Bradley F","non-dropping-particle":"","parse-names":false,"suffix":""},{"dropping-particle":"","family":"Lee","given":"Wen-Chau","non-dropping-particle":"","parse-names":false,"suffix":""},{"dropping-particle":"","family":"Bell","given":"Michael M","non-dropping-particle":"","parse-names":false,"suffix":""}],"container-title":"Science (New York, N.Y.)","id":"ITEM-1","issue":"5816","issued":{"date-parts":[["2007"]]},"page":"1235-1239","title":"Hurricane intensity and eyewall replacement.","type":"article-journal","volume":"315"},"uris":["http://www.mendeley.com/documents/?uuid=b93bbacb-8efe-4c35-8a93-3a87dd8c8467"]},{"id":"ITEM-2","itemData":{"DOI":"10.1029/2011GL048469","ISBN":"00948276","ISSN":"00948276","abstract":"This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Letters","id":"ITEM-2","issue":"15","issued":{"date-parts":[["2011"]]},"page":"2-7","title":"Performance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observations","type":"article-journal","volume":"38"},"uris":["http://www.mendeley.com/documents/?uuid=49d51ce5-38fd-4912-aac8-90ced5dff4af"]}],"mendeley":{"formattedCitation":"(Houze et al. 2007; Zhang et al. 2011)","plainTextFormattedCitation":"(Houze et al. 2007; Zhang et al. 2011)","previouslyFormattedCitation":"(Houze et al. 2007; Zhang et al. 2011)"},"properties":{"noteIndex":0},"schema":"https://github.com/citation-style-language/schema/raw/master/csl-citation.json"}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(Houze et al. 2007; Zhang et al. 2011)</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While the operational HWRF has become convection-allowing </w:t>
      </w:r>
      <w:r w:rsidRPr="00723DA9">
        <w:rPr>
          <w:rFonts w:ascii="Times New Roman" w:hAnsi="Times New Roman" w:cs="Times New Roman"/>
          <w:sz w:val="24"/>
          <w:szCs w:val="24"/>
        </w:rPr>
        <w:fldChar w:fldCharType="begin" w:fldLock="1"/>
      </w:r>
      <w:r w:rsidR="00372AF0" w:rsidRPr="00723DA9">
        <w:rPr>
          <w:rFonts w:ascii="Times New Roman"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Center","id":"ITEM-1","issued":{"date-parts":[["2014"]]},"number-of-pages":"1-81","title":"Hurricane Weather Research and Forecasting (HWRF) model: 2014 scientific documentation","type":"report"},"uris":["http://www.mendeley.com/documents/?uuid=f63fdf0a-d919-4d8f-8934-8c12eb353c91"]}],"mendeley":{"formattedCitation":"(Tallapragada et al. 2014)","plainTextFormattedCitation":"(Tallapragada et al. 2014)","previouslyFormattedCitation":"(Tallapragada et al. 2014)"},"properties":{"noteIndex":0},"schema":"https://github.com/citation-style-language/schema/raw/master/csl-citation.json"}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(Tallapragada et al. 2014)</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t>
      </w:r>
      <w:r w:rsidRPr="00723DA9">
        <w:rPr>
          <w:rFonts w:ascii="Times New Roman" w:hAnsi="Times New Roman" w:cs="Times New Roman"/>
          <w:sz w:val="24"/>
          <w:szCs w:val="24"/>
        </w:rPr>
        <w:lastRenderedPageBreak/>
        <w:t xml:space="preserve">running all ensemble members at convection-allowing resolution for ensemble DA still poses challenges due to limited computing resources available at the operational centers.  </w:t>
      </w:r>
    </w:p>
    <w:p w14:paraId="3A9A58F2" w14:textId="23B47447"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Some recent studies (e.g., Li 2015; Schwartz et al., 2015) have implemented a “dual-resolution” hybrid DA method for hurricane analysis and forecast.  Using the dual-resolution method, the control background forecast is run at higher resolution than the ensemble members that form the background error covariances. </w:t>
      </w:r>
      <w:r w:rsidR="00CC4EC7">
        <w:rPr>
          <w:rFonts w:ascii="Times New Roman" w:hAnsi="Times New Roman" w:cs="Times New Roman"/>
          <w:sz w:val="24"/>
          <w:szCs w:val="24"/>
        </w:rPr>
        <w:t xml:space="preserve"> </w:t>
      </w:r>
      <w:r w:rsidRPr="00723DA9">
        <w:rPr>
          <w:rFonts w:ascii="Times New Roman" w:hAnsi="Times New Roman" w:cs="Times New Roman"/>
          <w:sz w:val="24"/>
          <w:szCs w:val="24"/>
        </w:rPr>
        <w:t xml:space="preserve">This approach both resolves the convective scale structures and reduces the computational cost. </w:t>
      </w:r>
      <w:r w:rsidR="00CC4EC7">
        <w:rPr>
          <w:rFonts w:ascii="Times New Roman" w:hAnsi="Times New Roman" w:cs="Times New Roman"/>
          <w:sz w:val="24"/>
          <w:szCs w:val="24"/>
        </w:rPr>
        <w:t xml:space="preserve"> </w:t>
      </w:r>
      <w:r w:rsidRPr="00723DA9">
        <w:rPr>
          <w:rFonts w:ascii="Times New Roman" w:hAnsi="Times New Roman" w:cs="Times New Roman"/>
          <w:sz w:val="24"/>
          <w:szCs w:val="24"/>
        </w:rPr>
        <w:t xml:space="preserve">Schwartz et al. (2015) showed that dual-resolution hybrid DA can efficiently reduce the computational cost with minimal degradation relative to full resolution ensemble DA.  However, Schwartz et al. (2015) only explored the impact of dual-resolution configuration in a coarse-resolution scenario where the control background and analysis were still at convection-parameterizing resolution. </w:t>
      </w:r>
      <w:r w:rsidR="00C82E7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Later, </w:t>
      </w:r>
      <w:r w:rsidR="00C82E72" w:rsidRPr="00723DA9">
        <w:rPr>
          <w:rFonts w:ascii="Times New Roman" w:hAnsi="Times New Roman" w:cs="Times New Roman"/>
          <w:sz w:val="24"/>
          <w:szCs w:val="24"/>
        </w:rPr>
        <w:fldChar w:fldCharType="begin" w:fldLock="1"/>
      </w:r>
      <w:r w:rsidR="00C82E72" w:rsidRPr="00723DA9">
        <w:rPr>
          <w:rFonts w:ascii="Times New Roman" w:hAnsi="Times New Roman" w:cs="Times New Roman"/>
          <w:sz w:val="24"/>
          <w:szCs w:val="24"/>
        </w:rPr>
        <w:instrText>ADDIN CSL_CITATION {"citationItems":[{"id":"ITEM-1","itemData":{"DOI":"10.1175/MWR-D-15-0286.1","ISSN":"0027-0644","author":[{"dropping-particle":"","family":"Schwartz","given":"Craig S.","non-dropping-particle":"","parse-names":false,"suffix":""}],"container-title":"Monthly Weather Review","id":"ITEM-1","issued":{"date-parts":[["2016"]]},"page":"160113112645003","title":"Improving large-domain convection-allowing forecasts with high-resolution analyses and ensemble data assimilation","type":"article-journal"},"uris":["http://www.mendeley.com/documents/?uuid=563ac710-f413-4095-9c62-99d9303f92ad"]}],"mendeley":{"formattedCitation":"(Schwartz 2016)","manualFormatting":"Schwartz (2016)","plainTextFormattedCitation":"(Schwartz 2016)","previouslyFormattedCitation":"(Schwartz 2016)"},"properties":{"noteIndex":0},"schema":"https://github.com/citation-style-language/schema/raw/master/csl-citation.json"}</w:instrText>
      </w:r>
      <w:r w:rsidR="00C82E72" w:rsidRPr="00723DA9">
        <w:rPr>
          <w:rFonts w:ascii="Times New Roman" w:hAnsi="Times New Roman" w:cs="Times New Roman"/>
          <w:sz w:val="24"/>
          <w:szCs w:val="24"/>
        </w:rPr>
        <w:fldChar w:fldCharType="separate"/>
      </w:r>
      <w:r w:rsidR="00C82E72" w:rsidRPr="00723DA9">
        <w:rPr>
          <w:rFonts w:ascii="Times New Roman" w:hAnsi="Times New Roman" w:cs="Times New Roman"/>
          <w:noProof/>
          <w:sz w:val="24"/>
          <w:szCs w:val="24"/>
        </w:rPr>
        <w:t>Schwartz (2016)</w:t>
      </w:r>
      <w:r w:rsidR="00C82E7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applied the dual resolution DA method to precipitation forecasts over the conterminous United States</w:t>
      </w:r>
      <w:r w:rsidR="0033710E" w:rsidRPr="0033710E">
        <w:rPr>
          <w:rFonts w:ascii="Times New Roman" w:hAnsi="Times New Roman" w:cs="Times New Roman"/>
          <w:sz w:val="24"/>
          <w:szCs w:val="24"/>
        </w:rPr>
        <w:t xml:space="preserve"> </w:t>
      </w:r>
      <w:r w:rsidR="0033710E">
        <w:rPr>
          <w:rFonts w:ascii="Times New Roman" w:hAnsi="Times New Roman" w:cs="Times New Roman"/>
          <w:sz w:val="24"/>
          <w:szCs w:val="24"/>
        </w:rPr>
        <w:t>(</w:t>
      </w:r>
      <w:r w:rsidR="0033710E" w:rsidRPr="00723DA9">
        <w:rPr>
          <w:rFonts w:ascii="Times New Roman" w:hAnsi="Times New Roman" w:cs="Times New Roman"/>
          <w:sz w:val="24"/>
          <w:szCs w:val="24"/>
        </w:rPr>
        <w:t>CONUS</w:t>
      </w:r>
      <w:r w:rsidRPr="00723DA9">
        <w:rPr>
          <w:rFonts w:ascii="Times New Roman" w:hAnsi="Times New Roman" w:cs="Times New Roman"/>
          <w:sz w:val="24"/>
          <w:szCs w:val="24"/>
        </w:rPr>
        <w:t xml:space="preserve">). </w:t>
      </w:r>
      <w:r w:rsidR="00CC4EC7">
        <w:rPr>
          <w:rFonts w:ascii="Times New Roman" w:hAnsi="Times New Roman" w:cs="Times New Roman"/>
          <w:sz w:val="24"/>
          <w:szCs w:val="24"/>
        </w:rPr>
        <w:t xml:space="preserve"> </w:t>
      </w:r>
      <w:r w:rsidRPr="00723DA9">
        <w:rPr>
          <w:rFonts w:ascii="Times New Roman" w:hAnsi="Times New Roman" w:cs="Times New Roman"/>
          <w:sz w:val="24"/>
          <w:szCs w:val="24"/>
        </w:rPr>
        <w:t xml:space="preserve">In their dual-resolution DA settings, a control background used 4-km convection-allowing horizontal grid spacing while the ensembles used 20-km convection-parameterizing horizontal grid spacing. </w:t>
      </w:r>
      <w:r w:rsidR="00CC4EC7">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dual-resolution DA was found to improve the precipitation forecasts for the first 12 hours upon the single-resolution DA where both control background and ensembles are at 20-km convection-parameterizing horizontal grid spacing. </w:t>
      </w:r>
      <w:r w:rsidR="00CC4EC7">
        <w:rPr>
          <w:rFonts w:ascii="Times New Roman" w:hAnsi="Times New Roman" w:cs="Times New Roman"/>
          <w:sz w:val="24"/>
          <w:szCs w:val="24"/>
        </w:rPr>
        <w:t xml:space="preserve"> </w:t>
      </w:r>
      <w:r w:rsidRPr="00723DA9">
        <w:rPr>
          <w:rFonts w:ascii="Times New Roman" w:hAnsi="Times New Roman" w:cs="Times New Roman"/>
          <w:sz w:val="24"/>
          <w:szCs w:val="24"/>
        </w:rPr>
        <w:t>The dual-resolution configuration has not been examined for hurricane prediction, and this study is the first to extend the capability with the newly developed HWRF hybrid DA system.</w:t>
      </w:r>
      <w:r w:rsidR="00CC4EC7">
        <w:rPr>
          <w:rFonts w:ascii="Times New Roman" w:hAnsi="Times New Roman" w:cs="Times New Roman"/>
          <w:sz w:val="24"/>
          <w:szCs w:val="24"/>
        </w:rPr>
        <w:t xml:space="preserve"> </w:t>
      </w:r>
      <w:r w:rsidRPr="00723DA9">
        <w:rPr>
          <w:rFonts w:ascii="Times New Roman" w:hAnsi="Times New Roman" w:cs="Times New Roman"/>
          <w:sz w:val="24"/>
          <w:szCs w:val="24"/>
        </w:rPr>
        <w:t xml:space="preserve"> In particular, the control analysis and background is run at the convection-allowing 3-km horizontal grid spacing whereas the ensemble background is run at the 9-km convection-parameterizing horizontal grid spacing. </w:t>
      </w:r>
      <w:r w:rsidR="00CC4EC7">
        <w:rPr>
          <w:rFonts w:ascii="Times New Roman" w:hAnsi="Times New Roman" w:cs="Times New Roman"/>
          <w:sz w:val="24"/>
          <w:szCs w:val="24"/>
        </w:rPr>
        <w:t xml:space="preserve"> </w:t>
      </w:r>
      <w:r w:rsidRPr="00723DA9">
        <w:rPr>
          <w:rFonts w:ascii="Times New Roman" w:hAnsi="Times New Roman" w:cs="Times New Roman"/>
          <w:sz w:val="24"/>
          <w:szCs w:val="24"/>
        </w:rPr>
        <w:t xml:space="preserve">Using an experiment where all control and the ensemble are run at the </w:t>
      </w:r>
      <w:r w:rsidRPr="00723DA9">
        <w:rPr>
          <w:rFonts w:ascii="Times New Roman" w:hAnsi="Times New Roman" w:cs="Times New Roman"/>
          <w:sz w:val="24"/>
          <w:szCs w:val="24"/>
        </w:rPr>
        <w:lastRenderedPageBreak/>
        <w:t>9-km horizontal grid spacing reveals the impact of introducing a convection-allowing control analysis and background for hurricane prediction.</w:t>
      </w:r>
    </w:p>
    <w:p w14:paraId="4E531EBE" w14:textId="25773503"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While satellites provide the majority of observations over the open ocean, effective utilization of cloud contaminated satellite observation in DA still remains a challenge</w:t>
      </w:r>
      <w:r w:rsidR="00C82E72" w:rsidRPr="00723DA9">
        <w:rPr>
          <w:rFonts w:ascii="Times New Roman" w:hAnsi="Times New Roman" w:cs="Times New Roman"/>
          <w:sz w:val="24"/>
          <w:szCs w:val="24"/>
        </w:rPr>
        <w:t xml:space="preserve"> </w:t>
      </w:r>
      <w:r w:rsidR="00C82E72" w:rsidRPr="00723DA9">
        <w:rPr>
          <w:rFonts w:ascii="Times New Roman" w:hAnsi="Times New Roman" w:cs="Times New Roman"/>
          <w:sz w:val="24"/>
          <w:szCs w:val="24"/>
        </w:rPr>
        <w:fldChar w:fldCharType="begin" w:fldLock="1"/>
      </w:r>
      <w:r w:rsidR="001A2CB2" w:rsidRPr="00723DA9">
        <w:rPr>
          <w:rFonts w:ascii="Times New Roman" w:hAnsi="Times New Roman" w:cs="Times New Roman"/>
          <w:sz w:val="24"/>
          <w:szCs w:val="24"/>
        </w:rPr>
        <w:instrText>ADDIN CSL_CITATION {"citationItems":[{"id":"ITEM-1","itemData":{"DOI":"10.1256/qj.05.189","ISSN":"00359009","abstract":"This paper presents the operational implementation of a 1D+4D-Var assimilation system of rain-affected satellite observations at the European Centre for Medium-Range Weather Forecasts. The first part describes the methodology and performance analysis of the 1D-Var retrieval scheme in clouds and precipitation that uses Special Sensor Microwave/Imager microwave radiance observations for the estimation of total-column water vapour. The second part shows the global and long-term impact of these observations on both model 4D-Var analyses and medium-range forecasts. The 1D-Var scheme employs a complex observation operator that consists of linearized moist physics parametrization schemes and a multiple-scattering radiative-transfer model. The observation operator shows rather linear behaviour in most situations except in the presence of very intense precipitation suggesting a possible use even for a direct assimilation of radiances in 4D-Var. A bias correction and observation-error estimation method were implemented and indicate stable error behaviour. The 1D-Var algorithm quality control shows the largest failure number in areas with mostly frozen precipitation where the Special Sensor Microwave/Imager channels have little sensitivity to changes in hydrometeor contents. From test analyses on a global scale, a small moisture increase was computed that was greatest in dry subtropical areas. Large-scale and convective precipitation were increased similarly but showed a significantly different geographical distribution. The large-scale precipitation scheme has a stronger sensitivity to moisture changes and therefore moisture increments mainly affect stratiform precipitation distributions. While the global mean moisture fields are only weakly affected by the assimilation of rain-affected observations, the impact on local systems may be quite large. The forecast of synoptic system development through the 4D-Var analysis can be significant","author":[{"dropping-particle":"","family":"Bauer","given":"Peter","non-dropping-particle":"","parse-names":false,"suffix":""},{"dropping-particle":"","family":"Lopez","given":"Philippe","non-dropping-particle":"","parse-names":false,"suffix":""},{"dropping-particle":"","family":"Benedetti","given":"Angela","non-dropping-particle":"","parse-names":false,"suffix":""},{"dropping-particle":"","family":"Salmond","given":"Deborah","non-dropping-particle":"","parse-names":false,"suffix":""},{"dropping-particle":"","family":"Moreau","given":"Emmanuel","non-dropping-particle":"","parse-names":false,"suffix":""}],"container-title":"Quarterly Journal of the Royal Meteorological Society","id":"ITEM-1","issue":"620","issued":{"date-parts":[["2006"]]},"page":"2277-2306","title":"Implementation of 1D+4D-Var assimilation of precipitation-affected microwave radiances at ECMWF. I: 1D-Var","type":"article-journal","volume":"132"},"uris":["http://www.mendeley.com/documents/?uuid=03a30b3f-8ace-4baa-91d9-dfaf24cd0e45"]},{"id":"ITEM-2","itemData":{"DOI":"10.1002/qj.905","ISSN":"00359009","author":[{"dropping-particle":"","family":"Bauer","given":"Peter","non-dropping-particle":"","parse-names":false,"suffix":""},{"dropping-particle":"","family":"Auligné","given":"Thomas","non-dropping-particle":"","parse-names":false,"suffix":""},{"dropping-particle":"","family":"Bell","given":"William","non-dropping-particle":"","parse-names":false,"suffix":""},{"dropping-particle":"","family":"Geer","given":"Alan","non-dropping-particle":"","parse-names":false,"suffix":""},{"dropping-particle":"","family":"Guidard","given":"Vincent","non-dropping-particle":"","parse-names":false,"suffix":""},{"dropping-particle":"","family":"Heilliette","given":"Sylvain","non-dropping-particle":"","parse-names":false,"suffix":""},{"dropping-particle":"","family":"Kazumori","given":"Masahiro","non-dropping-particle":"","parse-names":false,"suffix":""},{"dropping-particle":"","family":"Kim","given":"Min Jeong","non-dropping-particle":"","parse-names":false,"suffix":""},{"dropping-particle":"","family":"Liu","given":"Emily H C","non-dropping-particle":"","parse-names":false,"suffix":""},{"dropping-particle":"","family":"Mcnally","given":"Anthony P.","non-dropping-particle":"","parse-names":false,"suffix":""},{"dropping-particle":"","family":"Macpherson","given":"Bruce","non-dropping-particle":"","parse-names":false,"suffix":""},{"dropping-particle":"","family":"Okamoto","given":"Kozo","non-dropping-particle":"","parse-names":false,"suffix":""},{"dropping-particle":"","family":"Renshaw","given":"Richard","non-dropping-particle":"","parse-names":false,"suffix":""},{"dropping-particle":"","family":"Riishøjgaard","given":"Lars Peter","non-dropping-particle":"","parse-names":false,"suffix":""}],"container-title":"Quarterly Journal of the Royal Meteorological Society","id":"ITEM-2","issue":"661","issued":{"date-parts":[["2011"]]},"page":"1934-1951","title":"Satellite cloud and precipitation assimilation at operational NWP centres","type":"article-journal","volume":"137"},"uris":["http://www.mendeley.com/documents/?uuid=d952a250-3fe4-48a7-83d5-b4721ba15021"]},{"id":"ITEM-3","itemData":{"DOI":"10.3402/tellusa.v68.30917","ISSN":"16000870","author":[{"dropping-particle":"","family":"Yang","given":"Chun","non-dropping-particle":"","parse-names":false,"suffix":""},{"dropping-particle":"","family":"Liu","given":"Zhiquan","non-dropping-particle":"","parse-names":false,"suffix":""},{"dropping-particle":"","family":"Bresch","given":"Jamie","non-dropping-particle":"","parse-names":false,"suffix":""},{"dropping-particle":"","family":"Rizvi","given":"Syed R.H.","non-dropping-particle":"","parse-names":false,"suffix":""},{"dropping-particle":"","family":"Huang","given":"Xiang-Yu","non-dropping-particle":"","parse-names":false,"suffix":""},{"dropping-particle":"","family":"Min","given":"Jinzhong","non-dropping-particle":"","parse-names":false,"suffix":""}],"container-title":"Tellus A","id":"ITEM-3","issue":"30917","issued":{"date-parts":[["2016"]]},"page":"1-19","title":"AMSR2 all-sky radiance assimilation and its impact on the analysis and forecast of Hurricane Sandy with a limited-area data assimilation system","type":"article-journal","volume":"68"},"uris":["http://www.mendeley.com/documents/?uuid=5caf5541-7acc-4cc4-a43c-bae47fb6fd31"]},{"id":"ITEM-4","itemData":{"DOI":"10.1002/2016GL068468","ISSN":"19448007","author":[{"dropping-particle":"","family":"Zhang","given":"Fuqing","non-dropping-particle":"","parse-names":false,"suffix":""},{"dropping-particle":"","family":"Minamide","given":"Masashi","non-dropping-particle":"","parse-names":false,"suffix":""},{"dropping-particle":"","family":"Clothiaux","given":"Eugene E.","non-dropping-particle":"","parse-names":false,"suffix":""}],"container-title":"Geophysical Research Letters","id":"ITEM-4","issued":{"date-parts":[["2016"]]},"page":"2954-2963","title":"Potential impacts of assimilating all-sky infrared satellite radiances from GOES-R on convection-permitting analysis and prediction of tropical cyclones","type":"article-journal","volume":"43"},"uris":["http://www.mendeley.com/documents/?uuid=b0ab02b4-5dc3-445c-b6cb-45b383c636cd"]}],"mendeley":{"formattedCitation":"(Bauer et al. 2006, 2011; Yang et al. 2016; Zhang et al. 2016)","plainTextFormattedCitation":"(Bauer et al. 2006, 2011; Yang et al. 2016; Zhang et al. 2016)","previouslyFormattedCitation":"(Bauer et al. 2006, 2011; Yang et al. 2016; Zhang et al. 2016)"},"properties":{"noteIndex":0},"schema":"https://github.com/citation-style-language/schema/raw/master/csl-citation.json"}</w:instrText>
      </w:r>
      <w:r w:rsidR="00C82E72" w:rsidRPr="00723DA9">
        <w:rPr>
          <w:rFonts w:ascii="Times New Roman" w:hAnsi="Times New Roman" w:cs="Times New Roman"/>
          <w:sz w:val="24"/>
          <w:szCs w:val="24"/>
        </w:rPr>
        <w:fldChar w:fldCharType="separate"/>
      </w:r>
      <w:r w:rsidR="00C82E72" w:rsidRPr="00723DA9">
        <w:rPr>
          <w:rFonts w:ascii="Times New Roman" w:hAnsi="Times New Roman" w:cs="Times New Roman"/>
          <w:noProof/>
          <w:sz w:val="24"/>
          <w:szCs w:val="24"/>
        </w:rPr>
        <w:t>(Bauer et al. 2006, 2011; Yang et al. 2016; Zhang et al. 2016)</w:t>
      </w:r>
      <w:r w:rsidR="00C82E7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Although various field campaigns provide unprecedented and valuable inner core observations of TCs over the open water [e.g. IFEX field campaign</w:t>
      </w:r>
      <w:r w:rsidR="001A2CB2" w:rsidRPr="00723DA9">
        <w:rPr>
          <w:rFonts w:ascii="Times New Roman" w:hAnsi="Times New Roman" w:cs="Times New Roman"/>
          <w:sz w:val="24"/>
          <w:szCs w:val="24"/>
        </w:rPr>
        <w:t xml:space="preserve"> </w:t>
      </w:r>
      <w:r w:rsidR="001A2CB2" w:rsidRPr="00723DA9">
        <w:rPr>
          <w:rFonts w:ascii="Times New Roman" w:hAnsi="Times New Roman" w:cs="Times New Roman"/>
          <w:sz w:val="24"/>
          <w:szCs w:val="24"/>
        </w:rPr>
        <w:fldChar w:fldCharType="begin" w:fldLock="1"/>
      </w:r>
      <w:r w:rsidR="001A2CB2" w:rsidRPr="00723DA9">
        <w:rPr>
          <w:rFonts w:ascii="Times New Roman" w:hAnsi="Times New Roman" w:cs="Times New Roman"/>
          <w:sz w:val="24"/>
          <w:szCs w:val="24"/>
        </w:rPr>
        <w:instrText>ADDIN CSL_CITATION {"citationItems":[{"id":"ITEM-1","itemData":{"DOI":"10.1175/BAMS-D-12-00089.1","ISSN":"00030007","author":[{"dropping-particle":"","family":"Rogers","given":"Robert","non-dropping-particle":"","parse-names":false,"suffix":""},{"dropping-particle":"","family":"Aberson","given":"Sim","non-dropping-particle":"","parse-names":false,"suffix":""},{"dropping-particle":"","family":"Aksoy","given":"Altug","non-dropping-particle":"","parse-names":false,"suffix":""},{"dropping-particle":"","family":"Annane","given":"Bachir","non-dropping-particle":"","parse-names":false,"suffix":""},{"dropping-particle":"","family":"Black","given":"Michael","non-dropping-particle":"","parse-names":false,"suffix":""},{"dropping-particle":"","family":"Cione","given":"Joseph","non-dropping-particle":"","parse-names":false,"suffix":""},{"dropping-particle":"","family":"Dorst","given":"Neal","non-dropping-particle":"","parse-names":false,"suffix":""},{"dropping-particle":"","family":"Dunion","given":"Jason","non-dropping-particle":"","parse-names":false,"suffix":""},{"dropping-particle":"","family":"Gamache","given":"John","non-dropping-particle":"","parse-names":false,"suffix":""},{"dropping-particle":"","family":"Goldenberg","given":"Stan","non-dropping-particle":"","parse-names":false,"suffix":""},{"dropping-particle":"","family":"Gopalakrishnan","given":"Sundararaman","non-dropping-particle":"","parse-names":false,"suffix":""},{"dropping-particle":"","family":"Kaplan","given":"John","non-dropping-particle":"","parse-names":false,"suffix":""},{"dropping-particle":"","family":"Klotz","given":"Bradley","non-dropping-particle":"","parse-names":false,"suffix":""},{"dropping-particle":"","family":"Lorsolo","given":"Sylvie","non-dropping-particle":"","parse-names":false,"suffix":""},{"dropping-particle":"","family":"Marks","given":"Frank","non-dropping-particle":"","parse-names":false,"suffix":""},{"dropping-particle":"","family":"Murillo","given":"Shirley","non-dropping-particle":"","parse-names":false,"suffix":""},{"dropping-particle":"","family":"Powell","given":"Mark","non-dropping-particle":"","parse-names":false,"suffix":""},{"dropping-particle":"","family":"Reasor","given":"Paul","non-dropping-particle":"","parse-names":false,"suffix":""},{"dropping-particle":"","family":"Sellwood","given":"Kathryn","non-dropping-particle":"","parse-names":false,"suffix":""},{"dropping-particle":"","family":"Uhlhorn","given":"Eric","non-dropping-particle":"","parse-names":false,"suffix":""},{"dropping-particle":"","family":"Vukicevic","given":"Tomislava","non-dropping-particle":"","parse-names":false,"suffix":""},{"dropping-particle":"","family":"Zhang","given":"Jun","non-dropping-particle":"","parse-names":false,"suffix":""},{"dropping-particle":"","family":"Zhang","given":"Xuejin","non-dropping-particle":"","parse-names":false,"suffix":""}],"container-title":"Bulletin of the American Meteorological Society","id":"ITEM-1","issue":"6","issued":{"date-parts":[["2013"]]},"page":"859-882","title":"NOAA'S hurricane intensity forecasting experiment: A progress report","type":"article-journal","volume":"94"},"uris":["http://www.mendeley.com/documents/?uuid=7781a0e9-8f89-404c-a717-d583ffcc10e2"]}],"mendeley":{"formattedCitation":"(Rogers et al. 2013a)","plainTextFormattedCitation":"(Rogers et al. 2013a)","previouslyFormattedCitation":"(Rogers et al. 2013a)"},"properties":{"noteIndex":0},"schema":"https://github.com/citation-style-language/schema/raw/master/csl-citation.json"}</w:instrText>
      </w:r>
      <w:r w:rsidR="001A2CB2" w:rsidRPr="00723DA9">
        <w:rPr>
          <w:rFonts w:ascii="Times New Roman" w:hAnsi="Times New Roman" w:cs="Times New Roman"/>
          <w:sz w:val="24"/>
          <w:szCs w:val="24"/>
        </w:rPr>
        <w:fldChar w:fldCharType="separate"/>
      </w:r>
      <w:r w:rsidR="001A2CB2" w:rsidRPr="00723DA9">
        <w:rPr>
          <w:rFonts w:ascii="Times New Roman" w:hAnsi="Times New Roman" w:cs="Times New Roman"/>
          <w:noProof/>
          <w:sz w:val="24"/>
          <w:szCs w:val="24"/>
        </w:rPr>
        <w:t>(Rogers et al. 2013a)</w:t>
      </w:r>
      <w:r w:rsidR="001A2CB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Sensing Hazards with Operational Unmanned Technology (SHOUT) field campaign</w:t>
      </w:r>
      <w:r w:rsidR="001A2CB2" w:rsidRPr="00723DA9">
        <w:rPr>
          <w:rFonts w:ascii="Times New Roman" w:hAnsi="Times New Roman" w:cs="Times New Roman"/>
          <w:sz w:val="24"/>
          <w:szCs w:val="24"/>
        </w:rPr>
        <w:t xml:space="preserve"> </w:t>
      </w:r>
      <w:r w:rsidR="001A2CB2" w:rsidRPr="00723DA9">
        <w:rPr>
          <w:rFonts w:ascii="Times New Roman" w:hAnsi="Times New Roman" w:cs="Times New Roman"/>
          <w:sz w:val="24"/>
          <w:szCs w:val="24"/>
        </w:rPr>
        <w:fldChar w:fldCharType="begin" w:fldLock="1"/>
      </w:r>
      <w:r w:rsidR="001A2CB2" w:rsidRPr="00723DA9">
        <w:rPr>
          <w:rFonts w:ascii="Times New Roman" w:hAnsi="Times New Roman" w:cs="Times New Roman"/>
          <w:sz w:val="24"/>
          <w:szCs w:val="24"/>
        </w:rPr>
        <w:instrText>ADDIN CSL_CITATION {"citationItems":[{"id":"ITEM-1","itemData":{"DOI":"https://doi.org/10.7289/V5/TM-OAR-UAS-003","author":[{"dropping-particle":"","family":"Kenul","given":"Phil","non-dropping-particle":"","parse-names":false,"suffix":""},{"dropping-particle":"","family":"Coffey","given":"John","non-dropping-particle":"","parse-names":false,"suffix":""},{"dropping-particle":"","family":"Walker","given":"John","non-dropping-particle":"","parse-names":false,"suffix":""},{"dropping-particle":"","family":"Roberts","given":"Andy","non-dropping-particle":"","parse-names":false,"suffix":""},{"dropping-particle":"","family":"Huning","given":"Jim","non-dropping-particle":"","parse-names":false,"suffix":""}],"container-title":"NOAA Technical Memorandum OAR UAS-003","id":"ITEM-1","issued":{"date-parts":[["2018"]]},"title":"NOAA Technical Memorandum OAR GSD-61","type":"report"},"uris":["http://www.mendeley.com/documents/?uuid=6d29948a-3d66-4886-9914-060b3cd651f5"]}],"mendeley":{"formattedCitation":"(Kenul et al. 2018)","plainTextFormattedCitation":"(Kenul et al. 2018)","previouslyFormattedCitation":"(Kenul et al. 2018)"},"properties":{"noteIndex":0},"schema":"https://github.com/citation-style-language/schema/raw/master/csl-citation.json"}</w:instrText>
      </w:r>
      <w:r w:rsidR="001A2CB2" w:rsidRPr="00723DA9">
        <w:rPr>
          <w:rFonts w:ascii="Times New Roman" w:hAnsi="Times New Roman" w:cs="Times New Roman"/>
          <w:sz w:val="24"/>
          <w:szCs w:val="24"/>
        </w:rPr>
        <w:fldChar w:fldCharType="separate"/>
      </w:r>
      <w:r w:rsidR="001A2CB2" w:rsidRPr="00723DA9">
        <w:rPr>
          <w:rFonts w:ascii="Times New Roman" w:hAnsi="Times New Roman" w:cs="Times New Roman"/>
          <w:noProof/>
          <w:sz w:val="24"/>
          <w:szCs w:val="24"/>
        </w:rPr>
        <w:t>(Kenul et al. 2018)</w:t>
      </w:r>
      <w:r w:rsidR="001A2CB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t>
      </w:r>
      <w:r w:rsidR="000416ED">
        <w:rPr>
          <w:rFonts w:ascii="Times New Roman" w:hAnsi="Times New Roman" w:cs="Times New Roman"/>
          <w:sz w:val="24"/>
          <w:szCs w:val="24"/>
        </w:rPr>
        <w:t xml:space="preserve">and </w:t>
      </w:r>
      <w:r w:rsidRPr="00723DA9">
        <w:rPr>
          <w:rFonts w:ascii="Times New Roman" w:hAnsi="Times New Roman" w:cs="Times New Roman"/>
          <w:sz w:val="24"/>
          <w:szCs w:val="24"/>
        </w:rPr>
        <w:t>TCI field campaign</w:t>
      </w:r>
      <w:r w:rsidR="001A2CB2" w:rsidRPr="00723DA9">
        <w:rPr>
          <w:rFonts w:ascii="Times New Roman" w:hAnsi="Times New Roman" w:cs="Times New Roman"/>
          <w:sz w:val="24"/>
          <w:szCs w:val="24"/>
        </w:rPr>
        <w:t xml:space="preserve"> </w:t>
      </w:r>
      <w:r w:rsidR="001A2CB2" w:rsidRPr="00723DA9">
        <w:rPr>
          <w:rFonts w:ascii="Times New Roman" w:hAnsi="Times New Roman" w:cs="Times New Roman"/>
          <w:sz w:val="24"/>
          <w:szCs w:val="24"/>
        </w:rPr>
        <w:fldChar w:fldCharType="begin" w:fldLock="1"/>
      </w:r>
      <w:r w:rsidR="00573C25" w:rsidRPr="00723DA9">
        <w:rPr>
          <w:rFonts w:ascii="Times New Roman" w:hAnsi="Times New Roman" w:cs="Times New Roman"/>
          <w:sz w:val="24"/>
          <w:szCs w:val="24"/>
        </w:rPr>
        <w:instrText>ADDIN CSL_CITATION {"citationItems":[{"id":"ITEM-1","itemData":{"DOI":"10.1175/BAMS-D-16-0055.1","ISSN":"0003-0007","author":[{"dropping-particle":"","family":"Doyle","given":"James D.","non-dropping-particle":"","parse-names":false,"suffix":""},{"dropping-particle":"","family":"Moskaitis","given":"Jon","non-dropping-particle":"","parse-names":false,"suffix":""},{"dropping-particle":"","family":"Feldmeier","given":"Joel","non-dropping-particle":"","parse-names":false,"suffix":""},{"dropping-particle":"","family":"Ferek","given":"Ronald","non-dropping-particle":"","parse-names":false,"suffix":""},{"dropping-particle":"","family":"Beaubien","given":"Mark","non-dropping-particle":"","parse-names":false,"suffix":""},{"dropping-particle":"","family":"Bell","given":"Michael","non-dropping-particle":"","parse-names":false,"suffix":""},{"dropping-particle":"","family":"Cecil","given":"Daniel","non-dropping-particle":"","parse-names":false,"suffix":""},{"dropping-particle":"","family":"Creasey","given":"Robert","non-dropping-particle":"","parse-names":false,"suffix":""},{"dropping-particle":"","family":"Duran","given":"Patrick","non-dropping-particle":"","parse-names":false,"suffix":""},{"dropping-particle":"","family":"Elsberry","given":"Russ","non-dropping-particle":"","parse-names":false,"suffix":""},{"dropping-particle":"","family":"Komaromi","given":"Will","non-dropping-particle":"","parse-names":false,"suffix":""},{"dropping-particle":"","family":"Molinari","given":"John","non-dropping-particle":"","parse-names":false,"suffix":""},{"dropping-particle":"","family":"Ryglicki","given":"David","non-dropping-particle":"","parse-names":false,"suffix":""},{"dropping-particle":"","family":"Stern","given":"Daniel","non-dropping-particle":"","parse-names":false,"suffix":""},{"dropping-particle":"","family":"Velden","given":"Chris","non-dropping-particle":"","parse-names":false,"suffix":""},{"dropping-particle":"","family":"Wang","given":"Xuguang","non-dropping-particle":"","parse-names":false,"suffix":""},{"dropping-particle":"","family":"Allen","given":"Todd","non-dropping-particle":"","parse-names":false,"suffix":""},{"dropping-particle":"","family":"Barrett","given":"Bradford","non-dropping-particle":"","parse-names":false,"suffix":""},{"dropping-particle":"","family":"Black","given":"Peter","non-dropping-particle":"","parse-names":false,"suffix":""},{"dropping-particle":"","family":"Dunion","given":"Jason","non-dropping-particle":"","parse-names":false,"suffix":""},{"dropping-particle":"","family":"Emanuel","given":"Kerry","non-dropping-particle":"","parse-names":false,"suffix":""},{"dropping-particle":"","family":"Harr","given":"Pat","non-dropping-particle":"","parse-names":false,"suffix":""},{"dropping-particle":"","family":"Harrison","given":"Lee","non-dropping-particle":"","parse-names":false,"suffix":""},{"dropping-particle":"","family":"Hendricks","given":"Eric","non-dropping-particle":"","parse-names":false,"suffix":""},{"dropping-particle":"","family":"Herndon","given":"Derrick","non-dropping-particle":"","parse-names":false,"suffix":""},{"dropping-particle":"","family":"Jeffries","given":"William","non-dropping-particle":"","parse-names":false,"suffix":""},{"dropping-particle":"","family":"Majumdar","given":"Sharanya J.","non-dropping-particle":"","parse-names":false,"suffix":""},{"dropping-particle":"","family":"Moore","given":"James","non-dropping-particle":"","parse-names":false,"suffix":""},{"dropping-particle":"","family":"Pu","given":"Zhaoxia","non-dropping-particle":"","parse-names":false,"suffix":""},{"dropping-particle":"","family":"Rogers","given":"Robert","non-dropping-particle":"","parse-names":false,"suffix":""},{"dropping-particle":"","family":"Sanabia","given":"Elizabeth","non-dropping-particle":"","parse-names":false,"suffix":""},{"dropping-particle":"","family":"Tripoli","given":"Gregory","non-dropping-particle":"","parse-names":false,"suffix":""},{"dropping-particle":"","family":"Zhang","given":"Da-Lin","non-dropping-particle":"","parse-names":false,"suffix":""}],"container-title":"Bulletin of the American Meteorological Society","id":"ITEM-1","issued":{"date-parts":[["2017"]]},"page":"2113-2134","title":"A View of Tropical Cyclones from Above: The Tropical Cyclone Intensity (TCI) Experiment","type":"article-journal","volume":"98"},"uris":["http://www.mendeley.com/documents/?uuid=60c3c0a0-836e-40e1-9511-4e4e563a9101"]}],"mendeley":{"formattedCitation":"(Doyle et al. 2017)","plainTextFormattedCitation":"(Doyle et al. 2017)","previouslyFormattedCitation":"(Doyle et al. 2017)"},"properties":{"noteIndex":0},"schema":"https://github.com/citation-style-language/schema/raw/master/csl-citation.json"}</w:instrText>
      </w:r>
      <w:r w:rsidR="001A2CB2" w:rsidRPr="00723DA9">
        <w:rPr>
          <w:rFonts w:ascii="Times New Roman" w:hAnsi="Times New Roman" w:cs="Times New Roman"/>
          <w:sz w:val="24"/>
          <w:szCs w:val="24"/>
        </w:rPr>
        <w:fldChar w:fldCharType="separate"/>
      </w:r>
      <w:r w:rsidR="001A2CB2" w:rsidRPr="00723DA9">
        <w:rPr>
          <w:rFonts w:ascii="Times New Roman" w:hAnsi="Times New Roman" w:cs="Times New Roman"/>
          <w:noProof/>
          <w:sz w:val="24"/>
          <w:szCs w:val="24"/>
        </w:rPr>
        <w:t>(Doyle et al. 2017)</w:t>
      </w:r>
      <w:r w:rsidR="001A2CB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it is unusual to have routine sampling of the inner-core of a TC for its entire lifetime.  To partly solve this issue, early studies used bogus vortex methods to initialize vortex position and structure based on limited vortex information </w:t>
      </w:r>
      <w:r w:rsidR="00573C25" w:rsidRPr="00723DA9">
        <w:rPr>
          <w:rFonts w:ascii="Times New Roman" w:hAnsi="Times New Roman" w:cs="Times New Roman"/>
          <w:sz w:val="24"/>
          <w:szCs w:val="24"/>
        </w:rPr>
        <w:fldChar w:fldCharType="begin" w:fldLock="1"/>
      </w:r>
      <w:r w:rsidR="00E813DE" w:rsidRPr="00723DA9">
        <w:rPr>
          <w:rFonts w:ascii="Times New Roman" w:hAnsi="Times New Roman" w:cs="Times New Roman"/>
          <w:sz w:val="24"/>
          <w:szCs w:val="24"/>
        </w:rPr>
        <w:instrText>ADDIN CSL_CITATION {"citationItems":[{"id":"ITEM-1","itemData":{"DOI":"10.1175/1520-0493(1990)118&lt;2185:PEOHGU&gt;2.0.CO;2","ISSN":"0027-0644","author":[{"dropping-particle":"","family":"Kurihara","given":"Y","non-dropping-particle":"","parse-names":false,"suffix":""},{"dropping-particle":"","family":"Bender","given":"MA","non-dropping-particle":"","parse-names":false,"suffix":""}],"container-title":"Monthly Weather …","id":"ITEM-1","issue":"OCTOBER 1990","issued":{"date-parts":[["1990"]]},"title":"Prediction experiments of Hurricane Gloria (1985) using a multiply nested movable mesh model","type":"article-journal"},"uris":["http://www.mendeley.com/documents/?uuid=0b36309c-9a68-42a3-b8ad-08c7c8e6ee42"]},{"id":"ITEM-2","itemData":{"DOI":"10.1175/1520-0493(1993)121&lt;2030:AISOHM&gt;2.0.CO;2","ISBN":"1520-0493","ISSN":"0027-0644","abstract":"Abstract A scheme is presented to improve the representation of a tropical cyclone in the initial condition of a high-resolution hurricane model. In the proposed method, a crudely resolved tropical cyclone in the large-scale analysis is replaced by a vortex that is properly specified for use in the prediction model. Appropriate filters are used to remove the vortex from the large-scale analysis so that a smooth environmental field remains. The new specified bogus vortex takes the form of a deviation from this environmental held so that it can be easily merged with the latter field at the correct position. The specified vortex consists of both axisymmetric and asymmetric components. The symmetric component is generated by the time integration of an axisymmetric version of the hurricane prediction model. This ensures dynamical and thermodynamical consistency in the vortex structure, including the moisture field, and also compatibility of the vortex with the resolution and physics of the hurricane model. In ...","author":[{"dropping-particle":"","family":"Kurihara","given":"Yoshio","non-dropping-particle":"","parse-names":false,"suffix":""},{"dropping-particle":"","family":"Bender","given":"Morris A.","non-dropping-particle":"","parse-names":false,"suffix":""},{"dropping-particle":"","family":"Ross","given":"Rebecca J","non-dropping-particle":"","parse-names":false,"suffix":""}],"container-title":"Monthly Weather Review","id":"ITEM-2","issue":"7","issued":{"date-parts":[["1993"]]},"page":"2030-2045","title":"An initialization scheme of hurricane models by vortex specification","type":"article","volume":"121"},"uris":["http://www.mendeley.com/documents/?uuid=f0a9dc80-c89a-4b26-b328-9d19c4e27f3d"]},{"id":"ITEM-3","itemData":{"DOI":"10.1175/1520-0493(1995)123&lt;2791:IITGHP&gt;2.0.CO;2","ISBN":"1520-0493","ISSN":"0027-0644","abstract":"Abstract The hurricane model initialization scheme developed at GFDL was modified to improve the representation of the environmental fields in the initial condition. The filter domain defining the extent of the tropical cyclone in the global analysis is determined from the distribution of the low-level disturbance winds. The shape of the domain is generally not circular in order to minimize the removal of important nonhurricane features near the storm region. An optimum interpolation technique is used to determine the environmental fields within the filter domain. Outside of the domain, the environmental fields are identical to the original global analysis. The generation process of the realistic and model-compatible vortex has also undergone some minor modifications so that reasonable vortices are produced for various data conditions. The upgraded hurricane prediction system was tested for a number of cases and compared against the previous version and yielded an overall improvement in the forecasts of s...","author":[{"dropping-particle":"","family":"Kurihara","given":"Yoshio","non-dropping-particle":"","parse-names":false,"suffix":""},{"dropping-particle":"","family":"Bender","given":"Morris a.","non-dropping-particle":"","parse-names":false,"suffix":""},{"dropping-particle":"","family":"Tuleya","given":"Robert E.","non-dropping-particle":"","parse-names":false,"suffix":""},{"dropping-particle":"","family":"Ross","given":"Rebecca J.","non-dropping-particle":"","parse-names":false,"suffix":""}],"container-title":"Monthly Weather Review","id":"ITEM-3","issue":"9","issued":{"date-parts":[["1995"]]},"page":"2791-2801","title":"Improvements in the GFDL Hurricane Prediction System","type":"article","volume":"123"},"uris":["http://www.mendeley.com/documents/?uuid=7bd7346e-c9c2-4779-b41b-fa126487ec8e"]},{"id":"ITEM-4","itemData":{"ISBN":"1436-5065","author":[{"dropping-particle":"Van","family":"Thu","given":"Trinh","non-dropping-particle":"","parse-names":false,"suffix":""},{"dropping-particle":"","family":"Krishnamurti","given":"T. N.","non-dropping-particle":"","parse-names":false,"suffix":""}],"container-title":"Meteorology and Atmospheric Physics","id":"ITEM-4","issued":{"date-parts":[["1992"]]},"page":"117-126","title":"Vortex Initialization for Typhoon Track Prediction","type":"article-journal","volume":"47"},"uris":["http://www.mendeley.com/documents/?uuid=cc245fc3-691d-4fff-8191-f3b7bf988305"]},{"id":"ITEM-5","itemData":{"DOI":"10.1175/1520-0493(1993)121&lt;2046:IITCTA&gt;2.0.CO;2","ISSN":"0027-0644","abstract":"The initialization scheme designed at GFDL to specify a more realistic initial storm structure of tropical cyclones was tested on four real data cases using the GFDL high-resolution multiply nested movable mesh hurricane model. Three of the test cases involved Hurricane Gloria (1985) in the Atlantic basin; the fourth involved Hurricane Gilbert (1988) in the Gulf of Mexico. The initialization scheme produced an initial vortex that was well adapted to the forecast model and was much more realistic in size and intensity than the storm structure obtained from the NMC T80 global analysis. As a result, the erratic storm motion seen in previous integrations of the GFDL model has been nearly eliminated with dramatic improvements in track forecasts during the first 48 h of the prediction. Using the new scheme, the average 24-h and 48-h forecast error for the four test cases was 58 and 94 km, respectively, compared with 143 and 191 km for the noninitalized forecasts starting from the global analysis. The average National Hurricane Center operational forecast error at 24 and 48 h was 118 and 212 km for the same four cases. After 48 h the difference in the average track error became small between the integrations starting from the global analysis and the forecasts starting from the fields obtained by the initialization scheme. With accurate specification of the initial vortex structure, changes in the storm intensity were also well predicted in them cases. The model correctly forecasted the rapid intensification of Hurricane Gloria just after the system was first upgraded to a hurricane. The model storm intensification also ceased at approximately the same time as observed, with gradual weakening as the storm moved north and approached the east coast of the United States. In the forecast of Hurricane Gilbert, the model storm initially weakened as it moved over the Yucatan Peninsula and underwent only moderate reintensification after moving over the Gulf of Mexico, in good agreement with observations. Finally, in the case where the track of Hurricane Gloria was well forecast, the distribution of the maximum low-level wind was accurately predicted as the storm moved up the east coast of the United States. During this period the model successfully reproduced many observed features such as large asymmetries in the wind field, with strongest winds occurring well east of the storm center, and a sharp decrease of the wind speed at the coast. Although the asymmetry in the …","author":[{"dropping-particle":"","family":"Bender","given":"Morris A.","non-dropping-particle":"","parse-names":false,"suffix":""}],"container-title":"Monthly Weather Review19","id":"ITEM-5","issue":"7","issued":{"date-parts":[["1993"]]},"page":"2046-2061","title":"Improvements in Tropical Cyclone Track and Intensity Forecasts Using the GFDL Initialization System","type":"article","volume":"121"},"uris":["http://www.mendeley.com/documents/?uuid=1e95e7d7-5759-4b59-88f0-35a0f1cafdfb"]},{"id":"ITEM-6","itemData":{"DOI":"10.1175/1520-0493(2001)129&lt;2023:EOBVTW&gt;2.0.CO;2","ISBN":"1520-0493","ISSN":"0027-0644","abstract":"The effectiveness of a four-dimensional variational data assimilation (4-DVAR) technique for creating \"bogus\" vortices in numerical simulations of hurricanes is evaluated in this study. A series of numerical experiments is conducted to generate initial vortices for Hurricane Georges and Bonnie (1998) in the Atlantic Ocean by assimilating bogus sea-level pressure and wind information into a mesoscale numerical model (MM5). Several different strategies are tested for investigating the sensitivity of the initial vortex representation to the type of bogus information.","author":[{"dropping-particle":"","family":"Pu","given":"Zhaoxia","non-dropping-particle":"","parse-names":false,"suffix":""},{"dropping-particle":"","family":"Braun","given":"Scott A.","non-dropping-particle":"","parse-names":false,"suffix":""}],"container-title":"Mon. Wea. Rev.","id":"ITEM-6","issued":{"date-parts":[["2001"]]},"page":"2023-2039","title":"Evaluation of Bogus Vortex Techniques Using Four-Dimensional Variational Data Assimilation","type":"article-journal","volume":"129"},"uris":["http://www.mendeley.com/documents/?uuid=a8dcc923-78a4-4d1a-a9c0-8c9def8556fc"]},{"id":"ITEM-7","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Note","id":"ITEM-7","issued":{"date-parts":[["2000"]]},"page":"472","title":"Improvements in Hurricane Initialization and Forecasting at NCEP with Global and Regional ( GFDL ) models","type":"paper-conference"},"uris":["http://www.mendeley.com/documents/?uuid=432c0949-751b-4f5a-b482-e8a093126d11"]},{"id":"ITEM-8","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Meteorology","id":"ITEM-8","issued":{"date-parts":[["2006"]]},"title":"Hurricane Relocation in Global Ensemble Forecast System","type":"paper-conference"},"uris":["http://www.mendeley.com/documents/?uuid=1a8cbd0a-b8d6-493d-9f17-38a64f3581ee"]},{"id":"ITEM-9","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Center","id":"ITEM-9","issued":{"date-parts":[["2014"]]},"number-of-pages":"1-81","title":"Hurricane Weather Research and Forecasting (HWRF) model: 2014 scientific documentation","type":"report"},"uris":["http://www.mendeley.com/documents/?uuid=f63fdf0a-d919-4d8f-8934-8c12eb353c91"]}],"mendeley":{"formattedCitation":"(Kurihara and Bender 1990; Kurihara et al. 1993, 1995; Thu and Krishnamurti 1992; Bender 1993; Pu and Braun 2001; Liu et al. 2000, 2006; Tallapragada et al. 2014)","plainTextFormattedCitation":"(Kurihara and Bender 1990; Kurihara et al. 1993, 1995; Thu and Krishnamurti 1992; Bender 1993; Pu and Braun 2001; Liu et al. 2000, 2006; Tallapragada et al. 2014)","previouslyFormattedCitation":"(Kurihara and Bender 1990; Kurihara et al. 1993, 1995; Thu and Krishnamurti 1992; Bender 1993; Pu and Braun 2001; Liu et al. 2000, 2006; Tallapragada et al. 2014)"},"properties":{"noteIndex":0},"schema":"https://github.com/citation-style-language/schema/raw/master/csl-citation.json"}</w:instrText>
      </w:r>
      <w:r w:rsidR="00573C25" w:rsidRPr="00723DA9">
        <w:rPr>
          <w:rFonts w:ascii="Times New Roman" w:hAnsi="Times New Roman" w:cs="Times New Roman"/>
          <w:sz w:val="24"/>
          <w:szCs w:val="24"/>
        </w:rPr>
        <w:fldChar w:fldCharType="separate"/>
      </w:r>
      <w:r w:rsidR="00573C25" w:rsidRPr="00723DA9">
        <w:rPr>
          <w:rFonts w:ascii="Times New Roman" w:hAnsi="Times New Roman" w:cs="Times New Roman"/>
          <w:noProof/>
          <w:sz w:val="24"/>
          <w:szCs w:val="24"/>
        </w:rPr>
        <w:t>(Kurihara and Bender 1990; Kurihara et al. 1993, 1995; Thu and Krishnamurti 1992; Bender 1993; Pu and Braun 2001; Liu et al. 2000, 2006; Tallapragada et al. 2014)</w:t>
      </w:r>
      <w:r w:rsidR="00573C25"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In the operational HWRF system, a similar VI procedure is used </w:t>
      </w:r>
      <w:r w:rsidR="00E813DE" w:rsidRPr="00723DA9">
        <w:rPr>
          <w:rFonts w:ascii="Times New Roman" w:hAnsi="Times New Roman" w:cs="Times New Roman"/>
          <w:sz w:val="24"/>
          <w:szCs w:val="24"/>
        </w:rPr>
        <w:fldChar w:fldCharType="begin" w:fldLock="1"/>
      </w:r>
      <w:r w:rsidR="00B11F30" w:rsidRPr="00723DA9">
        <w:rPr>
          <w:rFonts w:ascii="Times New Roman" w:hAnsi="Times New Roman" w:cs="Times New Roman"/>
          <w:sz w:val="24"/>
          <w:szCs w:val="24"/>
        </w:rPr>
        <w:instrText>ADDIN CSL_CITATION {"citationItems":[{"id":"ITEM-1","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Note","id":"ITEM-1","issued":{"date-parts":[["2000"]]},"page":"472","title":"Improvements in Hurricane Initialization and Forecasting at NCEP with Global and Regional ( GFDL ) models","type":"paper-conference"},"uris":["http://www.mendeley.com/documents/?uuid=432c0949-751b-4f5a-b482-e8a093126d11"]},{"id":"ITEM-2","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Meteorology","id":"ITEM-2","issued":{"date-parts":[["2006"]]},"title":"Hurricane Relocation in Global Ensemble Forecast System","type":"paper-conference"},"uris":["http://www.mendeley.com/documents/?uuid=1a8cbd0a-b8d6-493d-9f17-38a64f3581ee"]}],"mendeley":{"formattedCitation":"(Liu et al. 2000, 2006)","plainTextFormattedCitation":"(Liu et al. 2000, 2006)","previouslyFormattedCitation":"(Liu et al. 2000, 2006)"},"properties":{"noteIndex":0},"schema":"https://github.com/citation-style-language/schema/raw/master/csl-citation.json"}</w:instrText>
      </w:r>
      <w:r w:rsidR="00E813DE" w:rsidRPr="00723DA9">
        <w:rPr>
          <w:rFonts w:ascii="Times New Roman" w:hAnsi="Times New Roman" w:cs="Times New Roman"/>
          <w:sz w:val="24"/>
          <w:szCs w:val="24"/>
        </w:rPr>
        <w:fldChar w:fldCharType="separate"/>
      </w:r>
      <w:r w:rsidR="00E813DE" w:rsidRPr="00723DA9">
        <w:rPr>
          <w:rFonts w:ascii="Times New Roman" w:hAnsi="Times New Roman" w:cs="Times New Roman"/>
          <w:noProof/>
          <w:sz w:val="24"/>
          <w:szCs w:val="24"/>
        </w:rPr>
        <w:t>(Liu et al. 2000, 2006)</w:t>
      </w:r>
      <w:r w:rsidR="00E813DE"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t>
      </w:r>
      <w:r w:rsidR="00E813DE" w:rsidRPr="00723DA9">
        <w:rPr>
          <w:rFonts w:ascii="Times New Roman" w:hAnsi="Times New Roman" w:cs="Times New Roman"/>
          <w:sz w:val="24"/>
          <w:szCs w:val="24"/>
        </w:rPr>
        <w:t xml:space="preserve"> </w:t>
      </w:r>
      <w:r w:rsidRPr="00723DA9">
        <w:rPr>
          <w:rFonts w:ascii="Times New Roman" w:hAnsi="Times New Roman" w:cs="Times New Roman"/>
          <w:sz w:val="24"/>
          <w:szCs w:val="24"/>
        </w:rPr>
        <w:t>In the meantime, recent studies showed that advanced DA methods can effectively extrapolate observation information without relying on the typically used VI when the inner-core observations are available</w:t>
      </w:r>
      <w:r w:rsidR="00B11F30" w:rsidRPr="00723DA9">
        <w:rPr>
          <w:rFonts w:ascii="Times New Roman" w:hAnsi="Times New Roman" w:cs="Times New Roman"/>
          <w:sz w:val="24"/>
          <w:szCs w:val="24"/>
        </w:rPr>
        <w:t xml:space="preserve"> </w:t>
      </w:r>
      <w:r w:rsidR="00B11F30" w:rsidRPr="00723DA9">
        <w:rPr>
          <w:rFonts w:ascii="Times New Roman" w:hAnsi="Times New Roman" w:cs="Times New Roman"/>
          <w:sz w:val="24"/>
          <w:szCs w:val="24"/>
        </w:rPr>
        <w:fldChar w:fldCharType="begin" w:fldLock="1"/>
      </w:r>
      <w:r w:rsidR="00363B15" w:rsidRPr="00723DA9">
        <w:rPr>
          <w:rFonts w:ascii="Times New Roman" w:hAnsi="Times New Roman" w:cs="Times New Roman"/>
          <w:sz w:val="24"/>
          <w:szCs w:val="24"/>
        </w:rPr>
        <w:instrText>ADDIN CSL_CITATION {"citationItems":[{"id":"ITEM-1","itemData":{"DOI":"10.1175/2009MWR2656.1","abstract":"An ensemble Kalman filter (EnKF) based on the Weather Research and Forecasting model is applied to generate ensemble analyses and forecasts of Hurricane Katrina (2005) and the surrounding area every 6 h over the lifetime of the storm on a nested domain. Analyses are derived from assimilating conventional in situ observations, reconnaissance dropsondes, including data taken during the Hurricane Rainband and Intensity Exchange Experiment (RAINEX), and tropical cyclone position estimates. Observation assimilation at individual times consistently reduces errors in tropical cyclone position, but not necessarily in intensity; however, withholding observations leads to significantly larger errors in both quantities. Analysis increments for observations near the tropical cyclone are dominated by changes in vortex position, and these increments increase the asymmetric structure of the storm. Data denial experiments indicate that dropsondes deployed in the synoptic environment provide minimal benefit to the outer domain; however, dropsondes deployed within the tropical cyclone lead to significant reductions in position and intensity errors on the inner domain. Specifically, errors in the inner domain ensemble-mean 6-h forecasts of minimum pressure are 70% larger when dropsonde data is not assimilated. Precipitation fields are qualitatively similar to Tropical Rainfall Measuring Mission (TRMM) satellite estimates, although model values are double the values of the satellite estimate. Moreover, the spinup period and initial imbalance in EnKF-initialized WRF forecasts is less than starting the model from a GFS analysis. Ensemble-mean 48-h forecasts initialized with EnKF analyses have track and intensity errors that are 50% smaller than GFS and NHC official forecasts.","author":[{"dropping-particle":"","family":"Torn","given":"Ryan D","non-dropping-particle":"","parse-names":false,"suffix":""},{"dropping-particle":"","family":"Hakim","given":"Gregory J","non-dropping-particle":"","parse-names":false,"suffix":""}],"container-title":"Mon. Wea. Rev.","id":"ITEM-1","issued":{"date-parts":[["2009"]]},"page":"2817-2829","title":"Ensemble Data Assimilation Applied to RAINEX Observations of Hurricane Katrina (2005)","type":"article-journal","volume":"137"},"uris":["http://www.mendeley.com/documents/?uuid=75bf1568-efc2-3972-9e62-65ef39b64f5b"]},{"id":"ITEM-2","itemData":{"DOI":"10.1175/2009MWR2828.1","ISBN":"0027-0644","ISSN":"0027-0644","abstract":"Initialization of the hurricane vortex in weather prediction models is vital to intensity forecasts out to at least 48 h. Airborne Doppler radar (ADR) data have sufficiently high horizontal and vertical resolution to resolve the hurricane vortex and its imbedded structures but have not been extensively used in hurricane initialization. Using the Weather Research and Forecasting (WRF) three-dimensional variational data assimilation (3DVAR) system, the ADR data are assimilated to recover the hurricane vortex dynamic and thermodynamic structures at the WRF model initial time. The impact of the ADR data on three hurricanes, Jeanne (2004), Katrina (2005) and Rita (2005), are examined during their rapid intensification and subsequent weakening periods before landfall. With the ADR wind data assimilated, the three-dimensional winds in the hurricane vortex become stronger and the maximum 10-m winds agree better with independent estimates from best-track data than without ADR data assimilation. Through the multivariate incremental structure in WRF3DVAR analysis, the central sea level pressures (CSLPs) for the three hurricanes are lower in response to the stronger vortex at initialization. The size and inner-core structure of each vortex are adjusted closer to observations of these attributes. Addition of reflectivity data in assimilation produces cloud water and rainwater analyses in the initial vortex. The temperature and moisture are also better represented in the hurricane initialization. Forty-eight-hour forecasts are conducted to evaluate the impact of ADR data using the Advanced Research Hurricane WRF (AHW), a derivative of the Advanced Research WRF (ARW) model. Assimilation of ADR data improves the hurricane-intensity forecasts. Vortex asymmetries, size, and rainbands are also simulated better. Hurricane initialization with ADR data is quite promising toward reducing intensity forecast errors at modest computational expense.","author":[{"dropping-particle":"","family":"Xiao","given":"Qingnong","non-dropping-particle":"","parse-names":false,"suffix":""},{"dropping-particle":"","family":"Zhang","given":"Xiaoyan","non-dropping-particle":"","parse-names":false,"suffix":""},{"dropping-particle":"","family":"Davis","given":"Christopher","non-dropping-particle":"","parse-names":false,"suffix":""},{"dropping-particle":"","family":"Tuttle","given":"John","non-dropping-particle":"","parse-names":false,"suffix":""},{"dropping-particle":"","family":"Holland","given":"Greg","non-dropping-particle":"","parse-names":false,"suffix":""},{"dropping-particle":"","family":"Fitzpatrick","given":"Patrick J.","non-dropping-particle":"","parse-names":false,"suffix":""}],"container-title":"Monthly Weather Review","id":"ITEM-2","issue":"9","issued":{"date-parts":[["2009"]]},"page":"2758-2777","title":"Experiments of Hurricane Initialization with Airborne Doppler Radar Data for the Advanced Research Hurricane WRF (AHW) Model","type":"article-journal","volume":"137"},"uris":["http://www.mendeley.com/documents/?uuid=6a3e0a0a-6311-46b1-b06d-f5cb61d65930"]},{"id":"ITEM-3","itemData":{"DOI":"10.1175/2009MWR2645.1","abstract":"This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 Wea. Rev.","id":"ITEM-3","issued":{"date-parts":[["2009"]]},"page":"2105-2125","title":"Cloud-Resolving Hurricane Initialization and Prediction through Assimilation of Doppler Radar Observations with an Ensemble Kalman Filter","type":"article-journal","volume":"137"},"uris":["http://www.mendeley.com/documents/?uuid=6d5295a0-779e-3cf3-99f1-15e6431eea78"]},{"id":"ITEM-4","itemData":{"DOI":"10.1029/2011GL048469","ISBN":"00948276","ISSN":"00948276","abstract":"This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Letters","id":"ITEM-4","issue":"15","issued":{"date-parts":[["2011"]]},"page":"2-7","title":"Performance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id":"ITEM-5","itemData":{"DOI":"10.1175/MWR-D-12-00043.1","ISSN":"0027-0644","author":[{"dropping-particle":"","family":"Li","given":"Yongzuo","non-dropping-particle":"","parse-names":false,"suffix":""},{"dropping-particle":"","family":"Wang","given":"Xuguang","non-dropping-particle":"","parse-names":false,"suffix":""},{"dropping-particle":"","family":"Xue","given":"Ming","non-dropping-particle":"","parse-names":false,"suffix":""}],"container-title":"Monthly Weather Review","id":"ITEM-5","issued":{"date-parts":[["2012"]]},"page":"3507-3524","title":"Assimilation of Radar Radial Velocity Data with the WRF Hybrid Ensemble-3DVAR System for the Prediction of Hurricane Ike (2008)","type":"article-journal","volume":"140"},"uris":["http://www.mendeley.com/documents/?uuid=25af83c9-af9b-491a-9dcc-6d65193ee01f"]},{"id":"ITEM-6","itemData":{"DOI":"10.1175/2011MWR3602.1","ISBN":"0027-0644","ISSN":"0027-0644","abstract":"Through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Review","id":"ITEM-6","issue":"3","issued":{"date-parts":[["2012"]]},"page":"841-859","title":"Assimilating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(2005)","type":"article-journal","volume":"140"},"uris":["http://www.mendeley.com/documents/?uuid=9c276441-a30a-4c8f-a760-f5a89a55b497"]},{"id":"ITEM-7","itemData":{"DOI":"Doi 10.1175/Mwr-D-12-00194.1","ISBN":"0027-0644","ISSN":"0027-0644","abstract":"The Hurricane Weather Research and Forecasting (HWRF) Ensemble Data Assimilation System (HEDAS) is developed to assimilate tropical cyclone inner-core observations for high-resolution vortex initialization. It is based on a serial implementation of the square root ensemble Kalman filter (EnKF). In this study, HWRF is used in an experimental configuration with horizontal grid spacing of 9 (3) km on the outer (inner) domain. HEDAS is applied to 83 cases from years 2008 to 2011. With the exception of two Hurricane Hilary (2011) cases in the eastern North Pacific basin, all cases are observed in the Atlantic basin. Observed storm intensity for these cases ranges from tropical depression to category-4 hurricane. Overall, it is found that high-resolution tropical cyclone observations, when assimilated with an advanced data assimilation technique such as the EnKF, result in analyses of the primary circulation that are realistic in terms of intensity, wavenumber-0 radial structure, as well as wavenumber-1 azimuthal structure. Representing the secondary circulation in the analyses is found to be more challenging with systematic errors in the magnitude and depth of the low-level radial inflow. This is believed to result from a model bias in the experimental HWRF caused by the overdiffusive nature of the planetary boundary layer parameterization utilized. Thermodynamic deviations from the observed structure are believed to be caused by both an imbalance between the number of the kinematic and thermodynamic observations in general and the suboptimal ensemble covariances between kinematic and thermodynamic fields. Future plans are discussed to address these challenges.","author":[{"dropping-particle":"","family":"Aksoy","given":"a","non-dropping-particle":"","parse-names":false,"suffix":""},{"dropping-particle":"","family":"Aberson","given":"S D","non-dropping-particle":"","parse-names":false,"suffix":""},{"dropping-particle":"","family":"Vukicevic","given":"T","non-dropping-particle":"","parse-names":false,"suffix":""},{"dropping-particle":"","family":"Sellwood","given":"K J","non-dropping-particle":"","parse-names":false,"suffix":""},{"dropping-particle":"","family":"Lorsolo","given":"S","non-dropping-particle":"","parse-names":false,"suffix":""},{"dropping-particle":"","family":"Zhang","given":"X J","non-dropping-particle":"","parse-names":false,"suffix":""}],"container-title":"Monthly Weather Review","id":"ITEM-7","issue":"6","issued":{"date-parts":[["2013"]]},"page":"1842-1865","title":"Assimilation of High-Resolution Tropical Cyclone Observations with an Ensemble Kalman Filter Using NOAA/AOML/HRD's HEDAS: Evaluation of the 2008-11 Vortex-Scale Analyses","type":"article-journal","volume":"141"},"uris":["http://www.mendeley.com/documents/?uuid=dadd0527-a3c7-4bfb-9481-e1798e142e70"]},{"id":"ITEM-8","itemData":{"DOI":"10.1175/MWR-D-13-00028.1","ISSN":"0027-0644","author":[{"dropping-particle":"","family":"Schwartz","given":"Craig S.","non-dropping-particle":"","parse-names":false,"suffix":""},{"dropping-particle":"","family":"Liu","given":"Zhiquan","non-dropping-particle":"","parse-names":false,"suffix":""},{"dropping-particle":"","family":"Huang","given":"Xiang-Yu","non-dropping-particle":"","parse-names":false,"suffix":""},{"dropping-particle":"","family":"Kuo","given":"Ying-Hwa","non-dropping-particle":"","parse-names":false,"suffix":""},{"dropping-particle":"","family":"Fong","given":"Chin-Tzu","non-dropping-particle":"","parse-names":false,"suffix":""}],"container-title":"Monthly Weather Review","id":"ITEM-8","issue":"12","issued":{"date-parts":[["2013"]]},"page":"4350-4372","title":"Comparing Limited-Area 3DVAR and Hybrid Variational-Ensemble Data Assimilation Methods for Typhoon Track Forecasts: Sensitivity to Outer Loops and Vortex Relocation","type":"article-journal","volume":"141"},"uris":["http://www.mendeley.com/documents/?uuid=fa751570-18c1-4905-9093-c6007a890181"]},{"id":"ITEM-9","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Society","id":"ITEM-9","issue":"702","issued":{"date-parts":[["2017"]]},"page":"223-239","title":"GSI-based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assimilation","type":"article-journal","volume":"143"},"uris":["http://www.mendeley.com/documents/?uuid=c3225f76-d6f6-4c30-9c20-7f67e167eeaf"]}],"mendeley":{"formattedCitation":"(Torn and Hakim 2009a; Xiao et al. 2009; Zhang et al. 2009b, 2011; Li et al. 2012; Weng and Zhang 2012; Aksoy et al. 2013; Schwartz et al. 2013; Lu et al. 2017a)","plainTextFormattedCitation":"(Torn and Hakim 2009a; Xiao et al. 2009; Zhang et al. 2009b, 2011; Li et al. 2012; Weng and Zhang 2012; Aksoy et al. 2013; Schwartz et al. 2013; Lu et al. 2017a)","previouslyFormattedCitation":"(Torn and Hakim 2009a; Xiao et al. 2009; Zhang et al. 2009b, 2011; Li et al. 2012; Weng and Zhang 2012; Aksoy et al. 2013; Schwartz et al. 2013; Lu et al. 2017a)"},"properties":{"noteIndex":0},"schema":"https://github.com/citation-style-language/schema/raw/master/csl-citation.json"}</w:instrText>
      </w:r>
      <w:r w:rsidR="00B11F30" w:rsidRPr="00723DA9">
        <w:rPr>
          <w:rFonts w:ascii="Times New Roman" w:hAnsi="Times New Roman" w:cs="Times New Roman"/>
          <w:sz w:val="24"/>
          <w:szCs w:val="24"/>
        </w:rPr>
        <w:fldChar w:fldCharType="separate"/>
      </w:r>
      <w:r w:rsidR="00B11F30" w:rsidRPr="00723DA9">
        <w:rPr>
          <w:rFonts w:ascii="Times New Roman" w:hAnsi="Times New Roman" w:cs="Times New Roman"/>
          <w:noProof/>
          <w:sz w:val="24"/>
          <w:szCs w:val="24"/>
        </w:rPr>
        <w:t>(Torn and Hakim 2009a; Xiao et al. 2009; Zhang et al. 2009b, 2011; Li et al. 2012; Weng and Zhang 2012; Aksoy et al. 2013; Schwartz et al. 2013; Lu et al. 2017a)</w:t>
      </w:r>
      <w:r w:rsidR="00B11F30" w:rsidRPr="00723DA9">
        <w:rPr>
          <w:rFonts w:ascii="Times New Roman" w:hAnsi="Times New Roman" w:cs="Times New Roman"/>
          <w:sz w:val="24"/>
          <w:szCs w:val="24"/>
        </w:rPr>
        <w:fldChar w:fldCharType="end"/>
      </w:r>
      <w:r w:rsidRPr="00723DA9">
        <w:rPr>
          <w:rFonts w:ascii="Times New Roman" w:hAnsi="Times New Roman" w:cs="Times New Roman"/>
          <w:sz w:val="24"/>
          <w:szCs w:val="24"/>
        </w:rPr>
        <w:t>.</w:t>
      </w:r>
      <w:r w:rsidR="00B11F30"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w:t>
      </w:r>
      <w:bookmarkStart w:id="22" w:name="_Hlk495050245"/>
      <w:r w:rsidRPr="00723DA9">
        <w:rPr>
          <w:rFonts w:ascii="Times New Roman" w:hAnsi="Times New Roman" w:cs="Times New Roman"/>
          <w:sz w:val="24"/>
          <w:szCs w:val="24"/>
        </w:rPr>
        <w:t>Schwartz et al. (2013)</w:t>
      </w:r>
      <w:bookmarkEnd w:id="22"/>
      <w:r w:rsidRPr="00723DA9">
        <w:rPr>
          <w:rFonts w:ascii="Times New Roman" w:hAnsi="Times New Roman" w:cs="Times New Roman"/>
          <w:sz w:val="24"/>
          <w:szCs w:val="24"/>
        </w:rPr>
        <w:t xml:space="preserve"> showed that when “bogus” inner-core observations are assimilated efficiently and continuously in a convection-parameterizing horizontal grid spacing (45-km) with a cycled, hybrid DA system, VR does not improve the hybrid DA for typhoon track forecasts.</w:t>
      </w:r>
      <w:r w:rsidR="005A738E"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This study explores the extent that </w:t>
      </w:r>
      <w:bookmarkStart w:id="23" w:name="_Hlk17982010"/>
      <w:r w:rsidRPr="00723DA9">
        <w:rPr>
          <w:rFonts w:ascii="Times New Roman" w:hAnsi="Times New Roman" w:cs="Times New Roman"/>
          <w:sz w:val="24"/>
          <w:szCs w:val="24"/>
        </w:rPr>
        <w:t>VI is still necessary in a fully cycled convection-allowing DA system where inner core observations are only partially available and how the VI can be integrated with the DA.</w:t>
      </w:r>
      <w:bookmarkEnd w:id="23"/>
    </w:p>
    <w:p w14:paraId="65CF4F44" w14:textId="2608E821"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lastRenderedPageBreak/>
        <w:t xml:space="preserve">In the operational HWRF, observations are assimilated using fixed error covariances that do not evolve over the 6-hour DA window.  When storms are rapidly changing, such as going through Rapid Intensification (RI) and eyewall replacement, DA methods that account for the temporal evolution of the error covariances within the 6-hour window are likely needed.  </w:t>
      </w:r>
      <w:bookmarkStart w:id="24" w:name="_Hlk17988920"/>
      <w:r w:rsidRPr="00723DA9">
        <w:rPr>
          <w:rFonts w:ascii="Times New Roman" w:hAnsi="Times New Roman" w:cs="Times New Roman"/>
          <w:sz w:val="24"/>
          <w:szCs w:val="24"/>
        </w:rPr>
        <w:t xml:space="preserve">Additionally, while the analysis is valid at the center of the 6-hour DA window, the inner-core observations are usually not valid at the analysis time but rather distributed over the 6-hour window depending on the aircraft flight times. </w:t>
      </w:r>
      <w:bookmarkEnd w:id="24"/>
      <w:r w:rsidRPr="00723DA9">
        <w:rPr>
          <w:rFonts w:ascii="Times New Roman" w:hAnsi="Times New Roman" w:cs="Times New Roman"/>
          <w:sz w:val="24"/>
          <w:szCs w:val="24"/>
        </w:rPr>
        <w:t xml:space="preserve"> </w:t>
      </w:r>
      <w:bookmarkStart w:id="25" w:name="_Hlk17988947"/>
      <w:r w:rsidRPr="00723DA9">
        <w:rPr>
          <w:rFonts w:ascii="Times New Roman" w:hAnsi="Times New Roman" w:cs="Times New Roman"/>
          <w:sz w:val="24"/>
          <w:szCs w:val="24"/>
        </w:rPr>
        <w:t xml:space="preserve">In such case, using a four-dimensional error covariance will properly update the state at the analysis time. </w:t>
      </w:r>
      <w:r w:rsidR="005A738E" w:rsidRPr="00723DA9">
        <w:rPr>
          <w:rFonts w:ascii="Times New Roman" w:hAnsi="Times New Roman" w:cs="Times New Roman"/>
          <w:sz w:val="24"/>
          <w:szCs w:val="24"/>
        </w:rPr>
        <w:t xml:space="preserve"> </w:t>
      </w:r>
      <w:r w:rsidRPr="00723DA9">
        <w:rPr>
          <w:rFonts w:ascii="Times New Roman" w:hAnsi="Times New Roman" w:cs="Times New Roman"/>
          <w:sz w:val="24"/>
          <w:szCs w:val="24"/>
        </w:rPr>
        <w:t>Wang and Lei (2014) illustrated in the GFS model that the GSI-based 4DEnVar can effectively resolve temporal evolution of the error covariances for hurricane analysis.</w:t>
      </w:r>
      <w:r w:rsidR="005A738E"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However, impact of 4DEnVar in the context of convection-allowing inner-core DA has not been explored.  Therefore, a 4DEnVar capability is further implemented to the HWRF hybrid system to address this question. </w:t>
      </w:r>
    </w:p>
    <w:bookmarkEnd w:id="25"/>
    <w:p w14:paraId="5D20C149" w14:textId="57F3B672"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This </w:t>
      </w:r>
      <w:r w:rsidR="00FA6B3D">
        <w:rPr>
          <w:rFonts w:ascii="Times New Roman" w:hAnsi="Times New Roman" w:cs="Times New Roman"/>
          <w:sz w:val="24"/>
          <w:szCs w:val="24"/>
        </w:rPr>
        <w:t>c</w:t>
      </w:r>
      <w:r w:rsidR="00E22E12" w:rsidRPr="00723DA9">
        <w:rPr>
          <w:rFonts w:ascii="Times New Roman" w:hAnsi="Times New Roman" w:cs="Times New Roman"/>
          <w:sz w:val="24"/>
          <w:szCs w:val="24"/>
        </w:rPr>
        <w:t>hapter</w:t>
      </w:r>
      <w:r w:rsidRPr="00723DA9">
        <w:rPr>
          <w:rFonts w:ascii="Times New Roman" w:hAnsi="Times New Roman" w:cs="Times New Roman"/>
          <w:sz w:val="24"/>
          <w:szCs w:val="24"/>
        </w:rPr>
        <w:t xml:space="preserve"> first describes experiments designed to assess the impact of a) introducing a high-resolution control analysis and forecast through dual-resolution DA; b) Integrating VI with DA; and c) Accounting for the temporal evolution of the error covariance with 4DEnVar</w:t>
      </w:r>
      <w:r w:rsidR="00C97148" w:rsidRPr="00723DA9">
        <w:rPr>
          <w:rFonts w:ascii="Times New Roman" w:hAnsi="Times New Roman" w:cs="Times New Roman"/>
          <w:sz w:val="24"/>
          <w:szCs w:val="24"/>
        </w:rPr>
        <w:t xml:space="preserve"> (</w:t>
      </w:r>
      <w:r w:rsidR="009913D0" w:rsidRPr="00723DA9">
        <w:rPr>
          <w:rFonts w:ascii="Times New Roman" w:hAnsi="Times New Roman" w:cs="Times New Roman"/>
          <w:sz w:val="24"/>
          <w:szCs w:val="24"/>
        </w:rPr>
        <w:t>Section</w:t>
      </w:r>
      <w:r w:rsidR="00C97148" w:rsidRPr="00723DA9">
        <w:rPr>
          <w:rFonts w:ascii="Times New Roman" w:hAnsi="Times New Roman" w:cs="Times New Roman"/>
          <w:sz w:val="24"/>
          <w:szCs w:val="24"/>
        </w:rPr>
        <w:t xml:space="preserve"> 3.2)</w:t>
      </w:r>
      <w:r w:rsidRPr="00723DA9">
        <w:rPr>
          <w:rFonts w:ascii="Times New Roman" w:hAnsi="Times New Roman" w:cs="Times New Roman"/>
          <w:sz w:val="24"/>
          <w:szCs w:val="24"/>
        </w:rPr>
        <w:t xml:space="preserve">. </w:t>
      </w:r>
      <w:r w:rsidR="0096251F" w:rsidRPr="00723DA9">
        <w:rPr>
          <w:rFonts w:ascii="Times New Roman" w:hAnsi="Times New Roman" w:cs="Times New Roman"/>
          <w:sz w:val="24"/>
          <w:szCs w:val="24"/>
        </w:rPr>
        <w:t xml:space="preserve"> </w:t>
      </w:r>
      <w:r w:rsidR="009913D0" w:rsidRPr="00723DA9">
        <w:rPr>
          <w:rFonts w:ascii="Times New Roman" w:hAnsi="Times New Roman" w:cs="Times New Roman"/>
          <w:sz w:val="24"/>
          <w:szCs w:val="24"/>
        </w:rPr>
        <w:t>Section</w:t>
      </w:r>
      <w:r w:rsidRPr="00723DA9">
        <w:rPr>
          <w:rFonts w:ascii="Times New Roman" w:hAnsi="Times New Roman" w:cs="Times New Roman"/>
          <w:sz w:val="24"/>
          <w:szCs w:val="24"/>
        </w:rPr>
        <w:t xml:space="preserve"> </w:t>
      </w:r>
      <w:r w:rsidR="0096251F" w:rsidRPr="00723DA9">
        <w:rPr>
          <w:rFonts w:ascii="Times New Roman" w:hAnsi="Times New Roman" w:cs="Times New Roman"/>
          <w:sz w:val="24"/>
          <w:szCs w:val="24"/>
        </w:rPr>
        <w:t>3.</w:t>
      </w:r>
      <w:r w:rsidR="00C97148" w:rsidRPr="00723DA9">
        <w:rPr>
          <w:rFonts w:ascii="Times New Roman" w:hAnsi="Times New Roman" w:cs="Times New Roman"/>
          <w:sz w:val="24"/>
          <w:szCs w:val="24"/>
        </w:rPr>
        <w:t>3</w:t>
      </w:r>
      <w:r w:rsidRPr="00723DA9">
        <w:rPr>
          <w:rFonts w:ascii="Times New Roman" w:hAnsi="Times New Roman" w:cs="Times New Roman"/>
          <w:sz w:val="24"/>
          <w:szCs w:val="24"/>
        </w:rPr>
        <w:t xml:space="preserve"> discusses the results associated with these experiments.</w:t>
      </w:r>
      <w:r w:rsidR="00DA5CE4"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In addition, as part of evaluating and understanding the performance of the newly developed system, </w:t>
      </w:r>
      <w:r w:rsidR="009913D0" w:rsidRPr="00723DA9">
        <w:rPr>
          <w:rFonts w:ascii="Times New Roman" w:hAnsi="Times New Roman" w:cs="Times New Roman"/>
          <w:sz w:val="24"/>
          <w:szCs w:val="24"/>
        </w:rPr>
        <w:t>Section</w:t>
      </w:r>
      <w:r w:rsidRPr="00723DA9">
        <w:rPr>
          <w:rFonts w:ascii="Times New Roman" w:hAnsi="Times New Roman" w:cs="Times New Roman"/>
          <w:sz w:val="24"/>
          <w:szCs w:val="24"/>
        </w:rPr>
        <w:t xml:space="preserve"> </w:t>
      </w:r>
      <w:r w:rsidR="0096251F" w:rsidRPr="00723DA9">
        <w:rPr>
          <w:rFonts w:ascii="Times New Roman" w:hAnsi="Times New Roman" w:cs="Times New Roman"/>
          <w:sz w:val="24"/>
          <w:szCs w:val="24"/>
        </w:rPr>
        <w:t>3.</w:t>
      </w:r>
      <w:r w:rsidR="00C97148" w:rsidRPr="00723DA9">
        <w:rPr>
          <w:rFonts w:ascii="Times New Roman" w:hAnsi="Times New Roman" w:cs="Times New Roman"/>
          <w:sz w:val="24"/>
          <w:szCs w:val="24"/>
        </w:rPr>
        <w:t>3</w:t>
      </w:r>
      <w:r w:rsidRPr="00723DA9">
        <w:rPr>
          <w:rFonts w:ascii="Times New Roman" w:hAnsi="Times New Roman" w:cs="Times New Roman"/>
          <w:sz w:val="24"/>
          <w:szCs w:val="24"/>
        </w:rPr>
        <w:t xml:space="preserve"> also explores the potential of the newly developed HWRF hybrid DA system to further improve intensity forecast by diagnosing the analyzed storm structure and comparing the intensity forecast with the operational HWRF.</w:t>
      </w:r>
      <w:r w:rsidR="0047659B"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w:t>
      </w:r>
      <w:r w:rsidR="009913D0" w:rsidRPr="00723DA9">
        <w:rPr>
          <w:rFonts w:ascii="Times New Roman" w:hAnsi="Times New Roman" w:cs="Times New Roman"/>
          <w:sz w:val="24"/>
          <w:szCs w:val="24"/>
        </w:rPr>
        <w:t>Section</w:t>
      </w:r>
      <w:r w:rsidRPr="00723DA9">
        <w:rPr>
          <w:rFonts w:ascii="Times New Roman" w:hAnsi="Times New Roman" w:cs="Times New Roman"/>
          <w:sz w:val="24"/>
          <w:szCs w:val="24"/>
        </w:rPr>
        <w:t xml:space="preserve"> </w:t>
      </w:r>
      <w:r w:rsidR="0096251F" w:rsidRPr="00723DA9">
        <w:rPr>
          <w:rFonts w:ascii="Times New Roman" w:hAnsi="Times New Roman" w:cs="Times New Roman"/>
          <w:sz w:val="24"/>
          <w:szCs w:val="24"/>
        </w:rPr>
        <w:t>3.</w:t>
      </w:r>
      <w:r w:rsidR="00C97148" w:rsidRPr="00723DA9">
        <w:rPr>
          <w:rFonts w:ascii="Times New Roman" w:hAnsi="Times New Roman" w:cs="Times New Roman"/>
          <w:sz w:val="24"/>
          <w:szCs w:val="24"/>
        </w:rPr>
        <w:t>4</w:t>
      </w:r>
      <w:r w:rsidRPr="00723DA9">
        <w:rPr>
          <w:rFonts w:ascii="Times New Roman" w:hAnsi="Times New Roman" w:cs="Times New Roman"/>
          <w:sz w:val="24"/>
          <w:szCs w:val="24"/>
        </w:rPr>
        <w:t xml:space="preserve"> concludes the </w:t>
      </w:r>
      <w:r w:rsidR="00E22E12" w:rsidRPr="00723DA9">
        <w:rPr>
          <w:rFonts w:ascii="Times New Roman" w:hAnsi="Times New Roman" w:cs="Times New Roman"/>
          <w:sz w:val="24"/>
          <w:szCs w:val="24"/>
        </w:rPr>
        <w:t>Chapter</w:t>
      </w:r>
      <w:r w:rsidRPr="00723DA9">
        <w:rPr>
          <w:rFonts w:ascii="Times New Roman" w:hAnsi="Times New Roman" w:cs="Times New Roman"/>
          <w:sz w:val="24"/>
          <w:szCs w:val="24"/>
        </w:rPr>
        <w:t xml:space="preserve">. </w:t>
      </w:r>
      <w:r w:rsidR="00C97148"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As a first step of evaluating the newly developed system and to address the aforementioned scientific and technical challenges, the cycling DA and forecast experiments were conducted for hurricane Edouard (2014). </w:t>
      </w:r>
      <w:r w:rsidR="0096251F" w:rsidRPr="00723DA9">
        <w:rPr>
          <w:rFonts w:ascii="Times New Roman" w:hAnsi="Times New Roman" w:cs="Times New Roman"/>
          <w:sz w:val="24"/>
          <w:szCs w:val="24"/>
        </w:rPr>
        <w:t xml:space="preserve"> </w:t>
      </w:r>
      <w:r w:rsidRPr="00723DA9">
        <w:rPr>
          <w:rFonts w:ascii="Times New Roman" w:hAnsi="Times New Roman" w:cs="Times New Roman"/>
          <w:sz w:val="24"/>
          <w:szCs w:val="24"/>
        </w:rPr>
        <w:t>Systematic experiments are planned in the future.</w:t>
      </w:r>
    </w:p>
    <w:p w14:paraId="01AA2B4E" w14:textId="1242E0FD" w:rsidR="00C56823" w:rsidRPr="00723DA9" w:rsidRDefault="00C56823" w:rsidP="00A67154">
      <w:pPr>
        <w:pStyle w:val="Heading2"/>
        <w:numPr>
          <w:ilvl w:val="1"/>
          <w:numId w:val="18"/>
        </w:numPr>
        <w:spacing w:beforeLines="160" w:before="384" w:line="480" w:lineRule="auto"/>
        <w:ind w:left="0" w:firstLine="0"/>
        <w:rPr>
          <w:rFonts w:ascii="Times New Roman" w:hAnsi="Times New Roman" w:cs="Times New Roman"/>
          <w:b/>
          <w:color w:val="auto"/>
          <w:sz w:val="24"/>
          <w:szCs w:val="24"/>
        </w:rPr>
      </w:pPr>
      <w:bookmarkStart w:id="26" w:name="_Toc21623981"/>
      <w:r w:rsidRPr="00723DA9">
        <w:rPr>
          <w:rFonts w:ascii="Times New Roman" w:hAnsi="Times New Roman" w:cs="Times New Roman"/>
          <w:b/>
          <w:color w:val="auto"/>
          <w:sz w:val="24"/>
          <w:szCs w:val="24"/>
        </w:rPr>
        <w:lastRenderedPageBreak/>
        <w:t>Experiment Design</w:t>
      </w:r>
      <w:bookmarkEnd w:id="26"/>
    </w:p>
    <w:p w14:paraId="784C0FB2" w14:textId="275532AA" w:rsidR="00C56823" w:rsidRPr="00723DA9" w:rsidRDefault="00C56823" w:rsidP="00A67154">
      <w:pPr>
        <w:pStyle w:val="Heading3"/>
        <w:numPr>
          <w:ilvl w:val="2"/>
          <w:numId w:val="18"/>
        </w:numPr>
        <w:spacing w:beforeLines="160" w:before="384" w:after="160" w:line="480" w:lineRule="auto"/>
        <w:rPr>
          <w:rFonts w:ascii="Times New Roman" w:hAnsi="Times New Roman" w:cs="Times New Roman"/>
          <w:b/>
          <w:bCs/>
          <w:i/>
          <w:iCs/>
          <w:color w:val="auto"/>
        </w:rPr>
      </w:pPr>
      <w:bookmarkStart w:id="27" w:name="_Toc21623982"/>
      <w:r w:rsidRPr="00723DA9">
        <w:rPr>
          <w:rFonts w:ascii="Times New Roman" w:hAnsi="Times New Roman" w:cs="Times New Roman"/>
          <w:b/>
          <w:bCs/>
          <w:i/>
          <w:iCs/>
          <w:color w:val="auto"/>
        </w:rPr>
        <w:t>HWRF model configuration</w:t>
      </w:r>
      <w:bookmarkEnd w:id="27"/>
    </w:p>
    <w:p w14:paraId="190320FF" w14:textId="39BB422E"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HWRF model has been developed by </w:t>
      </w:r>
      <w:bookmarkStart w:id="28" w:name="OLE_LINK47"/>
      <w:bookmarkStart w:id="29" w:name="OLE_LINK46"/>
      <w:bookmarkStart w:id="30" w:name="OLE_LINK45"/>
      <w:r w:rsidRPr="00723DA9">
        <w:rPr>
          <w:rFonts w:ascii="Times New Roman" w:eastAsia="宋体" w:hAnsi="Times New Roman" w:cs="Times New Roman"/>
          <w:sz w:val="24"/>
          <w:szCs w:val="24"/>
        </w:rPr>
        <w:t xml:space="preserve">the Environmental Modeling Center (EMC) </w:t>
      </w:r>
      <w:bookmarkEnd w:id="28"/>
      <w:bookmarkEnd w:id="29"/>
      <w:bookmarkEnd w:id="30"/>
      <w:r w:rsidRPr="00723DA9">
        <w:rPr>
          <w:rFonts w:ascii="Times New Roman" w:eastAsia="宋体" w:hAnsi="Times New Roman" w:cs="Times New Roman"/>
          <w:sz w:val="24"/>
          <w:szCs w:val="24"/>
        </w:rPr>
        <w:t>in collaboration with the Geophysical Fluid Dynamics Laboratory</w:t>
      </w:r>
      <w:r w:rsidR="002D3466" w:rsidRPr="00723DA9">
        <w:rPr>
          <w:rFonts w:ascii="Times New Roman" w:eastAsia="宋体" w:hAnsi="Times New Roman" w:cs="Times New Roman"/>
          <w:sz w:val="24"/>
          <w:szCs w:val="24"/>
        </w:rPr>
        <w:t xml:space="preserve"> (GFDL</w:t>
      </w:r>
      <w:r w:rsidRPr="00723DA9">
        <w:rPr>
          <w:rFonts w:ascii="Times New Roman" w:eastAsia="宋体" w:hAnsi="Times New Roman" w:cs="Times New Roman"/>
          <w:sz w:val="24"/>
          <w:szCs w:val="24"/>
        </w:rPr>
        <w:t xml:space="preserve">) and the University of Rhode Island (URI) since 2002 </w:t>
      </w:r>
      <w:r w:rsidR="008979FB" w:rsidRPr="00723DA9">
        <w:rPr>
          <w:rFonts w:ascii="Times New Roman" w:eastAsia="宋体" w:hAnsi="Times New Roman" w:cs="Times New Roman"/>
          <w:sz w:val="24"/>
          <w:szCs w:val="24"/>
        </w:rPr>
        <w:fldChar w:fldCharType="begin" w:fldLock="1"/>
      </w:r>
      <w:r w:rsidR="008979FB" w:rsidRPr="00723DA9">
        <w:rPr>
          <w:rFonts w:ascii="Times New Roman" w:eastAsia="宋体"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Center","id":"ITEM-1","issued":{"date-parts":[["2014"]]},"number-of-pages":"1-81","title":"Hurricane Weather Research and Forecasting (HWRF) model: 2014 scientific documentation","type":"report"},"uris":["http://www.mendeley.com/documents/?uuid=f63fdf0a-d919-4d8f-8934-8c12eb353c91"]}],"mendeley":{"formattedCitation":"(Tallapragada et al. 2014)","plainTextFormattedCitation":"(Tallapragada et al. 2014)","previouslyFormattedCitation":"(Tallapragada et al. 2014)"},"properties":{"noteIndex":0},"schema":"https://github.com/citation-style-language/schema/raw/master/csl-citation.json"}</w:instrText>
      </w:r>
      <w:r w:rsidR="008979FB" w:rsidRPr="00723DA9">
        <w:rPr>
          <w:rFonts w:ascii="Times New Roman" w:eastAsia="宋体" w:hAnsi="Times New Roman" w:cs="Times New Roman"/>
          <w:sz w:val="24"/>
          <w:szCs w:val="24"/>
        </w:rPr>
        <w:fldChar w:fldCharType="separate"/>
      </w:r>
      <w:r w:rsidR="008979FB" w:rsidRPr="00723DA9">
        <w:rPr>
          <w:rFonts w:ascii="Times New Roman" w:eastAsia="宋体" w:hAnsi="Times New Roman" w:cs="Times New Roman"/>
          <w:noProof/>
          <w:sz w:val="24"/>
          <w:szCs w:val="24"/>
        </w:rPr>
        <w:t>(Tallapragada et al. 2014)</w:t>
      </w:r>
      <w:r w:rsidR="008979FB"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w:t>
      </w:r>
      <w:bookmarkStart w:id="31" w:name="OLE_LINK62"/>
      <w:bookmarkStart w:id="32" w:name="OLE_LINK61"/>
      <w:bookmarkStart w:id="33" w:name="OLE_LINK60"/>
      <w:bookmarkStart w:id="34" w:name="OLE_LINK59"/>
      <w:r w:rsidR="00363B15"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 nominal horizontal grid spacing of 0.18/0.06/0.02 degrees (approximately 27/9/3-km) for the outermost /intermediate /innermost domains are used in this study, which is similar to that used in the 2014 operational HWRF. </w:t>
      </w:r>
      <w:bookmarkEnd w:id="31"/>
      <w:bookmarkEnd w:id="32"/>
      <w:bookmarkEnd w:id="33"/>
      <w:bookmarkEnd w:id="34"/>
      <w:r w:rsidRPr="00723DA9">
        <w:rPr>
          <w:rFonts w:ascii="Times New Roman" w:eastAsia="宋体" w:hAnsi="Times New Roman" w:cs="Times New Roman"/>
          <w:sz w:val="24"/>
          <w:szCs w:val="24"/>
        </w:rPr>
        <w:t xml:space="preserve"> In this study, the intermediate and innermost domains adopt the strategies outlined in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2</w:t>
      </w:r>
      <w:r w:rsidR="00220679" w:rsidRPr="00723DA9">
        <w:rPr>
          <w:rFonts w:ascii="Times New Roman" w:eastAsia="宋体" w:hAnsi="Times New Roman" w:cs="Times New Roman"/>
          <w:sz w:val="24"/>
          <w:szCs w:val="24"/>
        </w:rPr>
        <w:t>.2</w:t>
      </w:r>
      <w:r w:rsidRPr="00723DA9">
        <w:rPr>
          <w:rFonts w:ascii="Times New Roman" w:eastAsia="宋体" w:hAnsi="Times New Roman" w:cs="Times New Roman"/>
          <w:sz w:val="24"/>
          <w:szCs w:val="24"/>
        </w:rPr>
        <w:t xml:space="preserve">, while the outermost domain remains unmoved during the entire life of the storm. </w:t>
      </w:r>
      <w:bookmarkStart w:id="35" w:name="OLE_LINK73"/>
      <w:bookmarkStart w:id="36" w:name="OLE_LINK67"/>
      <w:bookmarkStart w:id="37" w:name="OLE_LINK66"/>
      <w:r w:rsidRPr="00723DA9">
        <w:rPr>
          <w:rFonts w:ascii="Times New Roman" w:eastAsia="宋体" w:hAnsi="Times New Roman" w:cs="Times New Roman"/>
          <w:sz w:val="24"/>
          <w:szCs w:val="24"/>
        </w:rPr>
        <w:t>The outermost, intermediate, and innermost domains are configured with 216×432 horizontal grid points (approximately 80×80 degrees), 232×454 horizontal grid points (approximately 30×30 degrees) and 181×322 horizontal grid points (approximately 7×7 degrees), respectively (Figure 3</w:t>
      </w:r>
      <w:r w:rsidR="00220679" w:rsidRPr="00723DA9">
        <w:rPr>
          <w:rFonts w:ascii="Times New Roman" w:eastAsia="宋体" w:hAnsi="Times New Roman" w:cs="Times New Roman"/>
          <w:sz w:val="24"/>
          <w:szCs w:val="24"/>
        </w:rPr>
        <w:t>.1</w:t>
      </w:r>
      <w:r w:rsidRPr="00723DA9">
        <w:rPr>
          <w:rFonts w:ascii="Times New Roman" w:eastAsia="宋体" w:hAnsi="Times New Roman" w:cs="Times New Roman"/>
          <w:sz w:val="24"/>
          <w:szCs w:val="24"/>
        </w:rPr>
        <w:t>). There are 61 vertical levels, and the model top is at 2hPa following Lu et al. (2017</w:t>
      </w:r>
      <w:r w:rsidR="00220679" w:rsidRPr="00723DA9">
        <w:rPr>
          <w:rFonts w:ascii="Times New Roman" w:eastAsia="宋体" w:hAnsi="Times New Roman" w:cs="Times New Roman"/>
          <w:sz w:val="24"/>
          <w:szCs w:val="24"/>
        </w:rPr>
        <w:t>a</w:t>
      </w:r>
      <w:r w:rsidRPr="00723DA9">
        <w:rPr>
          <w:rFonts w:ascii="Times New Roman" w:eastAsia="宋体" w:hAnsi="Times New Roman" w:cs="Times New Roman"/>
          <w:sz w:val="24"/>
          <w:szCs w:val="24"/>
        </w:rPr>
        <w:t>).</w:t>
      </w:r>
      <w:r w:rsidR="00220679"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physics parameterization schemes used in HWRF model follow those used in the 2014 operational HWRF except that the ocean coupling is turned off.  </w:t>
      </w:r>
      <w:bookmarkEnd w:id="35"/>
      <w:bookmarkEnd w:id="36"/>
      <w:bookmarkEnd w:id="37"/>
      <w:r w:rsidRPr="00723DA9">
        <w:rPr>
          <w:rFonts w:ascii="Times New Roman" w:eastAsia="宋体" w:hAnsi="Times New Roman" w:cs="Times New Roman"/>
          <w:sz w:val="24"/>
          <w:szCs w:val="24"/>
        </w:rPr>
        <w:t xml:space="preserve">Specifically, </w:t>
      </w:r>
      <w:bookmarkStart w:id="38" w:name="OLE_LINK78"/>
      <w:bookmarkStart w:id="39" w:name="OLE_LINK77"/>
      <w:r w:rsidRPr="00723DA9">
        <w:rPr>
          <w:rFonts w:ascii="Times New Roman" w:eastAsia="宋体" w:hAnsi="Times New Roman" w:cs="Times New Roman"/>
          <w:sz w:val="24"/>
          <w:szCs w:val="24"/>
        </w:rPr>
        <w:t>Ferrier</w:t>
      </w:r>
      <w:bookmarkEnd w:id="38"/>
      <w:bookmarkEnd w:id="39"/>
      <w:r w:rsidRPr="00723DA9">
        <w:rPr>
          <w:rFonts w:ascii="Times New Roman" w:eastAsia="宋体" w:hAnsi="Times New Roman" w:cs="Times New Roman"/>
          <w:sz w:val="24"/>
          <w:szCs w:val="24"/>
        </w:rPr>
        <w:t xml:space="preserve"> microphysics </w:t>
      </w:r>
      <w:r w:rsidR="00A5115E" w:rsidRPr="00723DA9">
        <w:rPr>
          <w:rFonts w:ascii="Times New Roman" w:eastAsia="宋体" w:hAnsi="Times New Roman" w:cs="Times New Roman"/>
          <w:sz w:val="24"/>
          <w:szCs w:val="24"/>
        </w:rPr>
        <w:fldChar w:fldCharType="begin" w:fldLock="1"/>
      </w:r>
      <w:r w:rsidR="00A5115E" w:rsidRPr="00723DA9">
        <w:rPr>
          <w:rFonts w:ascii="Times New Roman" w:eastAsia="宋体" w:hAnsi="Times New Roman" w:cs="Times New Roman"/>
          <w:sz w:val="24"/>
          <w:szCs w:val="24"/>
        </w:rPr>
        <w:instrText>ADDIN CSL_CITATION {"citationItems":[{"id":"ITEM-1","itemData":{"author":[{"dropping-particle":"","family":"Ferrier","given":"B. S.","non-dropping-particle":"","parse-names":false,"suffix":""}],"container-title":"American Geophysical Union, Spring Meeting 2005, abstract id. A42A-02","id":"ITEM-1","issued":{"date-parts":[["2005"]]},"title":"An efficient mixed-phase cloud and precipitation scheme for use in Operational NWP Models","type":"paper-conference"},"uris":["http://www.mendeley.com/documents/?uuid=45f1005e-599d-37b1-b5ce-4136bdb48098"]}],"mendeley":{"formattedCitation":"(Ferrier 2005)","plainTextFormattedCitation":"(Ferrier 2005)","previouslyFormattedCitation":"(Ferrier 2005)"},"properties":{"noteIndex":0},"schema":"https://github.com/citation-style-language/schema/raw/master/csl-citation.json"}</w:instrText>
      </w:r>
      <w:r w:rsidR="00A5115E" w:rsidRPr="00723DA9">
        <w:rPr>
          <w:rFonts w:ascii="Times New Roman" w:eastAsia="宋体" w:hAnsi="Times New Roman" w:cs="Times New Roman"/>
          <w:sz w:val="24"/>
          <w:szCs w:val="24"/>
        </w:rPr>
        <w:fldChar w:fldCharType="separate"/>
      </w:r>
      <w:r w:rsidR="00A5115E" w:rsidRPr="00723DA9">
        <w:rPr>
          <w:rFonts w:ascii="Times New Roman" w:eastAsia="宋体" w:hAnsi="Times New Roman" w:cs="Times New Roman"/>
          <w:noProof/>
          <w:sz w:val="24"/>
          <w:szCs w:val="24"/>
        </w:rPr>
        <w:t>(Ferrier 2005)</w:t>
      </w:r>
      <w:r w:rsidR="00A5115E"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as modified in HWRF for tropical applications, upgraded Simplified Arakawa-Schubert (SAS) cumulus parameterization </w:t>
      </w:r>
      <w:r w:rsidR="00A5115E" w:rsidRPr="00723DA9">
        <w:rPr>
          <w:rFonts w:ascii="Times New Roman" w:eastAsia="宋体" w:hAnsi="Times New Roman" w:cs="Times New Roman"/>
          <w:sz w:val="24"/>
          <w:szCs w:val="24"/>
        </w:rPr>
        <w:fldChar w:fldCharType="begin" w:fldLock="1"/>
      </w:r>
      <w:r w:rsidR="00A5115E" w:rsidRPr="00723DA9">
        <w:rPr>
          <w:rFonts w:ascii="Times New Roman" w:eastAsia="宋体" w:hAnsi="Times New Roman" w:cs="Times New Roman"/>
          <w:sz w:val="24"/>
          <w:szCs w:val="24"/>
        </w:rPr>
        <w:instrText>ADDIN CSL_CITATION {"citationItems":[{"id":"ITEM-1","itemData":{"DOI":"10.1175/WAF-D-10-05038.1","abstract":"A new physics package containing revised convection and planetary boundary layer (PBL) schemes in the National Centers for Environmental Prediction's Global Forecast System is described. The shallow con-vection (SC) scheme in the revision employs a mass flux parameterization replacing the old turbulent diffusion-based approach. For deep convection, the scheme is revised to make cumulus convection stronger and deeper to deplete more instability in the atmospheric column and result in the suppression of the ex-cessive grid-scale precipitation. The PBL model was revised to enhance turbulence diffusion in stratocumulus regions. A remarkable difference between the new and old SC schemes is seen in the heating or cooling behavior in lower-atmospheric layers above the PBL. While the old SC scheme using the diffusion approach produces a pair of layers in the lower atmosphere with cooling above and heating below, the new SC scheme using the mass-flux approach produces heating throughout the convection layers. In particular, the new SC scheme does not destroy stratocumulus clouds off the west coasts of South America and Africa as the old scheme does. On the other hand, the revised deep convection scheme, having a larger cloud-base mass flux and higher cloud tops, appears to effectively eliminate the remaining instability in the atmospheric column that is responsible for the excessive grid-scale precipitation in the old scheme. The revised PBL scheme, having an enhanced turbulence mixing in stratocumulus regions, helps prevent too much low cloud from forming. An overall improvement was found in the forecasts of the global 500-hPa height, vector wind, and continental U.S. precipitation with the revised model. Consistent with the improvement in vector wind forecast errors, hurricane track forecasts are also improved with the revised model for both Atlantic and eastern Pacific hurricanes in 2008.","author":[{"dropping-particle":"","family":"Han","given":"Jongil","non-dropping-particle":"","parse-names":false,"suffix":""},{"dropping-particle":"","family":"Pan","given":"Hua-lu","non-dropping-particle":"","parse-names":false,"suffix":""}],"container-title":"Weather and Forecasting","id":"ITEM-1","issued":{"date-parts":[["2011"]]},"page":"520-533","title":"Revision of Convection and Vertical Diffusion Schemes in the NCEP Global Forecast System","type":"article-journal","volume":"26"},"uris":["http://www.mendeley.com/documents/?uuid=dad0e283-8f64-35b9-b270-b1597f04d94c"]}],"mendeley":{"formattedCitation":"(Han and Pan 2011)","plainTextFormattedCitation":"(Han and Pan 2011)","previouslyFormattedCitation":"(Han and Pan 2011)"},"properties":{"noteIndex":0},"schema":"https://github.com/citation-style-language/schema/raw/master/csl-citation.json"}</w:instrText>
      </w:r>
      <w:r w:rsidR="00A5115E" w:rsidRPr="00723DA9">
        <w:rPr>
          <w:rFonts w:ascii="Times New Roman" w:eastAsia="宋体" w:hAnsi="Times New Roman" w:cs="Times New Roman"/>
          <w:sz w:val="24"/>
          <w:szCs w:val="24"/>
        </w:rPr>
        <w:fldChar w:fldCharType="separate"/>
      </w:r>
      <w:r w:rsidR="00A5115E" w:rsidRPr="00723DA9">
        <w:rPr>
          <w:rFonts w:ascii="Times New Roman" w:eastAsia="宋体" w:hAnsi="Times New Roman" w:cs="Times New Roman"/>
          <w:noProof/>
          <w:sz w:val="24"/>
          <w:szCs w:val="24"/>
        </w:rPr>
        <w:t>(Han and Pan 2011)</w:t>
      </w:r>
      <w:r w:rsidR="00A5115E"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HWRF surface layer parameterization, the GFDL slab scheme</w:t>
      </w:r>
      <w:r w:rsidR="00A5115E" w:rsidRPr="00723DA9">
        <w:rPr>
          <w:rFonts w:ascii="Times New Roman" w:eastAsia="宋体" w:hAnsi="Times New Roman" w:cs="Times New Roman"/>
          <w:sz w:val="24"/>
          <w:szCs w:val="24"/>
        </w:rPr>
        <w:t xml:space="preserve"> </w:t>
      </w:r>
      <w:r w:rsidR="00A5115E" w:rsidRPr="00723DA9">
        <w:rPr>
          <w:rFonts w:ascii="Times New Roman" w:eastAsia="宋体" w:hAnsi="Times New Roman" w:cs="Times New Roman"/>
          <w:sz w:val="24"/>
          <w:szCs w:val="24"/>
        </w:rPr>
        <w:fldChar w:fldCharType="begin" w:fldLock="1"/>
      </w:r>
      <w:r w:rsidR="00F926ED" w:rsidRPr="00723DA9">
        <w:rPr>
          <w:rFonts w:ascii="Times New Roman" w:eastAsia="宋体" w:hAnsi="Times New Roman" w:cs="Times New Roman"/>
          <w:sz w:val="24"/>
          <w:szCs w:val="24"/>
        </w:rPr>
        <w:instrText>ADDIN CSL_CITATION {"citationItems":[{"id":"ITEM-1","itemData":{"author":[{"dropping-particle":"","family":"Tuleya","given":"Robert E.","non-dropping-particle":"","parse-names":false,"suffix":""}],"container-title":"Monthly Weather Review","id":"ITEM-1","issued":{"date-parts":[["1994"]]},"page":"291-304","title":"Tropical storm development and decay: Sensitivity to surface boundary conditions","type":"article-journal","volume":"122"},"uris":["http://www.mendeley.com/documents/?uuid=d8fe168b-32e1-37e0-9677-852a89368a79"]}],"mendeley":{"formattedCitation":"(Tuleya 1994)","plainTextFormattedCitation":"(Tuleya 1994)","previouslyFormattedCitation":"(Tuleya 1994)"},"properties":{"noteIndex":0},"schema":"https://github.com/citation-style-language/schema/raw/master/csl-citation.json"}</w:instrText>
      </w:r>
      <w:r w:rsidR="00A5115E" w:rsidRPr="00723DA9">
        <w:rPr>
          <w:rFonts w:ascii="Times New Roman" w:eastAsia="宋体" w:hAnsi="Times New Roman" w:cs="Times New Roman"/>
          <w:sz w:val="24"/>
          <w:szCs w:val="24"/>
        </w:rPr>
        <w:fldChar w:fldCharType="separate"/>
      </w:r>
      <w:r w:rsidR="00F926ED" w:rsidRPr="00723DA9">
        <w:rPr>
          <w:rFonts w:ascii="Times New Roman" w:eastAsia="宋体" w:hAnsi="Times New Roman" w:cs="Times New Roman"/>
          <w:noProof/>
          <w:sz w:val="24"/>
          <w:szCs w:val="24"/>
        </w:rPr>
        <w:t>(Tuleya 1994)</w:t>
      </w:r>
      <w:r w:rsidR="00A5115E"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the HWRF PBL parameterization </w:t>
      </w:r>
      <w:r w:rsidR="00F926ED" w:rsidRPr="00723DA9">
        <w:rPr>
          <w:rFonts w:ascii="Times New Roman" w:eastAsia="宋体" w:hAnsi="Times New Roman" w:cs="Times New Roman"/>
          <w:sz w:val="24"/>
          <w:szCs w:val="24"/>
        </w:rPr>
        <w:fldChar w:fldCharType="begin" w:fldLock="1"/>
      </w:r>
      <w:r w:rsidR="00F926ED" w:rsidRPr="00723DA9">
        <w:rPr>
          <w:rFonts w:ascii="Times New Roman" w:eastAsia="宋体" w:hAnsi="Times New Roman" w:cs="Times New Roman"/>
          <w:sz w:val="24"/>
          <w:szCs w:val="24"/>
        </w:rPr>
        <w:instrText>ADDIN CSL_CITATION {"citationItems":[{"id":"ITEM-1","itemData":{"author":[{"dropping-particle":"","family":"Hong","given":"Song-You","non-dropping-particle":"","parse-names":false,"suffix":""},{"dropping-particle":"","family":"Pan","given":"Hua-Lu","non-dropping-particle":"","parse-names":false,"suffix":""}],"container-title":"Mon. Wea. Rev.","id":"ITEM-1","issued":{"date-parts":[["1996"]]},"page":"2322-2339","title":"Nonlocal Boundary Layer Vertical Diffusion in a Medium-Range Forecast Model","type":"article-journal","volume":"124"},"uris":["http://www.mendeley.com/documents/?uuid=be12aada-1fda-30d9-9bd0-050ee4dcf009"]}],"mendeley":{"formattedCitation":"(Hong and Pan 1996)","plainTextFormattedCitation":"(Hong and Pan 1996)","previouslyFormattedCitation":"(Hong and Pan 1996)"},"properties":{"noteIndex":0},"schema":"https://github.com/citation-style-language/schema/raw/master/csl-citation.json"}</w:instrText>
      </w:r>
      <w:r w:rsidR="00F926ED" w:rsidRPr="00723DA9">
        <w:rPr>
          <w:rFonts w:ascii="Times New Roman" w:eastAsia="宋体" w:hAnsi="Times New Roman" w:cs="Times New Roman"/>
          <w:sz w:val="24"/>
          <w:szCs w:val="24"/>
        </w:rPr>
        <w:fldChar w:fldCharType="separate"/>
      </w:r>
      <w:r w:rsidR="00F926ED" w:rsidRPr="00723DA9">
        <w:rPr>
          <w:rFonts w:ascii="Times New Roman" w:eastAsia="宋体" w:hAnsi="Times New Roman" w:cs="Times New Roman"/>
          <w:noProof/>
          <w:sz w:val="24"/>
          <w:szCs w:val="24"/>
        </w:rPr>
        <w:t>(Hong and Pan 1996)</w:t>
      </w:r>
      <w:r w:rsidR="00F926ED"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and Eta GFDL short wav</w:t>
      </w:r>
      <w:r w:rsidR="00F926ED" w:rsidRPr="00723DA9">
        <w:rPr>
          <w:rFonts w:ascii="Times New Roman" w:eastAsia="宋体" w:hAnsi="Times New Roman" w:cs="Times New Roman"/>
          <w:sz w:val="24"/>
          <w:szCs w:val="24"/>
        </w:rPr>
        <w:t xml:space="preserve">e </w:t>
      </w:r>
      <w:r w:rsidR="00F926ED" w:rsidRPr="00723DA9">
        <w:rPr>
          <w:rFonts w:ascii="Times New Roman" w:eastAsia="宋体" w:hAnsi="Times New Roman" w:cs="Times New Roman"/>
          <w:sz w:val="24"/>
          <w:szCs w:val="24"/>
        </w:rPr>
        <w:fldChar w:fldCharType="begin" w:fldLock="1"/>
      </w:r>
      <w:r w:rsidR="00F926ED" w:rsidRPr="00723DA9">
        <w:rPr>
          <w:rFonts w:ascii="Times New Roman" w:eastAsia="宋体" w:hAnsi="Times New Roman" w:cs="Times New Roman"/>
          <w:sz w:val="24"/>
          <w:szCs w:val="24"/>
        </w:rPr>
        <w:instrText>ADDIN CSL_CITATION {"citationItems":[{"id":"ITEM-1","itemData":{"author":[{"dropping-particle":"","family":"Lacis","given":"Andrew A.","non-dropping-particle":"","parse-names":false,"suffix":""},{"dropping-particle":"","family":"Hansen","given":"James E.","non-dropping-particle":"","parse-names":false,"suffix":""}],"container-title":"Journal of the Atmospheric Sciences","id":"ITEM-1","issued":{"date-parts":[["1974"]]},"page":"118-133","title":"A parameterization for the absorption of solar radiation in the earth's atmosphere","type":"article-journal","volume":"31"},"uris":["http://www.mendeley.com/documents/?uuid=19ad49df-d9df-3d1b-9dcb-2ae6634ac182"]}],"mendeley":{"formattedCitation":"(Lacis and Hansen 1974)","plainTextFormattedCitation":"(Lacis and Hansen 1974)","previouslyFormattedCitation":"(Lacis and Hansen 1974)"},"properties":{"noteIndex":0},"schema":"https://github.com/citation-style-language/schema/raw/master/csl-citation.json"}</w:instrText>
      </w:r>
      <w:r w:rsidR="00F926ED" w:rsidRPr="00723DA9">
        <w:rPr>
          <w:rFonts w:ascii="Times New Roman" w:eastAsia="宋体" w:hAnsi="Times New Roman" w:cs="Times New Roman"/>
          <w:sz w:val="24"/>
          <w:szCs w:val="24"/>
        </w:rPr>
        <w:fldChar w:fldCharType="separate"/>
      </w:r>
      <w:r w:rsidR="00F926ED" w:rsidRPr="00723DA9">
        <w:rPr>
          <w:rFonts w:ascii="Times New Roman" w:eastAsia="宋体" w:hAnsi="Times New Roman" w:cs="Times New Roman"/>
          <w:noProof/>
          <w:sz w:val="24"/>
          <w:szCs w:val="24"/>
        </w:rPr>
        <w:t>(Lacis and Hansen 1974)</w:t>
      </w:r>
      <w:r w:rsidR="00F926ED"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and long wave</w:t>
      </w:r>
      <w:r w:rsidR="00F926ED" w:rsidRPr="00723DA9">
        <w:rPr>
          <w:rFonts w:ascii="Times New Roman" w:eastAsia="宋体" w:hAnsi="Times New Roman" w:cs="Times New Roman"/>
          <w:sz w:val="24"/>
          <w:szCs w:val="24"/>
        </w:rPr>
        <w:t xml:space="preserve"> </w:t>
      </w:r>
      <w:r w:rsidR="00F926ED" w:rsidRPr="00723DA9">
        <w:rPr>
          <w:rFonts w:ascii="Times New Roman" w:eastAsia="宋体" w:hAnsi="Times New Roman" w:cs="Times New Roman"/>
          <w:sz w:val="24"/>
          <w:szCs w:val="24"/>
        </w:rPr>
        <w:fldChar w:fldCharType="begin" w:fldLock="1"/>
      </w:r>
      <w:r w:rsidR="008979FB" w:rsidRPr="00723DA9">
        <w:rPr>
          <w:rFonts w:ascii="Times New Roman" w:eastAsia="宋体" w:hAnsi="Times New Roman" w:cs="Times New Roman"/>
          <w:sz w:val="24"/>
          <w:szCs w:val="24"/>
        </w:rPr>
        <w:instrText>ADDIN CSL_CITATION {"citationItems":[{"id":"ITEM-1","itemData":{"author":[{"dropping-particle":"","family":"Fels","given":"Stephen B.","non-dropping-particle":"","parse-names":false,"suffix":""},{"dropping-particle":"","family":"Schwarzkopf","given":"M. Daniel","non-dropping-particle":"","parse-names":false,"suffix":""}],"container-title":"Journal of the Atmospheric Sciences","id":"ITEM-1","issued":{"date-parts":[["1975"]]},"page":"1475-1488","title":"The simplified exchange approximation: A new method for radiative transfer calculations","type":"article-journal","volume":"32"},"uris":["http://www.mendeley.com/documents/?uuid=acb28b5d-9eee-36f8-8695-79499c1f0c8b"]},{"id":"ITEM-2","itemData":{"author":[{"dropping-particle":"","family":"Schwarzkopf","given":"M. Daniel","non-dropping-particle":"","parse-names":false,"suffix":""},{"dropping-particle":"","family":"Fels","given":"Stephen B.","non-dropping-particle":"","parse-names":false,"suffix":""}],"container-title":"Journal of Geophysical Research","id":"ITEM-2","issued":{"date-parts":[["1991"]]},"page":"9075-9096","title":"The simplified exchange method revisited: An accurate, rapid method for computation of infrared cooling rates and fluxes","type":"article-journal","volume":"96"},"uris":["http://www.mendeley.com/documents/?uuid=c5878ab8-3e02-3445-9582-e52fcc478a12"]}],"mendeley":{"formattedCitation":"(Fels and Schwarzkopf 1975; Schwarzkopf and Fels 1991)","plainTextFormattedCitation":"(Fels and Schwarzkopf 1975; Schwarzkopf and Fels 1991)","previouslyFormattedCitation":"(Fels and Schwarzkopf 1975; Schwarzkopf and Fels 1991)"},"properties":{"noteIndex":0},"schema":"https://github.com/citation-style-language/schema/raw/master/csl-citation.json"}</w:instrText>
      </w:r>
      <w:r w:rsidR="00F926ED" w:rsidRPr="00723DA9">
        <w:rPr>
          <w:rFonts w:ascii="Times New Roman" w:eastAsia="宋体" w:hAnsi="Times New Roman" w:cs="Times New Roman"/>
          <w:sz w:val="24"/>
          <w:szCs w:val="24"/>
        </w:rPr>
        <w:fldChar w:fldCharType="separate"/>
      </w:r>
      <w:r w:rsidR="00F926ED" w:rsidRPr="00723DA9">
        <w:rPr>
          <w:rFonts w:ascii="Times New Roman" w:eastAsia="宋体" w:hAnsi="Times New Roman" w:cs="Times New Roman"/>
          <w:noProof/>
          <w:sz w:val="24"/>
          <w:szCs w:val="24"/>
        </w:rPr>
        <w:t>(Fels and Schwarzkopf 1975; Schwarzkopf and Fels 1991)</w:t>
      </w:r>
      <w:r w:rsidR="00F926ED"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radiation schemes are used to </w:t>
      </w:r>
      <w:bookmarkStart w:id="40" w:name="OLE_LINK81"/>
      <w:bookmarkStart w:id="41" w:name="OLE_LINK80"/>
      <w:bookmarkStart w:id="42" w:name="OLE_LINK79"/>
      <w:r w:rsidRPr="00723DA9">
        <w:rPr>
          <w:rFonts w:ascii="Times New Roman" w:eastAsia="宋体" w:hAnsi="Times New Roman" w:cs="Times New Roman"/>
          <w:sz w:val="24"/>
          <w:szCs w:val="24"/>
        </w:rPr>
        <w:t>parameterize the microphysical, cumulus, surface layer, land surface, planetary boundary layer and radiation processes.</w:t>
      </w:r>
      <w:r w:rsidR="00D74318"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w:t>
      </w:r>
      <w:bookmarkEnd w:id="40"/>
      <w:bookmarkEnd w:id="41"/>
      <w:bookmarkEnd w:id="42"/>
      <w:r w:rsidRPr="00723DA9">
        <w:rPr>
          <w:rFonts w:ascii="Times New Roman" w:eastAsia="宋体" w:hAnsi="Times New Roman" w:cs="Times New Roman"/>
          <w:sz w:val="24"/>
          <w:szCs w:val="24"/>
        </w:rPr>
        <w:t xml:space="preserve">The cumulus scheme is not used in the innermost domain since the 3-km </w:t>
      </w:r>
      <w:r w:rsidRPr="00723DA9">
        <w:rPr>
          <w:rFonts w:ascii="Times New Roman" w:eastAsia="MS Mincho" w:hAnsi="Times New Roman" w:cs="Times New Roman"/>
          <w:sz w:val="24"/>
          <w:szCs w:val="24"/>
        </w:rPr>
        <w:t xml:space="preserve">horizontal </w:t>
      </w:r>
      <w:r w:rsidRPr="00723DA9">
        <w:rPr>
          <w:rFonts w:ascii="Times New Roman" w:eastAsia="MS Mincho" w:hAnsi="Times New Roman" w:cs="Times New Roman"/>
          <w:sz w:val="24"/>
          <w:szCs w:val="24"/>
        </w:rPr>
        <w:lastRenderedPageBreak/>
        <w:t>grid spacing</w:t>
      </w:r>
      <w:r w:rsidRPr="00723DA9">
        <w:rPr>
          <w:rFonts w:ascii="Times New Roman" w:eastAsia="宋体" w:hAnsi="Times New Roman" w:cs="Times New Roman"/>
          <w:sz w:val="24"/>
          <w:szCs w:val="24"/>
        </w:rPr>
        <w:t xml:space="preserve"> is convection-allowing.</w:t>
      </w:r>
      <w:r w:rsidR="00D74318"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More details about these parameterization schemes can also be found in the HWRF scientific document </w:t>
      </w:r>
      <w:r w:rsidR="000B3C21" w:rsidRPr="00723DA9">
        <w:rPr>
          <w:rFonts w:ascii="Times New Roman" w:eastAsia="宋体" w:hAnsi="Times New Roman" w:cs="Times New Roman"/>
          <w:sz w:val="24"/>
          <w:szCs w:val="24"/>
        </w:rPr>
        <w:fldChar w:fldCharType="begin" w:fldLock="1"/>
      </w:r>
      <w:r w:rsidR="000B3C21" w:rsidRPr="00723DA9">
        <w:rPr>
          <w:rFonts w:ascii="Times New Roman" w:eastAsia="宋体"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Center","id":"ITEM-1","issued":{"date-parts":[["2014"]]},"number-of-pages":"1-81","title":"Hurricane Weather Research and Forecasting (HWRF) model: 2014 scientific documentation","type":"report"},"uris":["http://www.mendeley.com/documents/?uuid=f63fdf0a-d919-4d8f-8934-8c12eb353c91"]}],"mendeley":{"formattedCitation":"(Tallapragada et al. 2014)","plainTextFormattedCitation":"(Tallapragada et al. 2014)","previouslyFormattedCitation":"(Tallapragada et al. 2014)"},"properties":{"noteIndex":0},"schema":"https://github.com/citation-style-language/schema/raw/master/csl-citation.json"}</w:instrText>
      </w:r>
      <w:r w:rsidR="000B3C21" w:rsidRPr="00723DA9">
        <w:rPr>
          <w:rFonts w:ascii="Times New Roman" w:eastAsia="宋体" w:hAnsi="Times New Roman" w:cs="Times New Roman"/>
          <w:sz w:val="24"/>
          <w:szCs w:val="24"/>
        </w:rPr>
        <w:fldChar w:fldCharType="separate"/>
      </w:r>
      <w:r w:rsidR="000B3C21" w:rsidRPr="00723DA9">
        <w:rPr>
          <w:rFonts w:ascii="Times New Roman" w:eastAsia="宋体" w:hAnsi="Times New Roman" w:cs="Times New Roman"/>
          <w:noProof/>
          <w:sz w:val="24"/>
          <w:szCs w:val="24"/>
        </w:rPr>
        <w:t>(Tallapragada et al. 2014)</w:t>
      </w:r>
      <w:r w:rsidR="000B3C21"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w:t>
      </w:r>
    </w:p>
    <w:p w14:paraId="53A62007" w14:textId="77777777" w:rsidR="0083574D" w:rsidRPr="00723DA9" w:rsidRDefault="0083574D" w:rsidP="0083574D">
      <w:pPr>
        <w:pStyle w:val="Captions"/>
        <w:spacing w:after="0"/>
        <w:rPr>
          <w:rFonts w:eastAsia="宋体" w:cs="Times New Roman"/>
        </w:rPr>
      </w:pPr>
    </w:p>
    <w:p w14:paraId="65BCDEDA" w14:textId="051D8FD8" w:rsidR="00220679" w:rsidRPr="00723DA9" w:rsidRDefault="00220679" w:rsidP="00966FCE">
      <w:pPr>
        <w:spacing w:after="0" w:line="360" w:lineRule="auto"/>
        <w:rPr>
          <w:rFonts w:ascii="Times New Roman" w:hAnsi="Times New Roman" w:cs="Times New Roman"/>
          <w:sz w:val="24"/>
          <w:szCs w:val="24"/>
        </w:rPr>
      </w:pPr>
      <w:r w:rsidRPr="00723DA9">
        <w:rPr>
          <w:rFonts w:ascii="Times New Roman" w:hAnsi="Times New Roman" w:cs="Times New Roman"/>
          <w:noProof/>
        </w:rPr>
        <w:drawing>
          <wp:inline distT="0" distB="0" distL="0" distR="0" wp14:anchorId="427D8DFC" wp14:editId="2701A4D7">
            <wp:extent cx="5943600" cy="3609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p>
    <w:p w14:paraId="19BE3707" w14:textId="0CD32B3B" w:rsidR="00220679" w:rsidRDefault="00BA7295" w:rsidP="0069704B">
      <w:pPr>
        <w:pStyle w:val="Captions"/>
        <w:spacing w:after="0" w:line="360" w:lineRule="auto"/>
        <w:rPr>
          <w:rFonts w:cs="Times New Roman"/>
        </w:rPr>
      </w:pPr>
      <w:bookmarkStart w:id="43" w:name="_Toc21624033"/>
      <w:r w:rsidRPr="00723DA9">
        <w:rPr>
          <w:rFonts w:cs="Times New Roman"/>
        </w:rPr>
        <w:t>Figure 3.</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w:t>
      </w:r>
      <w:r w:rsidR="00771F99" w:rsidRPr="00723DA9">
        <w:rPr>
          <w:rFonts w:cs="Times New Roman"/>
          <w:noProof/>
        </w:rPr>
        <w:fldChar w:fldCharType="end"/>
      </w:r>
      <w:r w:rsidRPr="00723DA9">
        <w:rPr>
          <w:rFonts w:cs="Times New Roman"/>
        </w:rPr>
        <w:t xml:space="preserve"> </w:t>
      </w:r>
      <w:r w:rsidR="00220679" w:rsidRPr="00723DA9">
        <w:rPr>
          <w:rFonts w:cs="Times New Roman"/>
        </w:rPr>
        <w:t>Domain configuration example for hurricane Edouard.</w:t>
      </w:r>
      <w:bookmarkEnd w:id="43"/>
    </w:p>
    <w:p w14:paraId="4B54609B" w14:textId="77777777" w:rsidR="00220679" w:rsidRPr="00723DA9" w:rsidRDefault="00220679" w:rsidP="00771F99">
      <w:pPr>
        <w:spacing w:after="0" w:line="480" w:lineRule="auto"/>
        <w:ind w:firstLine="360"/>
        <w:rPr>
          <w:rFonts w:ascii="Times New Roman" w:hAnsi="Times New Roman" w:cs="Times New Roman"/>
          <w:sz w:val="24"/>
          <w:szCs w:val="24"/>
        </w:rPr>
      </w:pPr>
    </w:p>
    <w:p w14:paraId="281582EC" w14:textId="782D6827" w:rsidR="00C56823" w:rsidRPr="00723DA9" w:rsidRDefault="00C56823" w:rsidP="006562DB">
      <w:pPr>
        <w:pStyle w:val="Heading3"/>
        <w:numPr>
          <w:ilvl w:val="2"/>
          <w:numId w:val="18"/>
        </w:numPr>
        <w:spacing w:before="160" w:after="160" w:line="480" w:lineRule="auto"/>
        <w:rPr>
          <w:rFonts w:ascii="Times New Roman" w:hAnsi="Times New Roman" w:cs="Times New Roman"/>
          <w:b/>
          <w:bCs/>
          <w:i/>
          <w:iCs/>
          <w:color w:val="auto"/>
        </w:rPr>
      </w:pPr>
      <w:bookmarkStart w:id="44" w:name="_Toc21623983"/>
      <w:r w:rsidRPr="00723DA9">
        <w:rPr>
          <w:rFonts w:ascii="Times New Roman" w:hAnsi="Times New Roman" w:cs="Times New Roman"/>
          <w:b/>
          <w:bCs/>
          <w:i/>
          <w:iCs/>
          <w:color w:val="auto"/>
        </w:rPr>
        <w:t>Experiment setup</w:t>
      </w:r>
      <w:bookmarkEnd w:id="44"/>
      <w:r w:rsidRPr="00723DA9">
        <w:rPr>
          <w:rFonts w:ascii="Times New Roman" w:hAnsi="Times New Roman" w:cs="Times New Roman"/>
          <w:b/>
          <w:bCs/>
          <w:i/>
          <w:iCs/>
          <w:color w:val="auto"/>
        </w:rPr>
        <w:t xml:space="preserve"> </w:t>
      </w:r>
    </w:p>
    <w:p w14:paraId="792A3673" w14:textId="0CA4F840" w:rsidR="00574EF2" w:rsidRPr="00723DA9" w:rsidRDefault="00BA7295" w:rsidP="00966FCE">
      <w:pPr>
        <w:pStyle w:val="Captions"/>
        <w:spacing w:after="160"/>
        <w:rPr>
          <w:rFonts w:cs="Times New Roman"/>
        </w:rPr>
      </w:pPr>
      <w:bookmarkStart w:id="45" w:name="_Toc21629868"/>
      <w:r w:rsidRPr="00723DA9">
        <w:rPr>
          <w:rFonts w:cs="Times New Roman"/>
        </w:rPr>
        <w:t>Table 3.</w:t>
      </w:r>
      <w:r w:rsidR="00771F99" w:rsidRPr="00723DA9">
        <w:rPr>
          <w:rFonts w:cs="Times New Roman"/>
        </w:rPr>
        <w:fldChar w:fldCharType="begin"/>
      </w:r>
      <w:r w:rsidR="00771F99" w:rsidRPr="00723DA9">
        <w:rPr>
          <w:rFonts w:cs="Times New Roman"/>
        </w:rPr>
        <w:instrText xml:space="preserve"> SEQ Table \* ARABIC \s 1 </w:instrText>
      </w:r>
      <w:r w:rsidR="00771F99" w:rsidRPr="00723DA9">
        <w:rPr>
          <w:rFonts w:cs="Times New Roman"/>
        </w:rPr>
        <w:fldChar w:fldCharType="separate"/>
      </w:r>
      <w:r w:rsidR="00C350DE">
        <w:rPr>
          <w:rFonts w:cs="Times New Roman"/>
          <w:noProof/>
        </w:rPr>
        <w:t>1</w:t>
      </w:r>
      <w:r w:rsidR="00771F99" w:rsidRPr="00723DA9">
        <w:rPr>
          <w:rFonts w:cs="Times New Roman"/>
          <w:noProof/>
        </w:rPr>
        <w:fldChar w:fldCharType="end"/>
      </w:r>
      <w:r w:rsidR="00574EF2" w:rsidRPr="00723DA9">
        <w:rPr>
          <w:rFonts w:cs="Times New Roman"/>
        </w:rPr>
        <w:t xml:space="preserve"> List of experiments and their descriptions.</w:t>
      </w:r>
      <w:bookmarkEnd w:id="45"/>
      <w:r w:rsidR="00574EF2" w:rsidRPr="00723DA9">
        <w:rPr>
          <w:rFonts w:cs="Times New Roman"/>
        </w:rPr>
        <w:t xml:space="preserve"> </w:t>
      </w:r>
    </w:p>
    <w:tbl>
      <w:tblPr>
        <w:tblStyle w:val="TableGrid"/>
        <w:tblW w:w="9270" w:type="dxa"/>
        <w:tblInd w:w="0" w:type="dxa"/>
        <w:tblLayout w:type="fixed"/>
        <w:tblLook w:val="04A0" w:firstRow="1" w:lastRow="0" w:firstColumn="1" w:lastColumn="0" w:noHBand="0" w:noVBand="1"/>
      </w:tblPr>
      <w:tblGrid>
        <w:gridCol w:w="1530"/>
        <w:gridCol w:w="1890"/>
        <w:gridCol w:w="1080"/>
        <w:gridCol w:w="1350"/>
        <w:gridCol w:w="900"/>
        <w:gridCol w:w="1170"/>
        <w:gridCol w:w="1350"/>
      </w:tblGrid>
      <w:tr w:rsidR="00574EF2" w:rsidRPr="00723DA9" w14:paraId="072EA207" w14:textId="77777777" w:rsidTr="00574EF2">
        <w:trPr>
          <w:trHeight w:val="540"/>
        </w:trPr>
        <w:tc>
          <w:tcPr>
            <w:tcW w:w="1530" w:type="dxa"/>
            <w:tcBorders>
              <w:top w:val="single" w:sz="4" w:space="0" w:color="auto"/>
              <w:left w:val="single" w:sz="4" w:space="0" w:color="auto"/>
              <w:bottom w:val="single" w:sz="4" w:space="0" w:color="auto"/>
              <w:right w:val="single" w:sz="4" w:space="0" w:color="auto"/>
            </w:tcBorders>
            <w:vAlign w:val="center"/>
            <w:hideMark/>
          </w:tcPr>
          <w:p w14:paraId="6377E48B"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Experiment name</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98791A0"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General Features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0EA5488"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Ensemble VR</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8B9C218"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Control VM for Non-TDR</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957E0A4"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Control VR</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B51F02F"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Dual-resolution</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5178179C"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4DEnVar for TDR cycles</w:t>
            </w:r>
          </w:p>
        </w:tc>
      </w:tr>
      <w:tr w:rsidR="00574EF2" w:rsidRPr="00723DA9" w14:paraId="76E68108" w14:textId="77777777" w:rsidTr="00574EF2">
        <w:trPr>
          <w:trHeight w:val="285"/>
        </w:trPr>
        <w:tc>
          <w:tcPr>
            <w:tcW w:w="1530" w:type="dxa"/>
            <w:tcBorders>
              <w:top w:val="single" w:sz="4" w:space="0" w:color="auto"/>
              <w:left w:val="single" w:sz="4" w:space="0" w:color="auto"/>
              <w:bottom w:val="single" w:sz="4" w:space="0" w:color="auto"/>
              <w:right w:val="single" w:sz="4" w:space="0" w:color="auto"/>
            </w:tcBorders>
            <w:vAlign w:val="center"/>
            <w:hideMark/>
          </w:tcPr>
          <w:p w14:paraId="230A9EAB"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3DEV</w:t>
            </w:r>
          </w:p>
        </w:tc>
        <w:tc>
          <w:tcPr>
            <w:tcW w:w="1890" w:type="dxa"/>
            <w:vMerge w:val="restart"/>
            <w:tcBorders>
              <w:top w:val="single" w:sz="4" w:space="0" w:color="auto"/>
              <w:left w:val="single" w:sz="4" w:space="0" w:color="auto"/>
              <w:bottom w:val="single" w:sz="4" w:space="0" w:color="auto"/>
              <w:right w:val="single" w:sz="4" w:space="0" w:color="auto"/>
            </w:tcBorders>
            <w:vAlign w:val="center"/>
            <w:hideMark/>
          </w:tcPr>
          <w:p w14:paraId="6975BB78" w14:textId="6F750ABA"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6-hourly continuous end-to-end cycling, 3DEnVar with FGAT,</w:t>
            </w:r>
          </w:p>
          <w:p w14:paraId="64A5D105"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directed moving nest strategy</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8509245"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560838A8"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4726BD6"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049FAC50"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7CA23C0C"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r>
      <w:tr w:rsidR="00574EF2" w:rsidRPr="00723DA9" w14:paraId="240CC78C" w14:textId="77777777" w:rsidTr="00574EF2">
        <w:trPr>
          <w:trHeight w:val="285"/>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03F106AC"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3DEV-9kmS</w:t>
            </w: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5099A437" w14:textId="77777777" w:rsidR="00574EF2" w:rsidRPr="00723DA9" w:rsidRDefault="00574EF2" w:rsidP="00746013">
            <w:pPr>
              <w:rPr>
                <w:rFonts w:ascii="Times New Roman" w:eastAsia="Times New Roman" w:hAnsi="Times New Roman" w:cs="Times New Roman"/>
                <w:color w:val="000000"/>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13DA082"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4435C7E"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7400944"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7EB05815"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E300A6D"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r>
      <w:tr w:rsidR="00574EF2" w:rsidRPr="00723DA9" w14:paraId="3ADA7E8D" w14:textId="77777777" w:rsidTr="00574EF2">
        <w:trPr>
          <w:trHeight w:val="285"/>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1950186F"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3DEV-NEVR</w:t>
            </w: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30C6143F" w14:textId="77777777" w:rsidR="00574EF2" w:rsidRPr="00723DA9" w:rsidRDefault="00574EF2" w:rsidP="00746013">
            <w:pPr>
              <w:rPr>
                <w:rFonts w:ascii="Times New Roman" w:eastAsia="Times New Roman" w:hAnsi="Times New Roman" w:cs="Times New Roman"/>
                <w:color w:val="000000"/>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A037806"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32204E6E"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C6D9A0B"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3BB67CC"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3789C1BF"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r>
      <w:tr w:rsidR="00574EF2" w:rsidRPr="00723DA9" w14:paraId="5628C9B1" w14:textId="77777777" w:rsidTr="00574EF2">
        <w:trPr>
          <w:trHeight w:val="285"/>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6B35A99B"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3DEV-NVRM</w:t>
            </w: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04B89CF8" w14:textId="77777777" w:rsidR="00574EF2" w:rsidRPr="00723DA9" w:rsidRDefault="00574EF2" w:rsidP="00746013">
            <w:pPr>
              <w:rPr>
                <w:rFonts w:ascii="Times New Roman" w:eastAsia="Times New Roman" w:hAnsi="Times New Roman" w:cs="Times New Roman"/>
                <w:color w:val="000000"/>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96A7ABC"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4F35151"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5837428"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F0BF34D"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6881C9D4"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No</w:t>
            </w:r>
          </w:p>
        </w:tc>
      </w:tr>
      <w:tr w:rsidR="00574EF2" w:rsidRPr="00723DA9" w14:paraId="040B6EE0" w14:textId="77777777" w:rsidTr="00574EF2">
        <w:trPr>
          <w:trHeight w:val="285"/>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75CE78EB"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4DEVTR</w:t>
            </w: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0D01C59D" w14:textId="77777777" w:rsidR="00574EF2" w:rsidRPr="00723DA9" w:rsidRDefault="00574EF2" w:rsidP="00746013">
            <w:pPr>
              <w:rPr>
                <w:rFonts w:ascii="Times New Roman" w:eastAsia="Times New Roman" w:hAnsi="Times New Roman" w:cs="Times New Roman"/>
                <w:color w:val="000000"/>
                <w:sz w:val="20"/>
                <w:szCs w:val="20"/>
                <w:lang w:eastAsia="zh-CN"/>
              </w:rPr>
            </w:pP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1806BD6D"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559DCA93"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1714A49"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123BA70B"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15840047" w14:textId="77777777" w:rsidR="00574EF2" w:rsidRPr="00723DA9" w:rsidRDefault="00574EF2" w:rsidP="00746013">
            <w:pPr>
              <w:jc w:val="center"/>
              <w:rPr>
                <w:rFonts w:ascii="Times New Roman" w:eastAsia="Times New Roman" w:hAnsi="Times New Roman" w:cs="Times New Roman"/>
                <w:color w:val="000000"/>
                <w:sz w:val="20"/>
                <w:szCs w:val="20"/>
                <w:lang w:eastAsia="zh-CN"/>
              </w:rPr>
            </w:pPr>
            <w:r w:rsidRPr="00723DA9">
              <w:rPr>
                <w:rFonts w:ascii="Times New Roman" w:eastAsia="Times New Roman" w:hAnsi="Times New Roman" w:cs="Times New Roman"/>
                <w:color w:val="000000"/>
                <w:sz w:val="20"/>
                <w:szCs w:val="20"/>
                <w:lang w:eastAsia="zh-CN"/>
              </w:rPr>
              <w:t>Yes</w:t>
            </w:r>
          </w:p>
        </w:tc>
      </w:tr>
    </w:tbl>
    <w:p w14:paraId="7D9E164B" w14:textId="77777777" w:rsidR="0083574D" w:rsidRPr="00723DA9" w:rsidRDefault="0083574D" w:rsidP="0083574D">
      <w:pPr>
        <w:pStyle w:val="Captions"/>
        <w:spacing w:after="0"/>
        <w:rPr>
          <w:rFonts w:eastAsia="宋体" w:cs="Times New Roman"/>
        </w:rPr>
      </w:pPr>
    </w:p>
    <w:p w14:paraId="5C4C589F" w14:textId="66B743F1"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lastRenderedPageBreak/>
        <w:t xml:space="preserve">In order to address the scientific questions proposed in </w:t>
      </w:r>
      <w:r w:rsidR="00631E71" w:rsidRPr="00723DA9">
        <w:rPr>
          <w:rFonts w:ascii="Times New Roman" w:eastAsia="宋体" w:hAnsi="Times New Roman" w:cs="Times New Roman"/>
          <w:sz w:val="24"/>
          <w:szCs w:val="24"/>
        </w:rPr>
        <w:t>S</w:t>
      </w:r>
      <w:r w:rsidRPr="00723DA9">
        <w:rPr>
          <w:rFonts w:ascii="Times New Roman" w:eastAsia="宋体" w:hAnsi="Times New Roman" w:cs="Times New Roman"/>
          <w:sz w:val="24"/>
          <w:szCs w:val="24"/>
        </w:rPr>
        <w:t xml:space="preserve">ection </w:t>
      </w:r>
      <w:r w:rsidR="00631E71" w:rsidRPr="00723DA9">
        <w:rPr>
          <w:rFonts w:ascii="Times New Roman" w:eastAsia="宋体" w:hAnsi="Times New Roman" w:cs="Times New Roman"/>
          <w:sz w:val="24"/>
          <w:szCs w:val="24"/>
        </w:rPr>
        <w:t>3.</w:t>
      </w:r>
      <w:r w:rsidRPr="00723DA9">
        <w:rPr>
          <w:rFonts w:ascii="Times New Roman" w:eastAsia="宋体" w:hAnsi="Times New Roman" w:cs="Times New Roman"/>
          <w:sz w:val="24"/>
          <w:szCs w:val="24"/>
        </w:rPr>
        <w:t xml:space="preserve">1, five experiments denoted as “3DEV”, “3DEV-9kmS”, “3DEV-NVRM”, “3DEV-NEVR” and “4DEVTR” are conducted (see descriptions in Table </w:t>
      </w:r>
      <w:r w:rsidR="00574EF2" w:rsidRPr="00723DA9">
        <w:rPr>
          <w:rFonts w:ascii="Times New Roman" w:eastAsia="宋体" w:hAnsi="Times New Roman" w:cs="Times New Roman"/>
          <w:sz w:val="24"/>
          <w:szCs w:val="24"/>
        </w:rPr>
        <w:t>3.</w:t>
      </w:r>
      <w:r w:rsidRPr="00723DA9">
        <w:rPr>
          <w:rFonts w:ascii="Times New Roman" w:eastAsia="宋体" w:hAnsi="Times New Roman" w:cs="Times New Roman"/>
          <w:sz w:val="24"/>
          <w:szCs w:val="24"/>
        </w:rPr>
        <w:t>1).</w:t>
      </w:r>
      <w:r w:rsidR="00C92CA1"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Details for each experiment are described as below.</w:t>
      </w:r>
    </w:p>
    <w:p w14:paraId="77F0B123" w14:textId="45E5AB82" w:rsidR="00C56823" w:rsidRPr="00723DA9" w:rsidRDefault="00C56823" w:rsidP="00771F99">
      <w:pPr>
        <w:spacing w:after="0" w:line="480" w:lineRule="auto"/>
        <w:ind w:firstLine="360"/>
        <w:rPr>
          <w:rFonts w:ascii="Times New Roman" w:eastAsia="Calibri" w:hAnsi="Times New Roman" w:cs="Times New Roman"/>
          <w:sz w:val="24"/>
          <w:szCs w:val="24"/>
        </w:rPr>
      </w:pPr>
      <w:r w:rsidRPr="00723DA9">
        <w:rPr>
          <w:rFonts w:ascii="Times New Roman" w:eastAsia="宋体" w:hAnsi="Times New Roman" w:cs="Times New Roman"/>
          <w:sz w:val="24"/>
          <w:szCs w:val="24"/>
        </w:rPr>
        <w:t>3DEV is the baseline experiment, which performs 6-hourly, continuously cycled DA using 3DEnVar with FGAT</w:t>
      </w:r>
      <w:r w:rsidRPr="00723DA9">
        <w:rPr>
          <w:rFonts w:ascii="Times New Roman" w:hAnsi="Times New Roman" w:cs="Times New Roman"/>
          <w:sz w:val="24"/>
          <w:szCs w:val="24"/>
        </w:rPr>
        <w:t xml:space="preserve"> following Fig. </w:t>
      </w:r>
      <w:r w:rsidR="00C92CA1" w:rsidRPr="00723DA9">
        <w:rPr>
          <w:rFonts w:ascii="Times New Roman" w:hAnsi="Times New Roman" w:cs="Times New Roman"/>
          <w:sz w:val="24"/>
          <w:szCs w:val="24"/>
        </w:rPr>
        <w:t>2.</w:t>
      </w:r>
      <w:r w:rsidRPr="00723DA9">
        <w:rPr>
          <w:rFonts w:ascii="Times New Roman" w:hAnsi="Times New Roman" w:cs="Times New Roman"/>
          <w:sz w:val="24"/>
          <w:szCs w:val="24"/>
        </w:rPr>
        <w:t xml:space="preserve">1 and </w:t>
      </w:r>
      <w:r w:rsidR="00631E71"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C92CA1" w:rsidRPr="00723DA9">
        <w:rPr>
          <w:rFonts w:ascii="Times New Roman" w:hAnsi="Times New Roman" w:cs="Times New Roman"/>
          <w:sz w:val="24"/>
          <w:szCs w:val="24"/>
        </w:rPr>
        <w:t>2.1</w:t>
      </w:r>
      <w:r w:rsidRPr="00723DA9">
        <w:rPr>
          <w:rFonts w:ascii="Times New Roman" w:eastAsia="宋体" w:hAnsi="Times New Roman" w:cs="Times New Roman"/>
          <w:sz w:val="24"/>
          <w:szCs w:val="24"/>
        </w:rPr>
        <w:t xml:space="preserve">. </w:t>
      </w:r>
      <w:r w:rsidR="009035EF">
        <w:rPr>
          <w:rFonts w:ascii="Times New Roman" w:eastAsia="宋体" w:hAnsi="Times New Roman" w:cs="Times New Roman"/>
          <w:sz w:val="24"/>
          <w:szCs w:val="24"/>
        </w:rPr>
        <w:t xml:space="preserve"> </w:t>
      </w:r>
      <w:r w:rsidRPr="00723DA9">
        <w:rPr>
          <w:rFonts w:ascii="Times New Roman" w:hAnsi="Times New Roman" w:cs="Times New Roman"/>
          <w:sz w:val="24"/>
          <w:szCs w:val="24"/>
        </w:rPr>
        <w:t>T</w:t>
      </w:r>
      <w:r w:rsidRPr="00723DA9">
        <w:rPr>
          <w:rFonts w:ascii="Times New Roman" w:eastAsia="宋体" w:hAnsi="Times New Roman" w:cs="Times New Roman"/>
          <w:sz w:val="24"/>
          <w:szCs w:val="24"/>
        </w:rPr>
        <w:t xml:space="preserve">he newly developed directed moving nest strategy is adopted </w:t>
      </w:r>
      <w:r w:rsidRPr="00723DA9">
        <w:rPr>
          <w:rFonts w:ascii="Times New Roman" w:hAnsi="Times New Roman" w:cs="Times New Roman"/>
          <w:sz w:val="24"/>
          <w:szCs w:val="24"/>
        </w:rPr>
        <w:t xml:space="preserve">as introduced in </w:t>
      </w:r>
      <w:r w:rsidR="00631E71" w:rsidRPr="00723DA9">
        <w:rPr>
          <w:rFonts w:ascii="Times New Roman" w:hAnsi="Times New Roman" w:cs="Times New Roman"/>
          <w:sz w:val="24"/>
          <w:szCs w:val="24"/>
        </w:rPr>
        <w:t>S</w:t>
      </w:r>
      <w:r w:rsidRPr="00723DA9">
        <w:rPr>
          <w:rFonts w:ascii="Times New Roman" w:hAnsi="Times New Roman" w:cs="Times New Roman"/>
          <w:sz w:val="24"/>
          <w:szCs w:val="24"/>
        </w:rPr>
        <w:t>ection 2</w:t>
      </w:r>
      <w:r w:rsidR="00E3542B" w:rsidRPr="00723DA9">
        <w:rPr>
          <w:rFonts w:ascii="Times New Roman" w:hAnsi="Times New Roman" w:cs="Times New Roman"/>
          <w:sz w:val="24"/>
          <w:szCs w:val="24"/>
        </w:rPr>
        <w:t>.4</w:t>
      </w:r>
      <w:r w:rsidRPr="00723DA9">
        <w:rPr>
          <w:rFonts w:ascii="Times New Roman" w:hAnsi="Times New Roman" w:cs="Times New Roman"/>
          <w:sz w:val="24"/>
          <w:szCs w:val="24"/>
        </w:rPr>
        <w:t>.  3DEV starts on 1200 UTC 11 September 2014 when Edouard (2014) developed into a tropical depression.</w:t>
      </w:r>
      <w:r w:rsidR="002A256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The first DA cycle starts on 1800 UTC 11 September 2014 after 6 hours of spin-up forecast initialized from the GFS analyses. </w:t>
      </w:r>
      <w:r w:rsidR="002A256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initial 6-h ensemble is initialized from the GFS ensemble as stated in </w:t>
      </w:r>
      <w:r w:rsidR="00631E71" w:rsidRPr="00723DA9">
        <w:rPr>
          <w:rFonts w:ascii="Times New Roman" w:hAnsi="Times New Roman" w:cs="Times New Roman"/>
          <w:sz w:val="24"/>
          <w:szCs w:val="24"/>
        </w:rPr>
        <w:t>S</w:t>
      </w:r>
      <w:r w:rsidRPr="00723DA9">
        <w:rPr>
          <w:rFonts w:ascii="Times New Roman" w:hAnsi="Times New Roman" w:cs="Times New Roman"/>
          <w:sz w:val="24"/>
          <w:szCs w:val="24"/>
        </w:rPr>
        <w:t>ection 2</w:t>
      </w:r>
      <w:r w:rsidR="002A2562" w:rsidRPr="00723DA9">
        <w:rPr>
          <w:rFonts w:ascii="Times New Roman" w:hAnsi="Times New Roman" w:cs="Times New Roman"/>
          <w:sz w:val="24"/>
          <w:szCs w:val="24"/>
        </w:rPr>
        <w:t>.2</w:t>
      </w:r>
      <w:r w:rsidRPr="00723DA9">
        <w:rPr>
          <w:rFonts w:ascii="Times New Roman" w:hAnsi="Times New Roman" w:cs="Times New Roman"/>
          <w:sz w:val="24"/>
          <w:szCs w:val="24"/>
        </w:rPr>
        <w:t xml:space="preserve">. The DA experiment ends on 1800 UTC 19 September 2014 when Edouard became a </w:t>
      </w:r>
      <w:proofErr w:type="gramStart"/>
      <w:r w:rsidRPr="00723DA9">
        <w:rPr>
          <w:rFonts w:ascii="Times New Roman" w:hAnsi="Times New Roman" w:cs="Times New Roman"/>
          <w:sz w:val="24"/>
          <w:szCs w:val="24"/>
        </w:rPr>
        <w:t>low</w:t>
      </w:r>
      <w:r w:rsidR="004D4E13">
        <w:rPr>
          <w:rFonts w:ascii="Times New Roman" w:hAnsi="Times New Roman" w:cs="Times New Roman"/>
          <w:sz w:val="24"/>
          <w:szCs w:val="24"/>
        </w:rPr>
        <w:t xml:space="preserve"> pressure</w:t>
      </w:r>
      <w:proofErr w:type="gramEnd"/>
      <w:r w:rsidR="004D4E13">
        <w:rPr>
          <w:rFonts w:ascii="Times New Roman" w:hAnsi="Times New Roman" w:cs="Times New Roman"/>
          <w:sz w:val="24"/>
          <w:szCs w:val="24"/>
        </w:rPr>
        <w:t xml:space="preserve"> system</w:t>
      </w:r>
      <w:r w:rsidRPr="00723DA9">
        <w:rPr>
          <w:rFonts w:ascii="Times New Roman" w:hAnsi="Times New Roman" w:cs="Times New Roman"/>
          <w:sz w:val="24"/>
          <w:szCs w:val="24"/>
        </w:rPr>
        <w:t xml:space="preserve">. </w:t>
      </w:r>
      <w:r w:rsidR="002A256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Thirty-two DA cycles are performed in total.  </w:t>
      </w:r>
    </w:p>
    <w:p w14:paraId="34CA29C4" w14:textId="77777777" w:rsidR="0083574D" w:rsidRPr="00723DA9" w:rsidRDefault="0083574D" w:rsidP="0083574D">
      <w:pPr>
        <w:pStyle w:val="Captions"/>
        <w:spacing w:after="0"/>
        <w:rPr>
          <w:rFonts w:eastAsia="宋体" w:cs="Times New Roman"/>
        </w:rPr>
      </w:pPr>
    </w:p>
    <w:p w14:paraId="0BEE4CB8" w14:textId="72E8C9ED" w:rsidR="00574EF2" w:rsidRPr="00723DA9" w:rsidRDefault="00BA7295" w:rsidP="00966FCE">
      <w:pPr>
        <w:pStyle w:val="Captions"/>
        <w:spacing w:after="160"/>
        <w:rPr>
          <w:rFonts w:cs="Times New Roman"/>
        </w:rPr>
      </w:pPr>
      <w:bookmarkStart w:id="46" w:name="_Toc21629869"/>
      <w:r w:rsidRPr="00723DA9">
        <w:rPr>
          <w:rFonts w:cs="Times New Roman"/>
        </w:rPr>
        <w:t>Table 3.</w:t>
      </w:r>
      <w:r w:rsidR="00771F99" w:rsidRPr="00723DA9">
        <w:rPr>
          <w:rFonts w:cs="Times New Roman"/>
        </w:rPr>
        <w:fldChar w:fldCharType="begin"/>
      </w:r>
      <w:r w:rsidR="00771F99" w:rsidRPr="00723DA9">
        <w:rPr>
          <w:rFonts w:cs="Times New Roman"/>
        </w:rPr>
        <w:instrText xml:space="preserve"> SEQ Table \* ARABIC \s 1 </w:instrText>
      </w:r>
      <w:r w:rsidR="00771F99" w:rsidRPr="00723DA9">
        <w:rPr>
          <w:rFonts w:cs="Times New Roman"/>
        </w:rPr>
        <w:fldChar w:fldCharType="separate"/>
      </w:r>
      <w:r w:rsidR="00C350DE">
        <w:rPr>
          <w:rFonts w:cs="Times New Roman"/>
          <w:noProof/>
        </w:rPr>
        <w:t>2</w:t>
      </w:r>
      <w:r w:rsidR="00771F99" w:rsidRPr="00723DA9">
        <w:rPr>
          <w:rFonts w:cs="Times New Roman"/>
          <w:noProof/>
        </w:rPr>
        <w:fldChar w:fldCharType="end"/>
      </w:r>
      <w:r w:rsidRPr="00723DA9">
        <w:rPr>
          <w:rFonts w:cs="Times New Roman"/>
        </w:rPr>
        <w:t xml:space="preserve"> </w:t>
      </w:r>
      <w:r w:rsidR="00574EF2" w:rsidRPr="00723DA9">
        <w:rPr>
          <w:rFonts w:cs="Times New Roman"/>
        </w:rPr>
        <w:t>List of observations assimilated in each domain.</w:t>
      </w:r>
      <w:bookmarkEnd w:id="46"/>
      <w:r w:rsidR="00574EF2" w:rsidRPr="00723DA9">
        <w:rPr>
          <w:rFonts w:cs="Times New Roman"/>
        </w:rPr>
        <w:t xml:space="preserve"> </w:t>
      </w:r>
    </w:p>
    <w:tbl>
      <w:tblPr>
        <w:tblStyle w:val="TableGrid"/>
        <w:tblW w:w="9265" w:type="dxa"/>
        <w:jc w:val="center"/>
        <w:tblInd w:w="0" w:type="dxa"/>
        <w:tblLayout w:type="fixed"/>
        <w:tblLook w:val="04A0" w:firstRow="1" w:lastRow="0" w:firstColumn="1" w:lastColumn="0" w:noHBand="0" w:noVBand="1"/>
      </w:tblPr>
      <w:tblGrid>
        <w:gridCol w:w="1525"/>
        <w:gridCol w:w="635"/>
        <w:gridCol w:w="2965"/>
        <w:gridCol w:w="1440"/>
        <w:gridCol w:w="1350"/>
        <w:gridCol w:w="1350"/>
      </w:tblGrid>
      <w:tr w:rsidR="00574EF2" w:rsidRPr="00824801" w14:paraId="7BDC8326" w14:textId="77777777" w:rsidTr="00FE24D5">
        <w:trPr>
          <w:trHeight w:val="133"/>
          <w:jc w:val="center"/>
        </w:trPr>
        <w:tc>
          <w:tcPr>
            <w:tcW w:w="5125" w:type="dxa"/>
            <w:gridSpan w:val="3"/>
            <w:tcBorders>
              <w:top w:val="single" w:sz="4" w:space="0" w:color="auto"/>
              <w:left w:val="single" w:sz="4" w:space="0" w:color="auto"/>
              <w:bottom w:val="single" w:sz="4" w:space="0" w:color="auto"/>
              <w:right w:val="single" w:sz="4" w:space="0" w:color="auto"/>
              <w:tl2br w:val="single" w:sz="4" w:space="0" w:color="auto"/>
            </w:tcBorders>
            <w:hideMark/>
          </w:tcPr>
          <w:p w14:paraId="5001F460" w14:textId="77777777" w:rsidR="00574EF2" w:rsidRPr="00824801" w:rsidRDefault="00574EF2" w:rsidP="006A6CBF">
            <w:pPr>
              <w:jc w:val="right"/>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Domain</w:t>
            </w:r>
          </w:p>
          <w:p w14:paraId="7608F64A" w14:textId="77777777" w:rsidR="00574EF2" w:rsidRPr="00824801" w:rsidRDefault="00574EF2" w:rsidP="006A6CBF">
            <w:pP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Data Type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DD78E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Outermost Domain (d01)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B74383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Intermediate Domain (d02)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49D9151"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Innermost Domain (d03)</w:t>
            </w:r>
          </w:p>
        </w:tc>
      </w:tr>
      <w:tr w:rsidR="00574EF2" w:rsidRPr="00824801" w14:paraId="17A221B1" w14:textId="77777777" w:rsidTr="00FE24D5">
        <w:trPr>
          <w:trHeight w:val="288"/>
          <w:jc w:val="center"/>
        </w:trPr>
        <w:tc>
          <w:tcPr>
            <w:tcW w:w="1525" w:type="dxa"/>
            <w:vMerge w:val="restart"/>
            <w:tcBorders>
              <w:top w:val="single" w:sz="4" w:space="0" w:color="auto"/>
              <w:left w:val="single" w:sz="4" w:space="0" w:color="auto"/>
              <w:bottom w:val="single" w:sz="4" w:space="0" w:color="auto"/>
              <w:right w:val="single" w:sz="4" w:space="0" w:color="auto"/>
            </w:tcBorders>
            <w:vAlign w:val="center"/>
            <w:hideMark/>
          </w:tcPr>
          <w:p w14:paraId="55A047E2" w14:textId="77777777" w:rsidR="00574EF2" w:rsidRPr="00824801" w:rsidRDefault="00574EF2" w:rsidP="006A6CBF">
            <w:pPr>
              <w:jc w:val="center"/>
              <w:rPr>
                <w:rFonts w:ascii="Times New Roman" w:eastAsia="Calibri" w:hAnsi="Times New Roman" w:cs="Times New Roman"/>
                <w:sz w:val="20"/>
                <w:szCs w:val="20"/>
                <w:lang w:eastAsia="zh-CN"/>
              </w:rPr>
            </w:pPr>
            <w:r w:rsidRPr="00824801">
              <w:rPr>
                <w:rFonts w:ascii="Times New Roman" w:hAnsi="Times New Roman" w:cs="Times New Roman"/>
                <w:sz w:val="20"/>
                <w:szCs w:val="20"/>
                <w:lang w:eastAsia="zh-CN"/>
              </w:rPr>
              <w:t>Conventional observations</w:t>
            </w: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00F2855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宋体" w:hAnsi="Times New Roman" w:cs="Times New Roman"/>
                <w:sz w:val="20"/>
                <w:szCs w:val="20"/>
                <w:lang w:eastAsia="zh-CN"/>
              </w:rPr>
              <w:t>Radiosondes</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72F22515"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No observations are assimilated</w:t>
            </w:r>
          </w:p>
          <w:p w14:paraId="4E858599"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p>
          <w:p w14:paraId="7363246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p>
          <w:p w14:paraId="3D78A437"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Initialized from GFS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840A453"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2ECF5E5"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25683FB7"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41F3526D"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2EADF23F" w14:textId="77777777" w:rsidR="00574EF2" w:rsidRPr="00824801" w:rsidRDefault="00574EF2" w:rsidP="006A6CBF">
            <w:pPr>
              <w:jc w:val="center"/>
              <w:rPr>
                <w:rFonts w:ascii="Times New Roman" w:eastAsia="Times New Roman" w:hAnsi="Times New Roman" w:cs="Times New Roman"/>
                <w:color w:val="000000"/>
                <w:sz w:val="20"/>
                <w:szCs w:val="20"/>
              </w:rPr>
            </w:pPr>
            <w:proofErr w:type="spellStart"/>
            <w:r w:rsidRPr="00824801">
              <w:rPr>
                <w:rFonts w:ascii="Times New Roman" w:eastAsia="宋体" w:hAnsi="Times New Roman" w:cs="Times New Roman"/>
                <w:sz w:val="20"/>
                <w:szCs w:val="20"/>
                <w:lang w:eastAsia="zh-CN"/>
              </w:rPr>
              <w:t>Dropwindsondes</w:t>
            </w:r>
            <w:proofErr w:type="spellEnd"/>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2331BC6"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DBD604E"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5248752"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1D028930"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2B610AAD"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44E3555B"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宋体" w:hAnsi="Times New Roman" w:cs="Times New Roman"/>
                <w:sz w:val="20"/>
                <w:szCs w:val="20"/>
                <w:lang w:eastAsia="zh-CN"/>
              </w:rPr>
              <w:t>Aircraft Reports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04E5AF9"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904F745"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0E8EF2BA"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71089770"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0555B216"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439D9995"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宋体" w:hAnsi="Times New Roman" w:cs="Times New Roman"/>
                <w:sz w:val="20"/>
                <w:szCs w:val="20"/>
                <w:lang w:eastAsia="zh-CN"/>
              </w:rPr>
              <w:t>Surface Ship and Buoy Observations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019CDB0"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8F48346"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675CDFF5"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4172FEB2"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71A690EE"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1E12F45F"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宋体" w:hAnsi="Times New Roman" w:cs="Times New Roman"/>
                <w:sz w:val="20"/>
                <w:szCs w:val="20"/>
                <w:lang w:eastAsia="zh-CN"/>
              </w:rPr>
              <w:t>Surface Observations over Land</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835A85E"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D88FF68"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BBB09C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5EE6B0ED"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73A1BF9D"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1F40D8C8" w14:textId="77777777" w:rsidR="00574EF2" w:rsidRPr="00824801" w:rsidRDefault="00574EF2" w:rsidP="006A6CBF">
            <w:pPr>
              <w:jc w:val="center"/>
              <w:rPr>
                <w:rFonts w:ascii="Times New Roman" w:eastAsia="Times New Roman" w:hAnsi="Times New Roman" w:cs="Times New Roman"/>
                <w:color w:val="000000"/>
                <w:sz w:val="20"/>
                <w:szCs w:val="20"/>
              </w:rPr>
            </w:pPr>
            <w:proofErr w:type="spellStart"/>
            <w:r w:rsidRPr="00824801">
              <w:rPr>
                <w:rFonts w:ascii="Times New Roman" w:eastAsia="宋体" w:hAnsi="Times New Roman" w:cs="Times New Roman"/>
                <w:sz w:val="20"/>
                <w:szCs w:val="20"/>
                <w:lang w:eastAsia="zh-CN"/>
              </w:rPr>
              <w:t>Pibal</w:t>
            </w:r>
            <w:proofErr w:type="spellEnd"/>
            <w:r w:rsidRPr="00824801">
              <w:rPr>
                <w:rFonts w:ascii="Times New Roman" w:eastAsia="宋体" w:hAnsi="Times New Roman" w:cs="Times New Roman"/>
                <w:sz w:val="20"/>
                <w:szCs w:val="20"/>
                <w:lang w:eastAsia="zh-CN"/>
              </w:rPr>
              <w:t xml:space="preserve"> Winds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5C9361E"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32DDEFC"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71D04B53"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15CEDB61" w14:textId="77777777" w:rsidTr="00FE24D5">
        <w:trPr>
          <w:trHeight w:val="5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531E6504"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50161A07"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宋体" w:hAnsi="Times New Roman" w:cs="Times New Roman"/>
                <w:sz w:val="20"/>
                <w:szCs w:val="20"/>
                <w:lang w:eastAsia="zh-CN"/>
              </w:rPr>
              <w:t>Wind Profilers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AF154A2"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748BFBE"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5CF09D49"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6938BCC1"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3BC2D442"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3C55AE69"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宋体" w:hAnsi="Times New Roman" w:cs="Times New Roman"/>
                <w:sz w:val="20"/>
                <w:szCs w:val="20"/>
                <w:lang w:eastAsia="zh-CN"/>
              </w:rPr>
              <w:t>Radar-derived Velocity Azimuth Display Wind</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E10C218"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3F2E54B"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3853282B"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433489DC"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40AE2EBA"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75435DA6" w14:textId="77777777" w:rsidR="00574EF2" w:rsidRPr="00824801" w:rsidRDefault="00574EF2" w:rsidP="006A6CBF">
            <w:pPr>
              <w:jc w:val="center"/>
              <w:rPr>
                <w:rFonts w:ascii="Times New Roman" w:eastAsia="Times New Roman" w:hAnsi="Times New Roman" w:cs="Times New Roman"/>
                <w:color w:val="000000"/>
                <w:sz w:val="20"/>
                <w:szCs w:val="20"/>
              </w:rPr>
            </w:pPr>
            <w:proofErr w:type="spellStart"/>
            <w:r w:rsidRPr="00824801">
              <w:rPr>
                <w:rFonts w:ascii="Times New Roman" w:eastAsia="宋体" w:hAnsi="Times New Roman" w:cs="Times New Roman"/>
                <w:sz w:val="20"/>
                <w:szCs w:val="20"/>
                <w:lang w:eastAsia="zh-CN"/>
              </w:rPr>
              <w:t>WindSat</w:t>
            </w:r>
            <w:proofErr w:type="spellEnd"/>
            <w:r w:rsidRPr="00824801">
              <w:rPr>
                <w:rFonts w:ascii="Times New Roman" w:eastAsia="宋体" w:hAnsi="Times New Roman" w:cs="Times New Roman"/>
                <w:sz w:val="20"/>
                <w:szCs w:val="20"/>
                <w:lang w:eastAsia="zh-CN"/>
              </w:rPr>
              <w:t xml:space="preserve"> </w:t>
            </w:r>
            <w:proofErr w:type="spellStart"/>
            <w:r w:rsidRPr="00824801">
              <w:rPr>
                <w:rFonts w:ascii="Times New Roman" w:eastAsia="宋体" w:hAnsi="Times New Roman" w:cs="Times New Roman"/>
                <w:sz w:val="20"/>
                <w:szCs w:val="20"/>
                <w:lang w:eastAsia="zh-CN"/>
              </w:rPr>
              <w:t>Scatterometer</w:t>
            </w:r>
            <w:proofErr w:type="spellEnd"/>
            <w:r w:rsidRPr="00824801">
              <w:rPr>
                <w:rFonts w:ascii="Times New Roman" w:eastAsia="宋体" w:hAnsi="Times New Roman" w:cs="Times New Roman"/>
                <w:sz w:val="20"/>
                <w:szCs w:val="20"/>
                <w:lang w:eastAsia="zh-CN"/>
              </w:rPr>
              <w:t xml:space="preserve"> Winds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46C9F78"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62E834E"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0170107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7158DEB3"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51999497" w14:textId="77777777" w:rsidR="00574EF2" w:rsidRPr="00824801" w:rsidRDefault="00574EF2" w:rsidP="006A6CBF">
            <w:pPr>
              <w:rPr>
                <w:rFonts w:ascii="Times New Roman" w:eastAsia="Calibri" w:hAnsi="Times New Roman" w:cs="Times New Roman"/>
                <w:sz w:val="20"/>
                <w:szCs w:val="20"/>
                <w:lang w:eastAsia="zh-CN"/>
              </w:rPr>
            </w:pPr>
          </w:p>
        </w:tc>
        <w:tc>
          <w:tcPr>
            <w:tcW w:w="3600" w:type="dxa"/>
            <w:gridSpan w:val="2"/>
            <w:tcBorders>
              <w:top w:val="single" w:sz="4" w:space="0" w:color="auto"/>
              <w:left w:val="single" w:sz="4" w:space="0" w:color="auto"/>
              <w:bottom w:val="single" w:sz="4" w:space="0" w:color="auto"/>
              <w:right w:val="single" w:sz="4" w:space="0" w:color="auto"/>
            </w:tcBorders>
            <w:vAlign w:val="center"/>
            <w:hideMark/>
          </w:tcPr>
          <w:p w14:paraId="0BE637BB"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宋体" w:hAnsi="Times New Roman" w:cs="Times New Roman"/>
                <w:sz w:val="20"/>
                <w:szCs w:val="20"/>
                <w:lang w:eastAsia="zh-CN"/>
              </w:rPr>
              <w:t>Integrated Precipitable Water derived from the Global Positioning System</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9F4B05E"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B1EB8CC"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4A4623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76A41378" w14:textId="77777777" w:rsidTr="00FE24D5">
        <w:trPr>
          <w:trHeight w:val="58"/>
          <w:jc w:val="center"/>
        </w:trPr>
        <w:tc>
          <w:tcPr>
            <w:tcW w:w="5125" w:type="dxa"/>
            <w:gridSpan w:val="3"/>
            <w:tcBorders>
              <w:top w:val="single" w:sz="4" w:space="0" w:color="auto"/>
              <w:left w:val="single" w:sz="4" w:space="0" w:color="auto"/>
              <w:bottom w:val="single" w:sz="4" w:space="0" w:color="auto"/>
              <w:right w:val="single" w:sz="4" w:space="0" w:color="auto"/>
            </w:tcBorders>
            <w:vAlign w:val="center"/>
            <w:hideMark/>
          </w:tcPr>
          <w:p w14:paraId="7964697E" w14:textId="77777777" w:rsidR="00574EF2" w:rsidRPr="00824801" w:rsidRDefault="00574EF2" w:rsidP="006A6CBF">
            <w:pPr>
              <w:jc w:val="center"/>
              <w:rPr>
                <w:rFonts w:ascii="Times New Roman" w:eastAsia="宋体" w:hAnsi="Times New Roman" w:cs="Times New Roman"/>
                <w:i/>
                <w:iCs/>
                <w:color w:val="404040" w:themeColor="text1" w:themeTint="BF"/>
                <w:sz w:val="20"/>
                <w:szCs w:val="20"/>
              </w:rPr>
            </w:pPr>
            <w:r w:rsidRPr="00824801">
              <w:rPr>
                <w:rFonts w:ascii="Times New Roman" w:eastAsia="Times New Roman" w:hAnsi="Times New Roman" w:cs="Times New Roman"/>
                <w:color w:val="000000"/>
                <w:sz w:val="20"/>
                <w:szCs w:val="20"/>
                <w:lang w:eastAsia="zh-CN"/>
              </w:rPr>
              <w:t>Tail Doppler Radar Observation</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C2FF957"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77D4E1A"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1D2A30EF"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60A91146" w14:textId="77777777" w:rsidTr="00FE24D5">
        <w:trPr>
          <w:trHeight w:val="288"/>
          <w:jc w:val="center"/>
        </w:trPr>
        <w:tc>
          <w:tcPr>
            <w:tcW w:w="5125" w:type="dxa"/>
            <w:gridSpan w:val="3"/>
            <w:tcBorders>
              <w:top w:val="single" w:sz="4" w:space="0" w:color="auto"/>
              <w:left w:val="single" w:sz="4" w:space="0" w:color="auto"/>
              <w:bottom w:val="single" w:sz="4" w:space="0" w:color="auto"/>
              <w:right w:val="single" w:sz="4" w:space="0" w:color="auto"/>
            </w:tcBorders>
            <w:vAlign w:val="center"/>
            <w:hideMark/>
          </w:tcPr>
          <w:p w14:paraId="0F8BC9D9" w14:textId="77777777" w:rsidR="00574EF2" w:rsidRPr="00824801" w:rsidRDefault="00574EF2" w:rsidP="006A6CBF">
            <w:pPr>
              <w:jc w:val="center"/>
              <w:rPr>
                <w:rFonts w:ascii="Times New Roman" w:eastAsia="宋体" w:hAnsi="Times New Roman" w:cs="Times New Roman"/>
                <w:sz w:val="20"/>
                <w:szCs w:val="20"/>
                <w:lang w:eastAsia="zh-CN"/>
              </w:rPr>
            </w:pPr>
            <w:r w:rsidRPr="00824801">
              <w:rPr>
                <w:rFonts w:ascii="Times New Roman" w:eastAsia="Times New Roman" w:hAnsi="Times New Roman" w:cs="Times New Roman"/>
                <w:color w:val="000000"/>
                <w:sz w:val="20"/>
                <w:szCs w:val="20"/>
                <w:lang w:eastAsia="zh-CN"/>
              </w:rPr>
              <w:t>Satellite Derived Wind</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0CB4900"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1BC3D33"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7D8489D8"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Y</w:t>
            </w:r>
          </w:p>
        </w:tc>
      </w:tr>
      <w:tr w:rsidR="00574EF2" w:rsidRPr="00824801" w14:paraId="5DD439F8" w14:textId="77777777" w:rsidTr="00FE24D5">
        <w:trPr>
          <w:trHeight w:val="288"/>
          <w:jc w:val="center"/>
        </w:trPr>
        <w:tc>
          <w:tcPr>
            <w:tcW w:w="1525" w:type="dxa"/>
            <w:vMerge w:val="restart"/>
            <w:tcBorders>
              <w:top w:val="single" w:sz="4" w:space="0" w:color="auto"/>
              <w:left w:val="single" w:sz="4" w:space="0" w:color="auto"/>
              <w:bottom w:val="single" w:sz="4" w:space="0" w:color="auto"/>
              <w:right w:val="single" w:sz="4" w:space="0" w:color="auto"/>
            </w:tcBorders>
            <w:vAlign w:val="center"/>
            <w:hideMark/>
          </w:tcPr>
          <w:p w14:paraId="51089EF1"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Satellite radiances</w:t>
            </w:r>
          </w:p>
        </w:tc>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52C66EB3" w14:textId="77777777" w:rsidR="00574EF2" w:rsidRPr="00824801" w:rsidRDefault="00574EF2" w:rsidP="006A6CBF">
            <w:pPr>
              <w:jc w:val="center"/>
              <w:rPr>
                <w:rFonts w:ascii="Times New Roman" w:eastAsia="宋体" w:hAnsi="Times New Roman" w:cs="Times New Roman"/>
                <w:sz w:val="20"/>
                <w:szCs w:val="20"/>
                <w:lang w:eastAsia="zh-CN"/>
              </w:rPr>
            </w:pPr>
            <w:r w:rsidRPr="00824801">
              <w:rPr>
                <w:rFonts w:ascii="Times New Roman" w:eastAsia="宋体" w:hAnsi="Times New Roman" w:cs="Times New Roman"/>
                <w:sz w:val="20"/>
                <w:szCs w:val="20"/>
                <w:lang w:eastAsia="zh-CN"/>
              </w:rPr>
              <w:t>IR</w:t>
            </w:r>
          </w:p>
        </w:tc>
        <w:tc>
          <w:tcPr>
            <w:tcW w:w="2965" w:type="dxa"/>
            <w:tcBorders>
              <w:top w:val="single" w:sz="4" w:space="0" w:color="auto"/>
              <w:left w:val="single" w:sz="4" w:space="0" w:color="auto"/>
              <w:bottom w:val="single" w:sz="4" w:space="0" w:color="auto"/>
              <w:right w:val="single" w:sz="4" w:space="0" w:color="auto"/>
            </w:tcBorders>
            <w:noWrap/>
            <w:vAlign w:val="center"/>
            <w:hideMark/>
          </w:tcPr>
          <w:p w14:paraId="21919921" w14:textId="77777777" w:rsidR="00574EF2" w:rsidRPr="00824801" w:rsidRDefault="00574EF2" w:rsidP="006A6CBF">
            <w:pPr>
              <w:jc w:val="center"/>
              <w:rPr>
                <w:rFonts w:ascii="Times New Roman" w:eastAsia="宋体" w:hAnsi="Times New Roman" w:cs="Times New Roman"/>
                <w:sz w:val="20"/>
                <w:szCs w:val="20"/>
              </w:rPr>
            </w:pPr>
            <w:r w:rsidRPr="00824801">
              <w:rPr>
                <w:rFonts w:ascii="Times New Roman" w:eastAsia="宋体" w:hAnsi="Times New Roman" w:cs="Times New Roman"/>
                <w:sz w:val="20"/>
                <w:szCs w:val="20"/>
                <w:lang w:eastAsia="zh-CN"/>
              </w:rPr>
              <w:t>HIRS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9AC4121"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04B8D65"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vMerge w:val="restart"/>
            <w:tcBorders>
              <w:top w:val="single" w:sz="4" w:space="0" w:color="auto"/>
              <w:left w:val="single" w:sz="4" w:space="0" w:color="auto"/>
              <w:bottom w:val="single" w:sz="4" w:space="0" w:color="auto"/>
              <w:right w:val="single" w:sz="4" w:space="0" w:color="auto"/>
            </w:tcBorders>
            <w:noWrap/>
            <w:vAlign w:val="center"/>
            <w:hideMark/>
          </w:tcPr>
          <w:p w14:paraId="3D7C1F94" w14:textId="77777777" w:rsidR="00574EF2" w:rsidRPr="00824801" w:rsidRDefault="00574EF2" w:rsidP="006A6CBF">
            <w:pPr>
              <w:jc w:val="center"/>
              <w:rPr>
                <w:rFonts w:ascii="Times New Roman" w:eastAsia="Times New Roman" w:hAnsi="Times New Roman" w:cs="Times New Roman"/>
                <w:color w:val="000000"/>
                <w:sz w:val="20"/>
                <w:szCs w:val="20"/>
                <w:lang w:eastAsia="zh-CN"/>
              </w:rPr>
            </w:pPr>
            <w:r w:rsidRPr="00824801">
              <w:rPr>
                <w:rFonts w:ascii="Times New Roman" w:eastAsia="Times New Roman" w:hAnsi="Times New Roman" w:cs="Times New Roman"/>
                <w:color w:val="000000"/>
                <w:sz w:val="20"/>
                <w:szCs w:val="20"/>
                <w:lang w:eastAsia="zh-CN"/>
              </w:rPr>
              <w:t>No radiances are assimilated</w:t>
            </w:r>
          </w:p>
        </w:tc>
      </w:tr>
      <w:tr w:rsidR="00574EF2" w:rsidRPr="00824801" w14:paraId="068E9616"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31C0CAB1"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4C2CBBD8" w14:textId="77777777" w:rsidR="00574EF2" w:rsidRPr="00824801" w:rsidRDefault="00574EF2" w:rsidP="006A6CBF">
            <w:pPr>
              <w:rPr>
                <w:rFonts w:ascii="Times New Roman" w:eastAsia="宋体" w:hAnsi="Times New Roman" w:cs="Times New Roman"/>
                <w:sz w:val="20"/>
                <w:szCs w:val="20"/>
                <w:lang w:eastAsia="zh-CN"/>
              </w:rPr>
            </w:pPr>
          </w:p>
        </w:tc>
        <w:tc>
          <w:tcPr>
            <w:tcW w:w="2965" w:type="dxa"/>
            <w:tcBorders>
              <w:top w:val="single" w:sz="4" w:space="0" w:color="auto"/>
              <w:left w:val="single" w:sz="4" w:space="0" w:color="auto"/>
              <w:bottom w:val="single" w:sz="4" w:space="0" w:color="auto"/>
              <w:right w:val="single" w:sz="4" w:space="0" w:color="auto"/>
            </w:tcBorders>
            <w:noWrap/>
            <w:vAlign w:val="center"/>
            <w:hideMark/>
          </w:tcPr>
          <w:p w14:paraId="6B2F3B9C" w14:textId="77777777" w:rsidR="00574EF2" w:rsidRPr="00824801" w:rsidRDefault="00574EF2" w:rsidP="006A6CBF">
            <w:pPr>
              <w:jc w:val="center"/>
              <w:rPr>
                <w:rFonts w:ascii="Times New Roman" w:eastAsia="宋体" w:hAnsi="Times New Roman" w:cs="Times New Roman"/>
                <w:sz w:val="20"/>
                <w:szCs w:val="20"/>
              </w:rPr>
            </w:pPr>
            <w:r w:rsidRPr="00824801">
              <w:rPr>
                <w:rFonts w:ascii="Times New Roman" w:eastAsia="宋体" w:hAnsi="Times New Roman" w:cs="Times New Roman"/>
                <w:sz w:val="20"/>
                <w:szCs w:val="20"/>
                <w:lang w:eastAsia="zh-CN"/>
              </w:rPr>
              <w:t>AIRS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E0ED054"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95AD558"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5CB77EF6" w14:textId="77777777" w:rsidR="00574EF2" w:rsidRPr="00824801" w:rsidRDefault="00574EF2" w:rsidP="006A6CBF">
            <w:pPr>
              <w:rPr>
                <w:rFonts w:ascii="Times New Roman" w:eastAsia="Times New Roman" w:hAnsi="Times New Roman" w:cs="Times New Roman"/>
                <w:color w:val="000000"/>
                <w:sz w:val="20"/>
                <w:szCs w:val="20"/>
                <w:lang w:eastAsia="zh-CN"/>
              </w:rPr>
            </w:pPr>
          </w:p>
        </w:tc>
      </w:tr>
      <w:tr w:rsidR="00574EF2" w:rsidRPr="00824801" w14:paraId="4C181039" w14:textId="77777777" w:rsidTr="00FE24D5">
        <w:trPr>
          <w:trHeight w:val="5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272080FE"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25015030" w14:textId="77777777" w:rsidR="00574EF2" w:rsidRPr="00824801" w:rsidRDefault="00574EF2" w:rsidP="006A6CBF">
            <w:pPr>
              <w:rPr>
                <w:rFonts w:ascii="Times New Roman" w:eastAsia="宋体" w:hAnsi="Times New Roman" w:cs="Times New Roman"/>
                <w:sz w:val="20"/>
                <w:szCs w:val="20"/>
                <w:lang w:eastAsia="zh-CN"/>
              </w:rPr>
            </w:pPr>
          </w:p>
        </w:tc>
        <w:tc>
          <w:tcPr>
            <w:tcW w:w="2965" w:type="dxa"/>
            <w:tcBorders>
              <w:top w:val="single" w:sz="4" w:space="0" w:color="auto"/>
              <w:left w:val="single" w:sz="4" w:space="0" w:color="auto"/>
              <w:bottom w:val="single" w:sz="4" w:space="0" w:color="auto"/>
              <w:right w:val="single" w:sz="4" w:space="0" w:color="auto"/>
            </w:tcBorders>
            <w:noWrap/>
            <w:vAlign w:val="center"/>
            <w:hideMark/>
          </w:tcPr>
          <w:p w14:paraId="3E6E18F4" w14:textId="77777777" w:rsidR="00574EF2" w:rsidRPr="00824801" w:rsidRDefault="00574EF2" w:rsidP="006A6CBF">
            <w:pPr>
              <w:jc w:val="center"/>
              <w:rPr>
                <w:rFonts w:ascii="Times New Roman" w:eastAsia="宋体" w:hAnsi="Times New Roman" w:cs="Times New Roman"/>
                <w:i/>
                <w:iCs/>
                <w:color w:val="404040" w:themeColor="text1" w:themeTint="BF"/>
                <w:sz w:val="20"/>
                <w:szCs w:val="20"/>
              </w:rPr>
            </w:pPr>
            <w:r w:rsidRPr="00824801">
              <w:rPr>
                <w:rFonts w:ascii="Times New Roman" w:eastAsia="宋体" w:hAnsi="Times New Roman" w:cs="Times New Roman"/>
                <w:sz w:val="20"/>
                <w:szCs w:val="20"/>
                <w:lang w:eastAsia="zh-CN"/>
              </w:rPr>
              <w:t>IASI</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0C0287A"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6DD9003"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7CEA85B3" w14:textId="77777777" w:rsidR="00574EF2" w:rsidRPr="00824801" w:rsidRDefault="00574EF2" w:rsidP="006A6CBF">
            <w:pPr>
              <w:rPr>
                <w:rFonts w:ascii="Times New Roman" w:eastAsia="Times New Roman" w:hAnsi="Times New Roman" w:cs="Times New Roman"/>
                <w:color w:val="000000"/>
                <w:sz w:val="20"/>
                <w:szCs w:val="20"/>
                <w:lang w:eastAsia="zh-CN"/>
              </w:rPr>
            </w:pPr>
          </w:p>
        </w:tc>
      </w:tr>
      <w:tr w:rsidR="00574EF2" w:rsidRPr="00824801" w14:paraId="524000C7"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52333FA2"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131D1D65" w14:textId="77777777" w:rsidR="00574EF2" w:rsidRPr="00824801" w:rsidRDefault="00574EF2" w:rsidP="006A6CBF">
            <w:pPr>
              <w:rPr>
                <w:rFonts w:ascii="Times New Roman" w:eastAsia="宋体" w:hAnsi="Times New Roman" w:cs="Times New Roman"/>
                <w:sz w:val="20"/>
                <w:szCs w:val="20"/>
                <w:lang w:eastAsia="zh-CN"/>
              </w:rPr>
            </w:pPr>
          </w:p>
        </w:tc>
        <w:tc>
          <w:tcPr>
            <w:tcW w:w="2965" w:type="dxa"/>
            <w:tcBorders>
              <w:top w:val="single" w:sz="4" w:space="0" w:color="auto"/>
              <w:left w:val="single" w:sz="4" w:space="0" w:color="auto"/>
              <w:bottom w:val="single" w:sz="4" w:space="0" w:color="auto"/>
              <w:right w:val="single" w:sz="4" w:space="0" w:color="auto"/>
            </w:tcBorders>
            <w:noWrap/>
            <w:vAlign w:val="center"/>
            <w:hideMark/>
          </w:tcPr>
          <w:p w14:paraId="5EFD629D" w14:textId="77777777" w:rsidR="00574EF2" w:rsidRPr="00824801" w:rsidRDefault="00574EF2" w:rsidP="006A6CBF">
            <w:pPr>
              <w:jc w:val="center"/>
              <w:rPr>
                <w:rFonts w:ascii="Times New Roman" w:eastAsia="宋体" w:hAnsi="Times New Roman" w:cs="Times New Roman"/>
                <w:sz w:val="20"/>
                <w:szCs w:val="20"/>
              </w:rPr>
            </w:pPr>
            <w:r w:rsidRPr="00824801">
              <w:rPr>
                <w:rFonts w:ascii="Times New Roman" w:eastAsia="宋体" w:hAnsi="Times New Roman" w:cs="Times New Roman"/>
                <w:sz w:val="20"/>
                <w:szCs w:val="20"/>
                <w:lang w:eastAsia="zh-CN"/>
              </w:rPr>
              <w:t>GOES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9BD0058"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2C30B9C"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2FA118C5" w14:textId="77777777" w:rsidR="00574EF2" w:rsidRPr="00824801" w:rsidRDefault="00574EF2" w:rsidP="006A6CBF">
            <w:pPr>
              <w:rPr>
                <w:rFonts w:ascii="Times New Roman" w:eastAsia="Times New Roman" w:hAnsi="Times New Roman" w:cs="Times New Roman"/>
                <w:color w:val="000000"/>
                <w:sz w:val="20"/>
                <w:szCs w:val="20"/>
                <w:lang w:eastAsia="zh-CN"/>
              </w:rPr>
            </w:pPr>
          </w:p>
        </w:tc>
      </w:tr>
      <w:tr w:rsidR="00574EF2" w:rsidRPr="00824801" w14:paraId="368E0988"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7C6AA982"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22F5CA8D" w14:textId="77777777" w:rsidR="00574EF2" w:rsidRPr="00824801" w:rsidRDefault="00574EF2" w:rsidP="006A6CBF">
            <w:pPr>
              <w:jc w:val="center"/>
              <w:rPr>
                <w:rFonts w:ascii="Times New Roman" w:eastAsia="宋体" w:hAnsi="Times New Roman" w:cs="Times New Roman"/>
                <w:sz w:val="20"/>
                <w:szCs w:val="20"/>
              </w:rPr>
            </w:pPr>
            <w:r w:rsidRPr="00824801">
              <w:rPr>
                <w:rFonts w:ascii="Times New Roman" w:eastAsia="宋体" w:hAnsi="Times New Roman" w:cs="Times New Roman"/>
                <w:sz w:val="20"/>
                <w:szCs w:val="20"/>
                <w:lang w:eastAsia="zh-CN"/>
              </w:rPr>
              <w:t>MW</w:t>
            </w:r>
          </w:p>
        </w:tc>
        <w:tc>
          <w:tcPr>
            <w:tcW w:w="2965" w:type="dxa"/>
            <w:tcBorders>
              <w:top w:val="single" w:sz="4" w:space="0" w:color="auto"/>
              <w:left w:val="single" w:sz="4" w:space="0" w:color="auto"/>
              <w:bottom w:val="single" w:sz="4" w:space="0" w:color="auto"/>
              <w:right w:val="single" w:sz="4" w:space="0" w:color="auto"/>
            </w:tcBorders>
            <w:noWrap/>
            <w:vAlign w:val="center"/>
            <w:hideMark/>
          </w:tcPr>
          <w:p w14:paraId="4A685378" w14:textId="77777777" w:rsidR="00574EF2" w:rsidRPr="00824801" w:rsidRDefault="00574EF2" w:rsidP="006A6CBF">
            <w:pPr>
              <w:jc w:val="center"/>
              <w:rPr>
                <w:rFonts w:ascii="Times New Roman" w:eastAsia="宋体" w:hAnsi="Times New Roman" w:cs="Times New Roman"/>
                <w:sz w:val="20"/>
                <w:szCs w:val="20"/>
              </w:rPr>
            </w:pPr>
            <w:r w:rsidRPr="00824801">
              <w:rPr>
                <w:rFonts w:ascii="Times New Roman" w:eastAsia="宋体" w:hAnsi="Times New Roman" w:cs="Times New Roman"/>
                <w:sz w:val="20"/>
                <w:szCs w:val="20"/>
                <w:lang w:eastAsia="zh-CN"/>
              </w:rPr>
              <w:t>AMSU-A</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F57110A"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A357C6E"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20F372F6" w14:textId="77777777" w:rsidR="00574EF2" w:rsidRPr="00824801" w:rsidRDefault="00574EF2" w:rsidP="006A6CBF">
            <w:pPr>
              <w:rPr>
                <w:rFonts w:ascii="Times New Roman" w:eastAsia="Times New Roman" w:hAnsi="Times New Roman" w:cs="Times New Roman"/>
                <w:color w:val="000000"/>
                <w:sz w:val="20"/>
                <w:szCs w:val="20"/>
                <w:lang w:eastAsia="zh-CN"/>
              </w:rPr>
            </w:pPr>
          </w:p>
        </w:tc>
      </w:tr>
      <w:tr w:rsidR="00574EF2" w:rsidRPr="00824801" w14:paraId="1482FC4E" w14:textId="77777777" w:rsidTr="00FE24D5">
        <w:trPr>
          <w:trHeight w:val="28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021068CC"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4A910B0A" w14:textId="77777777" w:rsidR="00574EF2" w:rsidRPr="00824801" w:rsidRDefault="00574EF2" w:rsidP="006A6CBF">
            <w:pPr>
              <w:rPr>
                <w:rFonts w:ascii="Times New Roman" w:eastAsia="宋体" w:hAnsi="Times New Roman" w:cs="Times New Roman"/>
                <w:sz w:val="20"/>
                <w:szCs w:val="20"/>
              </w:rPr>
            </w:pPr>
          </w:p>
        </w:tc>
        <w:tc>
          <w:tcPr>
            <w:tcW w:w="2965" w:type="dxa"/>
            <w:tcBorders>
              <w:top w:val="single" w:sz="4" w:space="0" w:color="auto"/>
              <w:left w:val="single" w:sz="4" w:space="0" w:color="auto"/>
              <w:bottom w:val="single" w:sz="4" w:space="0" w:color="auto"/>
              <w:right w:val="single" w:sz="4" w:space="0" w:color="auto"/>
            </w:tcBorders>
            <w:noWrap/>
            <w:vAlign w:val="center"/>
            <w:hideMark/>
          </w:tcPr>
          <w:p w14:paraId="39614990" w14:textId="77777777" w:rsidR="00574EF2" w:rsidRPr="00824801" w:rsidRDefault="00574EF2" w:rsidP="006A6CBF">
            <w:pPr>
              <w:jc w:val="center"/>
              <w:rPr>
                <w:rFonts w:ascii="Times New Roman" w:eastAsia="宋体" w:hAnsi="Times New Roman" w:cs="Times New Roman"/>
                <w:sz w:val="20"/>
                <w:szCs w:val="20"/>
              </w:rPr>
            </w:pPr>
            <w:r w:rsidRPr="00824801">
              <w:rPr>
                <w:rFonts w:ascii="Times New Roman" w:eastAsia="宋体" w:hAnsi="Times New Roman" w:cs="Times New Roman"/>
                <w:sz w:val="20"/>
                <w:szCs w:val="20"/>
                <w:lang w:eastAsia="zh-CN"/>
              </w:rPr>
              <w:t>MHS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44FFC5E"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B9180EE"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80C220C" w14:textId="77777777" w:rsidR="00574EF2" w:rsidRPr="00824801" w:rsidRDefault="00574EF2" w:rsidP="006A6CBF">
            <w:pPr>
              <w:rPr>
                <w:rFonts w:ascii="Times New Roman" w:eastAsia="Times New Roman" w:hAnsi="Times New Roman" w:cs="Times New Roman"/>
                <w:color w:val="000000"/>
                <w:sz w:val="20"/>
                <w:szCs w:val="20"/>
                <w:lang w:eastAsia="zh-CN"/>
              </w:rPr>
            </w:pPr>
          </w:p>
        </w:tc>
      </w:tr>
      <w:tr w:rsidR="00574EF2" w:rsidRPr="00824801" w14:paraId="41973D62" w14:textId="77777777" w:rsidTr="00FE24D5">
        <w:trPr>
          <w:trHeight w:val="5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0015FCEE"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635" w:type="dxa"/>
            <w:vMerge/>
            <w:tcBorders>
              <w:top w:val="single" w:sz="4" w:space="0" w:color="auto"/>
              <w:left w:val="single" w:sz="4" w:space="0" w:color="auto"/>
              <w:bottom w:val="single" w:sz="4" w:space="0" w:color="auto"/>
              <w:right w:val="single" w:sz="4" w:space="0" w:color="auto"/>
            </w:tcBorders>
            <w:vAlign w:val="center"/>
            <w:hideMark/>
          </w:tcPr>
          <w:p w14:paraId="6694D99A" w14:textId="77777777" w:rsidR="00574EF2" w:rsidRPr="00824801" w:rsidRDefault="00574EF2" w:rsidP="006A6CBF">
            <w:pPr>
              <w:rPr>
                <w:rFonts w:ascii="Times New Roman" w:eastAsia="宋体" w:hAnsi="Times New Roman" w:cs="Times New Roman"/>
                <w:sz w:val="20"/>
                <w:szCs w:val="20"/>
              </w:rPr>
            </w:pPr>
          </w:p>
        </w:tc>
        <w:tc>
          <w:tcPr>
            <w:tcW w:w="2965" w:type="dxa"/>
            <w:tcBorders>
              <w:top w:val="single" w:sz="4" w:space="0" w:color="auto"/>
              <w:left w:val="single" w:sz="4" w:space="0" w:color="auto"/>
              <w:bottom w:val="single" w:sz="4" w:space="0" w:color="auto"/>
              <w:right w:val="single" w:sz="4" w:space="0" w:color="auto"/>
            </w:tcBorders>
            <w:noWrap/>
            <w:vAlign w:val="center"/>
            <w:hideMark/>
          </w:tcPr>
          <w:p w14:paraId="776CCA0D" w14:textId="77777777" w:rsidR="00574EF2" w:rsidRPr="00824801" w:rsidRDefault="00574EF2" w:rsidP="006A6CBF">
            <w:pPr>
              <w:jc w:val="center"/>
              <w:rPr>
                <w:rFonts w:ascii="Times New Roman" w:eastAsia="宋体" w:hAnsi="Times New Roman" w:cs="Times New Roman"/>
                <w:sz w:val="20"/>
                <w:szCs w:val="20"/>
              </w:rPr>
            </w:pPr>
            <w:r w:rsidRPr="00824801">
              <w:rPr>
                <w:rFonts w:ascii="Times New Roman" w:eastAsia="宋体" w:hAnsi="Times New Roman" w:cs="Times New Roman"/>
                <w:sz w:val="20"/>
                <w:szCs w:val="20"/>
                <w:lang w:eastAsia="zh-CN"/>
              </w:rPr>
              <w:t>ATMS</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3904BC9" w14:textId="77777777" w:rsidR="00574EF2" w:rsidRPr="00824801" w:rsidRDefault="00574EF2" w:rsidP="006A6CBF">
            <w:pPr>
              <w:rPr>
                <w:rFonts w:ascii="Times New Roman" w:eastAsia="Times New Roman" w:hAnsi="Times New Roman" w:cs="Times New Roman"/>
                <w:color w:val="000000"/>
                <w:sz w:val="20"/>
                <w:szCs w:val="20"/>
                <w:lang w:eastAsia="zh-C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1B8299F" w14:textId="77777777" w:rsidR="00574EF2" w:rsidRPr="00824801" w:rsidRDefault="00574EF2" w:rsidP="006A6CBF">
            <w:pPr>
              <w:jc w:val="center"/>
              <w:rPr>
                <w:rFonts w:ascii="Times New Roman" w:eastAsia="Times New Roman" w:hAnsi="Times New Roman" w:cs="Times New Roman"/>
                <w:color w:val="000000"/>
                <w:sz w:val="20"/>
                <w:szCs w:val="20"/>
              </w:rPr>
            </w:pPr>
            <w:r w:rsidRPr="00824801">
              <w:rPr>
                <w:rFonts w:ascii="Times New Roman" w:eastAsia="Times New Roman" w:hAnsi="Times New Roman" w:cs="Times New Roman"/>
                <w:color w:val="000000"/>
                <w:sz w:val="20"/>
                <w:szCs w:val="20"/>
                <w:lang w:eastAsia="zh-CN"/>
              </w:rPr>
              <w:t>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1219D2A" w14:textId="77777777" w:rsidR="00574EF2" w:rsidRPr="00824801" w:rsidRDefault="00574EF2" w:rsidP="006A6CBF">
            <w:pPr>
              <w:rPr>
                <w:rFonts w:ascii="Times New Roman" w:eastAsia="Times New Roman" w:hAnsi="Times New Roman" w:cs="Times New Roman"/>
                <w:color w:val="000000"/>
                <w:sz w:val="20"/>
                <w:szCs w:val="20"/>
                <w:lang w:eastAsia="zh-CN"/>
              </w:rPr>
            </w:pPr>
          </w:p>
        </w:tc>
      </w:tr>
    </w:tbl>
    <w:p w14:paraId="4AB11B0B" w14:textId="77777777" w:rsidR="0083574D" w:rsidRPr="00723DA9" w:rsidRDefault="0083574D" w:rsidP="0083574D">
      <w:pPr>
        <w:pStyle w:val="Captions"/>
        <w:spacing w:after="0"/>
        <w:rPr>
          <w:rFonts w:eastAsia="宋体" w:cs="Times New Roman"/>
        </w:rPr>
      </w:pPr>
      <w:bookmarkStart w:id="47" w:name="OLE_LINK74"/>
    </w:p>
    <w:p w14:paraId="5F28DCBD" w14:textId="77777777" w:rsidR="0083574D" w:rsidRDefault="0083574D" w:rsidP="0083574D">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Assimilated observations include </w:t>
      </w:r>
      <w:r w:rsidRPr="00723DA9">
        <w:rPr>
          <w:rFonts w:ascii="Times New Roman" w:eastAsia="宋体" w:hAnsi="Times New Roman" w:cs="Times New Roman"/>
          <w:sz w:val="24"/>
          <w:szCs w:val="24"/>
        </w:rPr>
        <w:t xml:space="preserve">radial velocity from TDRs onboard the NOAA P-3 aircraft (when available) in addition to conventional observations and clear-sky radiances from geostationary and polar orbiting satellites </w:t>
      </w:r>
      <w:r w:rsidRPr="00723DA9">
        <w:rPr>
          <w:rFonts w:ascii="Times New Roman" w:eastAsia="宋体" w:hAnsi="Times New Roman" w:cs="Times New Roman"/>
          <w:sz w:val="24"/>
          <w:szCs w:val="24"/>
        </w:rPr>
        <w:fldChar w:fldCharType="begin" w:fldLock="1"/>
      </w:r>
      <w:r w:rsidRPr="00723DA9">
        <w:rPr>
          <w:rFonts w:ascii="Times New Roman" w:eastAsia="宋体"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Center","id":"ITEM-1","issued":{"date-parts":[["2014"]]},"number-of-pages":"1-81","title":"Hurricane Weather Research and Forecasting (HWRF) model: 2014 scientific documentation","type":"report"},"uris":["http://www.mendeley.com/documents/?uuid=f63fdf0a-d919-4d8f-8934-8c12eb353c91"]}],"mendeley":{"formattedCitation":"(Tallapragada et al. 2014)","plainTextFormattedCitation":"(Tallapragada et al. 2014)","previouslyFormattedCitation":"(Tallapragada et al. 2014)"},"properties":{"noteIndex":0},"schema":"https://github.com/citation-style-language/schema/raw/master/csl-citation.json"}</w:instrText>
      </w:r>
      <w:r w:rsidRPr="00723DA9">
        <w:rPr>
          <w:rFonts w:ascii="Times New Roman" w:eastAsia="宋体" w:hAnsi="Times New Roman" w:cs="Times New Roman"/>
          <w:sz w:val="24"/>
          <w:szCs w:val="24"/>
        </w:rPr>
        <w:fldChar w:fldCharType="separate"/>
      </w:r>
      <w:r w:rsidRPr="00723DA9">
        <w:rPr>
          <w:rFonts w:ascii="Times New Roman" w:eastAsia="宋体" w:hAnsi="Times New Roman" w:cs="Times New Roman"/>
          <w:noProof/>
          <w:sz w:val="24"/>
          <w:szCs w:val="24"/>
        </w:rPr>
        <w:t>(Tallapragada et al. 2014)</w:t>
      </w:r>
      <w:r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A description of these observations assimilated for each HWRF domain is given in Table 3.2. </w:t>
      </w:r>
      <w:bookmarkStart w:id="48" w:name="OLE_LINK9"/>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general distribution and preprocessing for the TDR data can be found in </w:t>
      </w:r>
      <w:r w:rsidRPr="00723DA9">
        <w:rPr>
          <w:rFonts w:ascii="Times New Roman" w:eastAsia="宋体" w:hAnsi="Times New Roman" w:cs="Times New Roman"/>
          <w:sz w:val="24"/>
          <w:szCs w:val="24"/>
        </w:rPr>
        <w:fldChar w:fldCharType="begin" w:fldLock="1"/>
      </w:r>
      <w:r w:rsidRPr="00723DA9">
        <w:rPr>
          <w:rFonts w:ascii="Times New Roman" w:eastAsia="宋体" w:hAnsi="Times New Roman" w:cs="Times New Roman"/>
          <w:sz w:val="24"/>
          <w:szCs w:val="24"/>
        </w:rPr>
        <w:instrText>ADDIN CSL_CITATION {"citationItems":[{"id":"ITEM-1","itemData":{"author":[{"dropping-particle":"","family":"Gamache","given":"John","non-dropping-particle":"","parse-names":false,"suffix":""}],"id":"ITEM-1","issued":{"date-parts":[["2005"]]},"title":"Real-Time Dissemination of Hurricane Wind Fields Determined from Airborne Doppler Radar Data Real-Time Dissemination of Hurricane Wind Fields Determined","type":"article-journal"},"uris":["http://www.mendeley.com/documents/?uuid=8251774b-c0e3-4253-97a7-788f96879ff5"]}],"mendeley":{"formattedCitation":"(Gamache 2005)","manualFormatting":"Gamache (2005)","plainTextFormattedCitation":"(Gamache 2005)","previouslyFormattedCitation":"(Gamache 2005)"},"properties":{"noteIndex":0},"schema":"https://github.com/citation-style-language/schema/raw/master/csl-citation.json"}</w:instrText>
      </w:r>
      <w:r w:rsidRPr="00723DA9">
        <w:rPr>
          <w:rFonts w:ascii="Times New Roman" w:eastAsia="宋体" w:hAnsi="Times New Roman" w:cs="Times New Roman"/>
          <w:sz w:val="24"/>
          <w:szCs w:val="24"/>
        </w:rPr>
        <w:fldChar w:fldCharType="separate"/>
      </w:r>
      <w:r w:rsidRPr="00723DA9">
        <w:rPr>
          <w:rFonts w:ascii="Times New Roman" w:eastAsia="宋体" w:hAnsi="Times New Roman" w:cs="Times New Roman"/>
          <w:noProof/>
          <w:sz w:val="24"/>
          <w:szCs w:val="24"/>
        </w:rPr>
        <w:t>Gamache (2005)</w:t>
      </w:r>
      <w:r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and Lu et al. (2017a).</w:t>
      </w:r>
      <w:bookmarkEnd w:id="48"/>
      <w:r w:rsidRPr="00723DA9">
        <w:rPr>
          <w:rFonts w:ascii="Times New Roman" w:eastAsia="宋体" w:hAnsi="Times New Roman" w:cs="Times New Roman"/>
          <w:sz w:val="24"/>
          <w:szCs w:val="24"/>
        </w:rPr>
        <w:t xml:space="preserve">  </w:t>
      </w:r>
      <w:bookmarkEnd w:id="47"/>
      <w:r w:rsidRPr="00723DA9">
        <w:rPr>
          <w:rFonts w:ascii="Times New Roman" w:eastAsia="宋体" w:hAnsi="Times New Roman" w:cs="Times New Roman"/>
          <w:sz w:val="24"/>
          <w:szCs w:val="24"/>
        </w:rPr>
        <w:t>Although the satellite-derived wind and some in-situ observations such as dropsonde, surface ship, buoy observations are also assimilated, when it is available the TDR data plays a dominant role in sampling the inner-core region.  Specifically, the TDR data is available at the 16</w:t>
      </w:r>
      <w:r w:rsidRPr="00723DA9">
        <w:rPr>
          <w:rFonts w:ascii="Times New Roman" w:eastAsia="宋体" w:hAnsi="Times New Roman" w:cs="Times New Roman"/>
          <w:sz w:val="24"/>
          <w:szCs w:val="24"/>
          <w:vertAlign w:val="superscript"/>
        </w:rPr>
        <w:t>th</w:t>
      </w:r>
      <w:r w:rsidRPr="00723DA9">
        <w:rPr>
          <w:rFonts w:ascii="Times New Roman" w:eastAsia="宋体" w:hAnsi="Times New Roman" w:cs="Times New Roman"/>
          <w:sz w:val="24"/>
          <w:szCs w:val="24"/>
        </w:rPr>
        <w:t>, 17</w:t>
      </w:r>
      <w:r w:rsidRPr="00723DA9">
        <w:rPr>
          <w:rFonts w:ascii="Times New Roman" w:eastAsia="宋体" w:hAnsi="Times New Roman" w:cs="Times New Roman"/>
          <w:sz w:val="24"/>
          <w:szCs w:val="24"/>
          <w:vertAlign w:val="superscript"/>
        </w:rPr>
        <w:t>th</w:t>
      </w:r>
      <w:r w:rsidRPr="00723DA9">
        <w:rPr>
          <w:rFonts w:ascii="Times New Roman" w:eastAsia="宋体" w:hAnsi="Times New Roman" w:cs="Times New Roman"/>
          <w:sz w:val="24"/>
          <w:szCs w:val="24"/>
        </w:rPr>
        <w:t>, 21</w:t>
      </w:r>
      <w:r w:rsidRPr="00723DA9">
        <w:rPr>
          <w:rFonts w:ascii="Times New Roman" w:eastAsia="宋体" w:hAnsi="Times New Roman" w:cs="Times New Roman"/>
          <w:sz w:val="24"/>
          <w:szCs w:val="24"/>
          <w:vertAlign w:val="superscript"/>
        </w:rPr>
        <w:t>th</w:t>
      </w:r>
      <w:r w:rsidRPr="00723DA9">
        <w:rPr>
          <w:rFonts w:ascii="Times New Roman" w:eastAsia="宋体" w:hAnsi="Times New Roman" w:cs="Times New Roman"/>
          <w:sz w:val="24"/>
          <w:szCs w:val="24"/>
        </w:rPr>
        <w:t>, 24</w:t>
      </w:r>
      <w:r w:rsidRPr="00723DA9">
        <w:rPr>
          <w:rFonts w:ascii="Times New Roman" w:eastAsia="宋体" w:hAnsi="Times New Roman" w:cs="Times New Roman"/>
          <w:sz w:val="24"/>
          <w:szCs w:val="24"/>
          <w:vertAlign w:val="superscript"/>
        </w:rPr>
        <w:t>th</w:t>
      </w:r>
      <w:r w:rsidRPr="00723DA9">
        <w:rPr>
          <w:rFonts w:ascii="Times New Roman" w:eastAsia="宋体" w:hAnsi="Times New Roman" w:cs="Times New Roman"/>
          <w:sz w:val="24"/>
          <w:szCs w:val="24"/>
        </w:rPr>
        <w:t xml:space="preserve"> and 25</w:t>
      </w:r>
      <w:r w:rsidRPr="00723DA9">
        <w:rPr>
          <w:rFonts w:ascii="Times New Roman" w:eastAsia="宋体" w:hAnsi="Times New Roman" w:cs="Times New Roman"/>
          <w:sz w:val="24"/>
          <w:szCs w:val="24"/>
          <w:vertAlign w:val="superscript"/>
        </w:rPr>
        <w:t>th</w:t>
      </w:r>
      <w:r w:rsidRPr="00723DA9">
        <w:rPr>
          <w:rFonts w:ascii="Times New Roman" w:eastAsia="宋体" w:hAnsi="Times New Roman" w:cs="Times New Roman"/>
          <w:sz w:val="24"/>
          <w:szCs w:val="24"/>
        </w:rPr>
        <w:t xml:space="preserve"> DA cycles valid on 1200 UTC October 15, 1800 UTC October 15, 1800 UTC October 16, 1200 UTC October 17 and 1800 UTC October 17, respectively.  </w:t>
      </w:r>
      <w:r w:rsidRPr="00723DA9">
        <w:rPr>
          <w:rFonts w:ascii="Times New Roman" w:hAnsi="Times New Roman" w:cs="Times New Roman"/>
          <w:sz w:val="24"/>
          <w:szCs w:val="24"/>
        </w:rPr>
        <w:t xml:space="preserve">The major difference between assimilation on the 3- and 9-km domains is that satellite radiances are not assimilated on the innermost domain.  The bias corrections for the satellite radiances are estimated from the corresponding Global Data Assimilation System (GDAS) forecast. </w:t>
      </w:r>
    </w:p>
    <w:p w14:paraId="124AF7F4" w14:textId="058F9375" w:rsidR="00C56823" w:rsidRPr="00723DA9" w:rsidRDefault="00C56823" w:rsidP="00771F99">
      <w:pPr>
        <w:spacing w:after="0" w:line="480" w:lineRule="auto"/>
        <w:ind w:firstLine="360"/>
        <w:rPr>
          <w:rFonts w:ascii="Times New Roman" w:eastAsia="Calibri" w:hAnsi="Times New Roman" w:cs="Times New Roman"/>
          <w:sz w:val="24"/>
          <w:szCs w:val="24"/>
        </w:rPr>
      </w:pPr>
      <w:r w:rsidRPr="00723DA9">
        <w:rPr>
          <w:rFonts w:ascii="Times New Roman" w:hAnsi="Times New Roman" w:cs="Times New Roman"/>
          <w:sz w:val="24"/>
          <w:szCs w:val="24"/>
        </w:rPr>
        <w:t>Following Lu et al. (2017</w:t>
      </w:r>
      <w:r w:rsidR="008979FB" w:rsidRPr="00723DA9">
        <w:rPr>
          <w:rFonts w:ascii="Times New Roman" w:hAnsi="Times New Roman" w:cs="Times New Roman"/>
          <w:sz w:val="24"/>
          <w:szCs w:val="24"/>
        </w:rPr>
        <w:t>a</w:t>
      </w:r>
      <w:r w:rsidRPr="00723DA9">
        <w:rPr>
          <w:rFonts w:ascii="Times New Roman" w:hAnsi="Times New Roman" w:cs="Times New Roman"/>
          <w:sz w:val="24"/>
          <w:szCs w:val="24"/>
        </w:rPr>
        <w:t xml:space="preserve">), an inflation factor of 0.9 is applied to the posterior ensemble variance to relax upon the prior ensemble variance during the DA cycling as proposed by </w:t>
      </w:r>
      <w:r w:rsidR="008979FB" w:rsidRPr="00723DA9">
        <w:rPr>
          <w:rFonts w:ascii="Times New Roman" w:hAnsi="Times New Roman" w:cs="Times New Roman"/>
          <w:sz w:val="24"/>
          <w:szCs w:val="24"/>
        </w:rPr>
        <w:fldChar w:fldCharType="begin" w:fldLock="1"/>
      </w:r>
      <w:r w:rsidR="008979FB" w:rsidRPr="00723DA9">
        <w:rPr>
          <w:rFonts w:ascii="Times New Roman" w:hAnsi="Times New Roman" w:cs="Times New Roman"/>
          <w:sz w:val="24"/>
          <w:szCs w:val="24"/>
        </w:rPr>
        <w:instrText>ADDIN CSL_CITATION {"citationItems":[{"id":"ITEM-1","itemData":{"DOI":"10.1175/MWR-D-11-00276.1","ISBN":"0027-0644","ISSN":"0027-0644","abstract":"AbstractInflation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“relaxation to prior”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Combinin...","author":[{"dropping-particle":"","family":"Whitaker","given":"Jeffrey S.","non-dropping-particle":"","parse-names":false,"suffix":""},{"dropping-particle":"","family":"Hamill","given":"Thomas M.","non-dropping-particle":"","parse-names":false,"suffix":""}],"container-title":"Monthly Weather Review","id":"ITEM-1","issue":"9","issued":{"date-parts":[["2012"]]},"page":"3078-3089","title":"Evaluating Methods to Account for System Errors in Ensemble Data Assimilation","type":"article-journal","volume":"140"},"uris":["http://www.mendeley.com/documents/?uuid=937c2055-0c91-4578-92d4-ab313c371a83"]}],"mendeley":{"formattedCitation":"(Whitaker and Hamill 2012)","manualFormatting":"Whitaker and Hamill (2012)","plainTextFormattedCitation":"(Whitaker and Hamill 2012)","previouslyFormattedCitation":"(Whitaker and Hamill 2012)"},"properties":{"noteIndex":0},"schema":"https://github.com/citation-style-language/schema/raw/master/csl-citation.json"}</w:instrText>
      </w:r>
      <w:r w:rsidR="008979FB" w:rsidRPr="00723DA9">
        <w:rPr>
          <w:rFonts w:ascii="Times New Roman" w:hAnsi="Times New Roman" w:cs="Times New Roman"/>
          <w:sz w:val="24"/>
          <w:szCs w:val="24"/>
        </w:rPr>
        <w:fldChar w:fldCharType="separate"/>
      </w:r>
      <w:r w:rsidR="008979FB" w:rsidRPr="00723DA9">
        <w:rPr>
          <w:rFonts w:ascii="Times New Roman" w:hAnsi="Times New Roman" w:cs="Times New Roman"/>
          <w:noProof/>
          <w:sz w:val="24"/>
          <w:szCs w:val="24"/>
        </w:rPr>
        <w:t>Whitaker and Hamill (2012)</w:t>
      </w:r>
      <w:r w:rsidR="008979FB" w:rsidRPr="00723DA9">
        <w:rPr>
          <w:rFonts w:ascii="Times New Roman" w:hAnsi="Times New Roman" w:cs="Times New Roman"/>
          <w:sz w:val="24"/>
          <w:szCs w:val="24"/>
        </w:rPr>
        <w:fldChar w:fldCharType="end"/>
      </w:r>
      <w:r w:rsidRPr="00723DA9">
        <w:rPr>
          <w:rFonts w:ascii="Times New Roman" w:hAnsi="Times New Roman" w:cs="Times New Roman"/>
          <w:sz w:val="24"/>
          <w:szCs w:val="24"/>
        </w:rPr>
        <w:t>.</w:t>
      </w:r>
      <w:r w:rsidR="008979FB"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For both the 3- and 9-km control analyses, the full ensemble error covariance is used in this study. </w:t>
      </w:r>
      <w:r w:rsidR="008979FB" w:rsidRPr="00723DA9">
        <w:rPr>
          <w:rFonts w:ascii="Times New Roman" w:hAnsi="Times New Roman" w:cs="Times New Roman"/>
          <w:sz w:val="24"/>
          <w:szCs w:val="24"/>
        </w:rPr>
        <w:t xml:space="preserve"> </w:t>
      </w:r>
      <w:r w:rsidRPr="00723DA9">
        <w:rPr>
          <w:rFonts w:ascii="Times New Roman" w:hAnsi="Times New Roman" w:cs="Times New Roman"/>
          <w:sz w:val="24"/>
          <w:szCs w:val="24"/>
        </w:rPr>
        <w:t>This choice is motivated by the findings in Lu et al. (2017</w:t>
      </w:r>
      <w:r w:rsidR="008979FB" w:rsidRPr="00723DA9">
        <w:rPr>
          <w:rFonts w:ascii="Times New Roman" w:hAnsi="Times New Roman" w:cs="Times New Roman"/>
          <w:sz w:val="24"/>
          <w:szCs w:val="24"/>
        </w:rPr>
        <w:t>a</w:t>
      </w:r>
      <w:r w:rsidRPr="00723DA9">
        <w:rPr>
          <w:rFonts w:ascii="Times New Roman" w:hAnsi="Times New Roman" w:cs="Times New Roman"/>
          <w:sz w:val="24"/>
          <w:szCs w:val="24"/>
        </w:rPr>
        <w:t xml:space="preserve">) that blending the static and flow-dependent ensemble covariance does not improve upon using the full ensemble covariance. </w:t>
      </w:r>
      <w:r w:rsidR="008979FB" w:rsidRPr="00723DA9">
        <w:rPr>
          <w:rFonts w:ascii="Times New Roman" w:hAnsi="Times New Roman" w:cs="Times New Roman"/>
          <w:sz w:val="24"/>
          <w:szCs w:val="24"/>
        </w:rPr>
        <w:t xml:space="preserve"> </w:t>
      </w:r>
      <w:r w:rsidRPr="00723DA9">
        <w:rPr>
          <w:rFonts w:ascii="Times New Roman" w:hAnsi="Times New Roman" w:cs="Times New Roman"/>
          <w:sz w:val="24"/>
          <w:szCs w:val="24"/>
        </w:rPr>
        <w:t>This finding is consistent with Schwartz (2016), who found that blending the covariances may be detrimental when the resolution between static and ensemble error covariances is inconsistent.</w:t>
      </w:r>
      <w:r w:rsidR="008979FB"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The horizontal and vertical localizations adopted in this study follow the configurations in Lu et al. (2017</w:t>
      </w:r>
      <w:r w:rsidR="008979FB" w:rsidRPr="00723DA9">
        <w:rPr>
          <w:rFonts w:ascii="Times New Roman" w:hAnsi="Times New Roman" w:cs="Times New Roman"/>
          <w:sz w:val="24"/>
          <w:szCs w:val="24"/>
        </w:rPr>
        <w:t>a</w:t>
      </w:r>
      <w:r w:rsidRPr="00723DA9">
        <w:rPr>
          <w:rFonts w:ascii="Times New Roman" w:hAnsi="Times New Roman" w:cs="Times New Roman"/>
          <w:sz w:val="24"/>
          <w:szCs w:val="24"/>
        </w:rPr>
        <w:t>).  For the innermost and intermediate domains, 450-</w:t>
      </w:r>
      <w:r w:rsidRPr="00723DA9">
        <w:rPr>
          <w:rFonts w:ascii="Times New Roman" w:hAnsi="Times New Roman" w:cs="Times New Roman"/>
          <w:sz w:val="24"/>
          <w:szCs w:val="24"/>
        </w:rPr>
        <w:lastRenderedPageBreak/>
        <w:t>km and 1 scale-height cut-off distances</w:t>
      </w:r>
      <w:r w:rsidR="008979FB" w:rsidRPr="00723DA9">
        <w:rPr>
          <w:rFonts w:ascii="Times New Roman" w:hAnsi="Times New Roman" w:cs="Times New Roman"/>
          <w:sz w:val="24"/>
          <w:szCs w:val="24"/>
        </w:rPr>
        <w:t xml:space="preserve"> </w:t>
      </w:r>
      <w:r w:rsidR="008979FB" w:rsidRPr="00723DA9">
        <w:rPr>
          <w:rFonts w:ascii="Times New Roman" w:hAnsi="Times New Roman" w:cs="Times New Roman"/>
          <w:sz w:val="24"/>
          <w:szCs w:val="24"/>
        </w:rPr>
        <w:fldChar w:fldCharType="begin" w:fldLock="1"/>
      </w:r>
      <w:r w:rsidR="0018291C" w:rsidRPr="00723DA9">
        <w:rPr>
          <w:rFonts w:ascii="Times New Roman" w:hAnsi="Times New Roman" w:cs="Times New Roman"/>
          <w:sz w:val="24"/>
          <w:szCs w:val="24"/>
        </w:rPr>
        <w:instrText>ADDIN CSL_CITATION {"citationItems":[{"id":"ITEM-1","itemData":{"author":[{"dropping-particle":"","family":"Gaspari","given":"Gregory","non-dropping-particle":"","parse-names":false,"suffix":""},{"dropping-particle":"","family":"Cohn","given":"Stephen E.","non-dropping-particle":"","parse-names":false,"suffix":""}],"container-title":"Q. J. R. Meteorol. Soc.","id":"ITEM-1","issued":{"date-parts":[["1999"]]},"page":"723-757","title":"Construction of correlation functions in two and three dimensions","type":"article-journal","volume":"125"},"uris":["http://www.mendeley.com/documents/?uuid=06dc1ff5-56ed-3add-9ae4-701e858a5dfc"]}],"mendeley":{"formattedCitation":"(Gaspari and Cohn 1999)","plainTextFormattedCitation":"(Gaspari and Cohn 1999)","previouslyFormattedCitation":"(Gaspari and Cohn 1999)"},"properties":{"noteIndex":0},"schema":"https://github.com/citation-style-language/schema/raw/master/csl-citation.json"}</w:instrText>
      </w:r>
      <w:r w:rsidR="008979FB" w:rsidRPr="00723DA9">
        <w:rPr>
          <w:rFonts w:ascii="Times New Roman" w:hAnsi="Times New Roman" w:cs="Times New Roman"/>
          <w:sz w:val="24"/>
          <w:szCs w:val="24"/>
        </w:rPr>
        <w:fldChar w:fldCharType="separate"/>
      </w:r>
      <w:r w:rsidR="008979FB" w:rsidRPr="00723DA9">
        <w:rPr>
          <w:rFonts w:ascii="Times New Roman" w:hAnsi="Times New Roman" w:cs="Times New Roman"/>
          <w:noProof/>
          <w:sz w:val="24"/>
          <w:szCs w:val="24"/>
        </w:rPr>
        <w:t>(Gaspari and Cohn 1999)</w:t>
      </w:r>
      <w:r w:rsidR="008979FB"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are respectively used for the horizontal and vertical localizations. </w:t>
      </w:r>
    </w:p>
    <w:p w14:paraId="611706D5" w14:textId="5B50A081"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The 3DEV-9kmS experiment is identical to 3DEV except there is no 3-km innermost domain during DA.</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In other words, both the control analysis and the ingested ensemble use the 9-km horizontal grid spacing.  The purpose of this experiment is to reveal the impact of introducing the 3-km horizontal grid spacing nest through dual-resolution DA in 3DEV.  In order to isolate such impact, like 3DEV, 3DEV-9kmS still runs the 120h free forecast with a 27/9/3-km triply nested configuration that is achieved by interpolating the 9-km domain analysis to the innermost 3-km domain. </w:t>
      </w:r>
    </w:p>
    <w:p w14:paraId="4B6E0640" w14:textId="6B86D91F"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Experiments 3DEV-NEVR and 3DEV-NVRM examine the impacts of vortex initialization in this new DA system. </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3DEV-NEVR is similar to 3DEV except that VR for the background ensemble is not performed.  This experiment is meant to explore the necessity of doing VR for the ensemble background in the cycling DA system.</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3DEV-NVRM follows the same procedures as 3DEV-NEVR, and the primary difference is that 3DEV-NVRM further removes the VR and VM procedures for the control background.</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In other words, 3DEV-NVRM performs neither VR nor VM for the control and ensemble backgrounds.  The goal of this experiment is to investigate the necessity of doing VR or VM for the control member in the cycling DA system.</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Inter-comparison among 3DEV, 3DEV-NEVR and 3DEV-NVRM will reveal the relative importance of performing ensemble VR and VR/VM on the control member.  </w:t>
      </w:r>
    </w:p>
    <w:p w14:paraId="56F29C2A" w14:textId="03F61ED8"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 4DEVTR is identical to 3DEV in the DA cycles where TDR data are not available.  In the cycles when TDR are available, 4DEnVar is applied in 4DEVTR for both the intermediate and innermost domains. </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hourly control background and ensemble are provided for the 4DEnVar DA in this experiment following Wang and Lei (2014). </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4DEnVar is not applied to all the </w:t>
      </w:r>
      <w:r w:rsidRPr="00723DA9">
        <w:rPr>
          <w:rFonts w:ascii="Times New Roman" w:hAnsi="Times New Roman" w:cs="Times New Roman"/>
          <w:sz w:val="24"/>
          <w:szCs w:val="24"/>
        </w:rPr>
        <w:lastRenderedPageBreak/>
        <w:t xml:space="preserve">cycles due to the computational constraint. </w:t>
      </w:r>
      <w:r w:rsidR="00400841" w:rsidRPr="00723DA9">
        <w:rPr>
          <w:rFonts w:ascii="Times New Roman" w:hAnsi="Times New Roman" w:cs="Times New Roman"/>
          <w:sz w:val="24"/>
          <w:szCs w:val="24"/>
        </w:rPr>
        <w:t xml:space="preserve"> </w:t>
      </w:r>
      <w:r w:rsidRPr="00723DA9">
        <w:rPr>
          <w:rFonts w:ascii="Times New Roman" w:hAnsi="Times New Roman" w:cs="Times New Roman"/>
          <w:sz w:val="24"/>
          <w:szCs w:val="24"/>
        </w:rPr>
        <w:t>The primary goal of this experiment is to explore the impact of 4DEnVar for the inner core DA.</w:t>
      </w:r>
    </w:p>
    <w:p w14:paraId="345DEC12" w14:textId="4684C1A2" w:rsidR="00C56823" w:rsidRPr="00723DA9" w:rsidRDefault="00C56823" w:rsidP="00A67154">
      <w:pPr>
        <w:pStyle w:val="Heading2"/>
        <w:numPr>
          <w:ilvl w:val="1"/>
          <w:numId w:val="18"/>
        </w:numPr>
        <w:spacing w:line="480" w:lineRule="auto"/>
        <w:ind w:left="0" w:firstLine="0"/>
        <w:rPr>
          <w:rFonts w:ascii="Times New Roman" w:hAnsi="Times New Roman" w:cs="Times New Roman"/>
          <w:b/>
          <w:bCs/>
          <w:color w:val="auto"/>
          <w:sz w:val="24"/>
          <w:szCs w:val="24"/>
        </w:rPr>
      </w:pPr>
      <w:bookmarkStart w:id="49" w:name="_Toc21623984"/>
      <w:r w:rsidRPr="00723DA9">
        <w:rPr>
          <w:rFonts w:ascii="Times New Roman" w:hAnsi="Times New Roman" w:cs="Times New Roman"/>
          <w:b/>
          <w:bCs/>
          <w:color w:val="auto"/>
          <w:sz w:val="24"/>
          <w:szCs w:val="24"/>
        </w:rPr>
        <w:t>Results</w:t>
      </w:r>
      <w:bookmarkEnd w:id="49"/>
      <w:r w:rsidRPr="00723DA9">
        <w:rPr>
          <w:rFonts w:ascii="Times New Roman" w:hAnsi="Times New Roman" w:cs="Times New Roman"/>
          <w:b/>
          <w:bCs/>
          <w:color w:val="auto"/>
          <w:sz w:val="24"/>
          <w:szCs w:val="24"/>
        </w:rPr>
        <w:t xml:space="preserve"> </w:t>
      </w:r>
    </w:p>
    <w:p w14:paraId="12364F33" w14:textId="2F4475F8" w:rsidR="00C56823" w:rsidRPr="00723DA9" w:rsidRDefault="00C56823" w:rsidP="00A67154">
      <w:pPr>
        <w:pStyle w:val="Heading3"/>
        <w:numPr>
          <w:ilvl w:val="2"/>
          <w:numId w:val="18"/>
        </w:numPr>
        <w:spacing w:before="160" w:after="160" w:line="480" w:lineRule="auto"/>
        <w:rPr>
          <w:rFonts w:ascii="Times New Roman" w:hAnsi="Times New Roman" w:cs="Times New Roman"/>
          <w:b/>
          <w:bCs/>
          <w:i/>
          <w:iCs/>
          <w:color w:val="auto"/>
        </w:rPr>
      </w:pPr>
      <w:bookmarkStart w:id="50" w:name="_Toc21623985"/>
      <w:r w:rsidRPr="00723DA9">
        <w:rPr>
          <w:rFonts w:ascii="Times New Roman" w:hAnsi="Times New Roman" w:cs="Times New Roman"/>
          <w:b/>
          <w:bCs/>
          <w:i/>
          <w:iCs/>
          <w:color w:val="auto"/>
        </w:rPr>
        <w:t>Impact of incorporating the higher resolution control analysis through dual-resolution DA</w:t>
      </w:r>
      <w:bookmarkEnd w:id="50"/>
    </w:p>
    <w:p w14:paraId="48891724" w14:textId="4257642C" w:rsidR="00C56823"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As stated earlier in </w:t>
      </w:r>
      <w:r w:rsidR="00775E8D"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775E8D" w:rsidRPr="00723DA9">
        <w:rPr>
          <w:rFonts w:ascii="Times New Roman" w:hAnsi="Times New Roman" w:cs="Times New Roman"/>
          <w:sz w:val="24"/>
          <w:szCs w:val="24"/>
        </w:rPr>
        <w:t>3.</w:t>
      </w:r>
      <w:r w:rsidRPr="00723DA9">
        <w:rPr>
          <w:rFonts w:ascii="Times New Roman" w:hAnsi="Times New Roman" w:cs="Times New Roman"/>
          <w:sz w:val="24"/>
          <w:szCs w:val="24"/>
        </w:rPr>
        <w:t>1, in comparison with the configuration where all ensemble members are run at a high resolution, the dual resolution configuration can save computational cost.</w:t>
      </w:r>
      <w:r w:rsidR="00775E8D"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In such a dual resolution configuration, only the control member is run at high resolution, and the rest of the ensemble members are still run at coarser resolution. </w:t>
      </w:r>
      <w:r w:rsidR="00775E8D"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Schwartz (2016) suggested the improvement of introducing a convection allowing control member through dual resolution DA for precipitation forecast over CONUS. </w:t>
      </w:r>
      <w:r w:rsidR="00775E8D"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Would introducing a single control member at a convection-allowing resolution improve the analysis and subsequent forecasts for hurricanes as well?  Experiments </w:t>
      </w:r>
      <w:bookmarkStart w:id="51" w:name="OLE_LINK139"/>
      <w:bookmarkStart w:id="52" w:name="OLE_LINK138"/>
      <w:r w:rsidRPr="00723DA9">
        <w:rPr>
          <w:rFonts w:ascii="Times New Roman" w:hAnsi="Times New Roman" w:cs="Times New Roman"/>
          <w:sz w:val="24"/>
          <w:szCs w:val="24"/>
        </w:rPr>
        <w:t xml:space="preserve">3DEV </w:t>
      </w:r>
      <w:bookmarkEnd w:id="51"/>
      <w:bookmarkEnd w:id="52"/>
      <w:r w:rsidRPr="00723DA9">
        <w:rPr>
          <w:rFonts w:ascii="Times New Roman" w:hAnsi="Times New Roman" w:cs="Times New Roman"/>
          <w:sz w:val="24"/>
          <w:szCs w:val="24"/>
        </w:rPr>
        <w:t xml:space="preserve">and 3DEV-9kmS are compared to address this question. </w:t>
      </w:r>
    </w:p>
    <w:p w14:paraId="2DAABB7C" w14:textId="0944F0D0" w:rsidR="00D30304" w:rsidRPr="00723DA9" w:rsidRDefault="00D30304"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vortex-scale wind structures in both the horizontal and vertical cross-sections produced by the </w:t>
      </w:r>
      <w:r w:rsidRPr="00723DA9">
        <w:rPr>
          <w:rFonts w:ascii="Times New Roman" w:hAnsi="Times New Roman" w:cs="Times New Roman"/>
          <w:sz w:val="24"/>
          <w:szCs w:val="24"/>
        </w:rPr>
        <w:t>3DEV</w:t>
      </w:r>
      <w:r w:rsidRPr="00723DA9">
        <w:rPr>
          <w:rFonts w:ascii="Times New Roman" w:eastAsia="宋体" w:hAnsi="Times New Roman" w:cs="Times New Roman"/>
          <w:sz w:val="24"/>
          <w:szCs w:val="24"/>
        </w:rPr>
        <w:t xml:space="preserve">and 3DEV-9kmS analyses are verified against the radar wind composite of Edouard by HRD.  Figure 3.2 shows the model-derived wind and the corresponding verification at the 1-km height valid at 1800 UTC 15 September 2014.  The verification is derived from the </w:t>
      </w:r>
      <w:r w:rsidR="00786C0C" w:rsidRPr="00723DA9">
        <w:rPr>
          <w:rFonts w:ascii="Times New Roman" w:eastAsia="宋体" w:hAnsi="Times New Roman" w:cs="Times New Roman"/>
          <w:sz w:val="24"/>
          <w:szCs w:val="24"/>
        </w:rPr>
        <w:t>quality-controlled</w:t>
      </w:r>
      <w:r w:rsidRPr="00723DA9">
        <w:rPr>
          <w:rFonts w:ascii="Times New Roman" w:eastAsia="宋体" w:hAnsi="Times New Roman" w:cs="Times New Roman"/>
          <w:sz w:val="24"/>
          <w:szCs w:val="24"/>
        </w:rPr>
        <w:t xml:space="preserve"> TDR radial velocity data by HRD </w:t>
      </w:r>
      <w:r w:rsidRPr="00723DA9">
        <w:rPr>
          <w:rFonts w:ascii="Times New Roman" w:hAnsi="Times New Roman" w:cs="Times New Roman"/>
          <w:sz w:val="24"/>
          <w:szCs w:val="24"/>
        </w:rPr>
        <w:t>(Gamache, 2005; HRD radar wind data can be found: http://www.aoml.noaa.gov/hrd/Storm_pages/edouard2014/radar.html)</w:t>
      </w:r>
      <w:r w:rsidRPr="00723DA9">
        <w:rPr>
          <w:rFonts w:ascii="Times New Roman" w:eastAsia="宋体" w:hAnsi="Times New Roman" w:cs="Times New Roman"/>
          <w:sz w:val="24"/>
          <w:szCs w:val="24"/>
        </w:rPr>
        <w:t xml:space="preserve">.  The major difference in the analyses among </w:t>
      </w:r>
      <w:r w:rsidRPr="00723DA9">
        <w:rPr>
          <w:rFonts w:ascii="Times New Roman" w:hAnsi="Times New Roman" w:cs="Times New Roman"/>
          <w:sz w:val="24"/>
          <w:szCs w:val="24"/>
        </w:rPr>
        <w:t xml:space="preserve">3DEV </w:t>
      </w:r>
      <w:r w:rsidRPr="00723DA9">
        <w:rPr>
          <w:rFonts w:ascii="Times New Roman" w:eastAsia="宋体" w:hAnsi="Times New Roman" w:cs="Times New Roman"/>
          <w:sz w:val="24"/>
          <w:szCs w:val="24"/>
        </w:rPr>
        <w:t xml:space="preserve">and 3DEV-9kmS is the depiction of the inner-core structures.  In general, 3DEV fits the HRD composite better than 3DEV-9kmS. </w:t>
      </w:r>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Specifically, 3DEV can capture the dominant wind maximum in the northeastern quadrant present in the HRD composite (Fig. 3.2a and Fig. 3.2b).  In comparison, the dominant wind maximum in 3DEV-</w:t>
      </w:r>
      <w:r w:rsidRPr="00723DA9">
        <w:rPr>
          <w:rFonts w:ascii="Times New Roman" w:eastAsia="宋体" w:hAnsi="Times New Roman" w:cs="Times New Roman"/>
          <w:sz w:val="24"/>
          <w:szCs w:val="24"/>
        </w:rPr>
        <w:lastRenderedPageBreak/>
        <w:t xml:space="preserve">9kmS is located in the southeastern quadrant. </w:t>
      </w:r>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While 3DEV shows a circular structure consistent with the verifying wind analysis, the vortex in 3DEV-9kmS is more elliptical elongating along the northwest-southeast axis. </w:t>
      </w:r>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size of the storm is also larger in 3DEV-9kmS in comparison with the verification and 3DEV.  In addition, the TC center as identified by the wind and pressure fields in 3DEV is more consistent with the best track center as compared with 3DEV-9kmS. </w:t>
      </w:r>
    </w:p>
    <w:p w14:paraId="076762D8" w14:textId="77777777" w:rsidR="0083574D" w:rsidRPr="00723DA9" w:rsidRDefault="0083574D" w:rsidP="0083574D">
      <w:pPr>
        <w:pStyle w:val="Captions"/>
        <w:spacing w:after="0"/>
        <w:rPr>
          <w:rFonts w:eastAsia="宋体" w:cs="Times New Roman"/>
        </w:rPr>
      </w:pPr>
    </w:p>
    <w:p w14:paraId="2B1B2DF1" w14:textId="77777777" w:rsidR="003903B0" w:rsidRPr="00723DA9" w:rsidRDefault="003903B0" w:rsidP="00966FCE">
      <w:pPr>
        <w:spacing w:after="0" w:line="360" w:lineRule="auto"/>
        <w:ind w:left="360" w:hanging="360"/>
        <w:contextualSpacing/>
        <w:rPr>
          <w:rFonts w:ascii="Times New Roman" w:hAnsi="Times New Roman" w:cs="Times New Roman"/>
          <w:sz w:val="24"/>
          <w:szCs w:val="24"/>
        </w:rPr>
      </w:pPr>
      <w:r w:rsidRPr="00723DA9">
        <w:rPr>
          <w:rFonts w:ascii="Times New Roman" w:hAnsi="Times New Roman" w:cs="Times New Roman"/>
          <w:noProof/>
          <w:sz w:val="24"/>
          <w:szCs w:val="24"/>
        </w:rPr>
        <w:drawing>
          <wp:inline distT="0" distB="0" distL="0" distR="0" wp14:anchorId="3C0D9EC7" wp14:editId="7191040B">
            <wp:extent cx="5943600" cy="4467225"/>
            <wp:effectExtent l="0" t="0" r="0" b="9525"/>
            <wp:docPr id="4" name="Picture 4" descr="Fig4-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4-ne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467225"/>
                    </a:xfrm>
                    <a:prstGeom prst="rect">
                      <a:avLst/>
                    </a:prstGeom>
                    <a:noFill/>
                    <a:ln>
                      <a:noFill/>
                    </a:ln>
                  </pic:spPr>
                </pic:pic>
              </a:graphicData>
            </a:graphic>
          </wp:inline>
        </w:drawing>
      </w:r>
    </w:p>
    <w:p w14:paraId="4CBE4FF1" w14:textId="1D4E7E1B" w:rsidR="003903B0" w:rsidRPr="00723DA9" w:rsidRDefault="00BA7295" w:rsidP="0069704B">
      <w:pPr>
        <w:pStyle w:val="Captions"/>
        <w:spacing w:after="0"/>
        <w:rPr>
          <w:rFonts w:cs="Times New Roman"/>
        </w:rPr>
      </w:pPr>
      <w:bookmarkStart w:id="53" w:name="_Hlk495407502"/>
      <w:bookmarkStart w:id="54" w:name="_Toc21624034"/>
      <w:r w:rsidRPr="00723DA9">
        <w:rPr>
          <w:rFonts w:cs="Times New Roman"/>
        </w:rPr>
        <w:t>Figure 3</w:t>
      </w:r>
      <w:r w:rsidR="00305E16"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2</w:t>
      </w:r>
      <w:r w:rsidR="00771F99" w:rsidRPr="00723DA9">
        <w:rPr>
          <w:rFonts w:cs="Times New Roman"/>
          <w:noProof/>
        </w:rPr>
        <w:fldChar w:fldCharType="end"/>
      </w:r>
      <w:r w:rsidR="003903B0" w:rsidRPr="00723DA9">
        <w:rPr>
          <w:rFonts w:cs="Times New Roman"/>
        </w:rPr>
        <w:t xml:space="preserve"> Wind (shading and vectors) and pressure (contours) at 1km height for (a) HRD radar wind composite, (b) 3DEV analysis, (c) 3DEV-9kmS analysis, (d) 3DEV-NVRM analysis, and (e) 3DEV-NEVR </w:t>
      </w:r>
      <w:bookmarkStart w:id="55" w:name="OLE_LINK13"/>
      <w:r w:rsidR="003903B0" w:rsidRPr="00723DA9">
        <w:rPr>
          <w:rFonts w:cs="Times New Roman"/>
        </w:rPr>
        <w:t xml:space="preserve">analysis </w:t>
      </w:r>
      <w:bookmarkEnd w:id="55"/>
      <w:r w:rsidR="003903B0" w:rsidRPr="00723DA9">
        <w:rPr>
          <w:rFonts w:cs="Times New Roman"/>
        </w:rPr>
        <w:t>for the second TDR mission valid at 1800 UTC 15 September 2014.  Black dot is the best track position from NHC. Red line denotes the corresponding cross-sections to be presented in Figure 3.3.</w:t>
      </w:r>
      <w:bookmarkEnd w:id="53"/>
      <w:bookmarkEnd w:id="54"/>
    </w:p>
    <w:p w14:paraId="2447B6E3" w14:textId="77777777" w:rsidR="0083574D" w:rsidRPr="00723DA9" w:rsidRDefault="0083574D" w:rsidP="0083574D">
      <w:pPr>
        <w:pStyle w:val="Captions"/>
        <w:spacing w:after="0"/>
        <w:rPr>
          <w:rFonts w:eastAsia="宋体" w:cs="Times New Roman"/>
        </w:rPr>
      </w:pPr>
    </w:p>
    <w:p w14:paraId="5CCC2058" w14:textId="1D0C21EE" w:rsidR="00BA7295" w:rsidRPr="00723DA9" w:rsidRDefault="006A6CBF" w:rsidP="0083574D">
      <w:pPr>
        <w:spacing w:after="0" w:line="480" w:lineRule="auto"/>
        <w:ind w:firstLine="360"/>
        <w:rPr>
          <w:rFonts w:cs="Times New Roman"/>
        </w:rPr>
      </w:pPr>
      <w:r w:rsidRPr="00723DA9">
        <w:rPr>
          <w:rFonts w:ascii="Times New Roman" w:eastAsia="宋体" w:hAnsi="Times New Roman" w:cs="Times New Roman"/>
          <w:sz w:val="24"/>
          <w:szCs w:val="24"/>
        </w:rPr>
        <w:t xml:space="preserve">Figure 3.3 shows a corresponding south-north vertical cross-section of horizontal wind speed verification.  The inner-core structure in 3DEV is again more consistent with the HRD radar </w:t>
      </w:r>
      <w:r w:rsidRPr="00723DA9">
        <w:rPr>
          <w:rFonts w:ascii="Times New Roman" w:eastAsia="宋体" w:hAnsi="Times New Roman" w:cs="Times New Roman"/>
          <w:sz w:val="24"/>
          <w:szCs w:val="24"/>
        </w:rPr>
        <w:lastRenderedPageBreak/>
        <w:t>wind composite than 3DEV-9kmS.  Specifically, though both 3DEV and 3DEV-9kmS capture the wind maximum peaks between 1~2km in the northern side of the cross section, the overall wind maximum is stronger in 3DEV than 3DEV-9kmS.  For example, the 50 m 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contour extends to 3.8 km in 3DEV, which is closer to the verification, whereas the contour only extends to 2 km in 3DEV-9kmS.  In the southern side of the cross section, the wind maximum in 3DEV-9kmS is smoother and shallower compared to the HRD radar wind composite.  In comparison, 3DEV shows greater spatial detail such as the narrowed peak of the 40 m 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contour above 3 km to the south, consistent with the HRD wind composite.  Fig. 3.3 also reveals a stronger and narrower warm core in 3DEV than 3DEV-9kmS. </w:t>
      </w:r>
    </w:p>
    <w:p w14:paraId="6E3FE1B4" w14:textId="77777777" w:rsidR="0083574D" w:rsidRPr="00723DA9" w:rsidRDefault="0083574D" w:rsidP="0083574D">
      <w:pPr>
        <w:pStyle w:val="Captions"/>
        <w:spacing w:after="0"/>
        <w:rPr>
          <w:rFonts w:eastAsia="宋体" w:cs="Times New Roman"/>
        </w:rPr>
      </w:pPr>
    </w:p>
    <w:p w14:paraId="189C4A55" w14:textId="33F7E47E" w:rsidR="003903B0" w:rsidRPr="00723DA9" w:rsidRDefault="003903B0" w:rsidP="00966FCE">
      <w:pPr>
        <w:pStyle w:val="Captions"/>
        <w:spacing w:after="0" w:line="360" w:lineRule="auto"/>
        <w:rPr>
          <w:rFonts w:cs="Times New Roman"/>
        </w:rPr>
      </w:pPr>
      <w:r w:rsidRPr="00723DA9">
        <w:rPr>
          <w:rFonts w:cs="Times New Roman"/>
          <w:noProof/>
        </w:rPr>
        <w:drawing>
          <wp:inline distT="0" distB="0" distL="0" distR="0" wp14:anchorId="1E009D39" wp14:editId="07CBE409">
            <wp:extent cx="5943600" cy="4467225"/>
            <wp:effectExtent l="0" t="0" r="0" b="9525"/>
            <wp:docPr id="5" name="Picture 5" descr="Fig5-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5-n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67225"/>
                    </a:xfrm>
                    <a:prstGeom prst="rect">
                      <a:avLst/>
                    </a:prstGeom>
                    <a:noFill/>
                    <a:ln>
                      <a:noFill/>
                    </a:ln>
                  </pic:spPr>
                </pic:pic>
              </a:graphicData>
            </a:graphic>
          </wp:inline>
        </w:drawing>
      </w:r>
    </w:p>
    <w:p w14:paraId="3EDC6251" w14:textId="3512F792" w:rsidR="003903B0" w:rsidRPr="00723DA9" w:rsidRDefault="00BA7295" w:rsidP="0069704B">
      <w:pPr>
        <w:pStyle w:val="Captions"/>
        <w:spacing w:after="0"/>
        <w:rPr>
          <w:rFonts w:cs="Times New Roman"/>
        </w:rPr>
      </w:pPr>
      <w:bookmarkStart w:id="56" w:name="_Toc21624035"/>
      <w:r w:rsidRPr="00723DA9">
        <w:rPr>
          <w:rFonts w:cs="Times New Roman"/>
        </w:rPr>
        <w:t>Figure 3</w:t>
      </w:r>
      <w:r w:rsidR="00305E16"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3</w:t>
      </w:r>
      <w:r w:rsidR="00771F99" w:rsidRPr="00723DA9">
        <w:rPr>
          <w:rFonts w:cs="Times New Roman"/>
          <w:noProof/>
        </w:rPr>
        <w:fldChar w:fldCharType="end"/>
      </w:r>
      <w:bookmarkStart w:id="57" w:name="_Hlk495407456"/>
      <w:r w:rsidRPr="00723DA9">
        <w:rPr>
          <w:rFonts w:cs="Times New Roman"/>
        </w:rPr>
        <w:t xml:space="preserve"> </w:t>
      </w:r>
      <w:r w:rsidR="003903B0" w:rsidRPr="00723DA9">
        <w:rPr>
          <w:rFonts w:cs="Times New Roman"/>
        </w:rPr>
        <w:t xml:space="preserve">Wind speed (shading), potential temperature (black contours) and relative humidity (white contours) analysis of the south to north vertical section for (a) HRD radar wind analysis,  (b) 3DEV, (c) </w:t>
      </w:r>
      <w:r w:rsidR="003903B0" w:rsidRPr="00723DA9">
        <w:rPr>
          <w:rFonts w:cs="Times New Roman"/>
        </w:rPr>
        <w:lastRenderedPageBreak/>
        <w:t>3DEV-9kmS, (d) 3DEV-NVRM, and (e) 3DEV-NEVR for the second TDR mission valid at 1800 UTC 15 September 2014. The values in Fig. 5b-e are the spatial correlation coefficients between the analyzed three-dimensional wind speed field and the HRD radar wind composite.</w:t>
      </w:r>
      <w:bookmarkEnd w:id="56"/>
      <w:bookmarkEnd w:id="57"/>
    </w:p>
    <w:p w14:paraId="23C29BEC" w14:textId="77777777" w:rsidR="0083574D" w:rsidRPr="00723DA9" w:rsidRDefault="0083574D" w:rsidP="0083574D">
      <w:pPr>
        <w:pStyle w:val="Captions"/>
        <w:spacing w:after="0"/>
        <w:rPr>
          <w:rFonts w:eastAsia="宋体" w:cs="Times New Roman"/>
        </w:rPr>
      </w:pPr>
    </w:p>
    <w:p w14:paraId="193EB5F3" w14:textId="55816E2B" w:rsidR="003903B0"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Additionally, the spatial correlation coefficient between the analyzed three-dimensional (3D) wind speed field and the HRD radar wind composite has been calculated and shown in Fig. </w:t>
      </w:r>
      <w:r w:rsidR="003903B0" w:rsidRPr="00723DA9">
        <w:rPr>
          <w:rFonts w:ascii="Times New Roman" w:eastAsia="宋体" w:hAnsi="Times New Roman" w:cs="Times New Roman"/>
          <w:sz w:val="24"/>
          <w:szCs w:val="24"/>
        </w:rPr>
        <w:t>3.3</w:t>
      </w:r>
      <w:r w:rsidRPr="00723DA9">
        <w:rPr>
          <w:rFonts w:ascii="Times New Roman" w:eastAsia="宋体" w:hAnsi="Times New Roman" w:cs="Times New Roman"/>
          <w:sz w:val="24"/>
          <w:szCs w:val="24"/>
        </w:rPr>
        <w:t xml:space="preserve"> to provide a quantitative comparison following Lu et al. (2017)</w:t>
      </w:r>
      <w:r w:rsidR="00ED76F4">
        <w:rPr>
          <w:rStyle w:val="FootnoteReference"/>
          <w:rFonts w:ascii="Times New Roman" w:eastAsia="宋体" w:hAnsi="Times New Roman" w:cs="Times New Roman"/>
          <w:sz w:val="24"/>
          <w:szCs w:val="24"/>
        </w:rPr>
        <w:footnoteReference w:id="3"/>
      </w:r>
      <w:r w:rsidRPr="00723DA9">
        <w:rPr>
          <w:rFonts w:ascii="Times New Roman" w:eastAsia="宋体" w:hAnsi="Times New Roman" w:cs="Times New Roman"/>
          <w:sz w:val="24"/>
          <w:szCs w:val="24"/>
        </w:rPr>
        <w:t>.  The higher correlation coefficient value in 3DEV (~0.85) suggests a better analyzed storm inner core structure as compared with 3DEV-9kmS (0.77).</w:t>
      </w:r>
      <w:r w:rsidR="003903B0"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average correlation coefficient for all the TDR cycles in 3DEV is 0.77, and 3DEV-9kmS it is 0.72 (Not shown).</w:t>
      </w:r>
      <w:r w:rsidR="003903B0"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In summary, Fig. </w:t>
      </w:r>
      <w:r w:rsidR="003903B0" w:rsidRPr="00723DA9">
        <w:rPr>
          <w:rFonts w:ascii="Times New Roman" w:eastAsia="宋体" w:hAnsi="Times New Roman" w:cs="Times New Roman"/>
          <w:sz w:val="24"/>
          <w:szCs w:val="24"/>
        </w:rPr>
        <w:t>3.2</w:t>
      </w:r>
      <w:r w:rsidRPr="00723DA9">
        <w:rPr>
          <w:rFonts w:ascii="Times New Roman" w:eastAsia="宋体" w:hAnsi="Times New Roman" w:cs="Times New Roman"/>
          <w:sz w:val="24"/>
          <w:szCs w:val="24"/>
        </w:rPr>
        <w:t xml:space="preserve"> and Fig. </w:t>
      </w:r>
      <w:r w:rsidR="003903B0" w:rsidRPr="00723DA9">
        <w:rPr>
          <w:rFonts w:ascii="Times New Roman" w:eastAsia="宋体" w:hAnsi="Times New Roman" w:cs="Times New Roman"/>
          <w:sz w:val="24"/>
          <w:szCs w:val="24"/>
        </w:rPr>
        <w:t>3.3</w:t>
      </w:r>
      <w:r w:rsidRPr="00723DA9">
        <w:rPr>
          <w:rFonts w:ascii="Times New Roman" w:eastAsia="宋体" w:hAnsi="Times New Roman" w:cs="Times New Roman"/>
          <w:sz w:val="24"/>
          <w:szCs w:val="24"/>
        </w:rPr>
        <w:t xml:space="preserve"> show that the analyzed storm structure in 3DEV better agrees with the HRD composite than 3DEV-9kmS, suggesting the advantage of incorporating a finer resolution control analysis in the DA step through the dual-resolution </w:t>
      </w:r>
      <w:proofErr w:type="spellStart"/>
      <w:r w:rsidRPr="00723DA9">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capability. </w:t>
      </w:r>
    </w:p>
    <w:p w14:paraId="0F05FC42" w14:textId="1B1E424D" w:rsidR="00D30304" w:rsidRPr="00723DA9" w:rsidRDefault="00D30304" w:rsidP="00D30304">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In addition to the verification of the analyzed storm structures, the track, RMW, MSLP and Vmax forecasts from all of Edouard’s 32 cycles from 1200 UTC 11 September to 1200 UTC 19 September 2014 for Edouard (2014) are verified against the best track data (Figure 3.4). Considering the limited samples collected from the 32 cycles, the statistical significance of the differences between the experiments is assessed using a bootstrap resampling method following Davis et al. (2010).</w:t>
      </w:r>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In this bootstrap resampling method, the resampling is performed on the differences of the absolute errors between a given pair of experiments from all </w:t>
      </w:r>
      <w:r w:rsidR="006359E3">
        <w:rPr>
          <w:rFonts w:ascii="Times New Roman" w:eastAsia="宋体" w:hAnsi="Times New Roman" w:cs="Times New Roman"/>
          <w:sz w:val="24"/>
          <w:szCs w:val="24"/>
        </w:rPr>
        <w:t xml:space="preserve">32 </w:t>
      </w:r>
      <w:r w:rsidRPr="00723DA9">
        <w:rPr>
          <w:rFonts w:ascii="Times New Roman" w:eastAsia="宋体" w:hAnsi="Times New Roman" w:cs="Times New Roman"/>
          <w:sz w:val="24"/>
          <w:szCs w:val="24"/>
        </w:rPr>
        <w:t>cycles</w:t>
      </w:r>
      <w:r w:rsidR="006359E3">
        <w:rPr>
          <w:rFonts w:ascii="Times New Roman" w:eastAsia="宋体" w:hAnsi="Times New Roman" w:cs="Times New Roman"/>
          <w:sz w:val="24"/>
          <w:szCs w:val="24"/>
        </w:rPr>
        <w:t xml:space="preserve"> of forecast</w:t>
      </w:r>
      <w:r w:rsidR="00446A45">
        <w:rPr>
          <w:rFonts w:ascii="Times New Roman" w:eastAsia="宋体" w:hAnsi="Times New Roman" w:cs="Times New Roman"/>
          <w:sz w:val="24"/>
          <w:szCs w:val="24"/>
        </w:rPr>
        <w:t>s</w:t>
      </w:r>
      <w:r w:rsidRPr="00723DA9">
        <w:rPr>
          <w:rFonts w:ascii="Times New Roman" w:eastAsia="宋体" w:hAnsi="Times New Roman" w:cs="Times New Roman"/>
          <w:sz w:val="24"/>
          <w:szCs w:val="24"/>
        </w:rPr>
        <w:t xml:space="preserve"> with replacement. </w:t>
      </w:r>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10,000 resamples were formed.</w:t>
      </w:r>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statistical significance level for each pair is defined as the rank where the resampled distribution crosses zero.</w:t>
      </w:r>
      <w:r>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significance levels of 80%, 50% and 20% are marked with red lines in Fig. 3.4a-d. </w:t>
      </w:r>
    </w:p>
    <w:p w14:paraId="77839C09" w14:textId="77777777" w:rsidR="00D30304" w:rsidRPr="00723DA9" w:rsidRDefault="00D30304" w:rsidP="00771F99">
      <w:pPr>
        <w:spacing w:after="0" w:line="480" w:lineRule="auto"/>
        <w:ind w:firstLine="360"/>
        <w:rPr>
          <w:rFonts w:ascii="Times New Roman" w:eastAsia="宋体" w:hAnsi="Times New Roman" w:cs="Times New Roman"/>
          <w:sz w:val="24"/>
          <w:szCs w:val="24"/>
        </w:rPr>
      </w:pPr>
    </w:p>
    <w:p w14:paraId="59804996" w14:textId="5DE408AC" w:rsidR="003903B0" w:rsidRPr="00723DA9" w:rsidRDefault="003903B0" w:rsidP="0069704B">
      <w:pPr>
        <w:spacing w:after="0" w:line="240" w:lineRule="auto"/>
        <w:ind w:firstLine="360"/>
        <w:jc w:val="center"/>
        <w:rPr>
          <w:rFonts w:ascii="Times New Roman" w:hAnsi="Times New Roman" w:cs="Times New Roman"/>
          <w:noProof/>
          <w:sz w:val="24"/>
          <w:szCs w:val="24"/>
        </w:rPr>
      </w:pPr>
      <w:r w:rsidRPr="00723DA9">
        <w:rPr>
          <w:rFonts w:ascii="Times New Roman" w:hAnsi="Times New Roman" w:cs="Times New Roman"/>
          <w:noProof/>
        </w:rPr>
        <w:lastRenderedPageBreak/>
        <w:drawing>
          <wp:inline distT="0" distB="0" distL="0" distR="0" wp14:anchorId="0F736898" wp14:editId="76CE9D4A">
            <wp:extent cx="3589867" cy="7315200"/>
            <wp:effectExtent l="0" t="0" r="0" b="0"/>
            <wp:docPr id="6" name="Picture 6" descr="Fig6-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6-ne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9867" cy="7315200"/>
                    </a:xfrm>
                    <a:prstGeom prst="rect">
                      <a:avLst/>
                    </a:prstGeom>
                    <a:noFill/>
                    <a:ln>
                      <a:noFill/>
                    </a:ln>
                  </pic:spPr>
                </pic:pic>
              </a:graphicData>
            </a:graphic>
          </wp:inline>
        </w:drawing>
      </w:r>
    </w:p>
    <w:p w14:paraId="2993EC71" w14:textId="54FCDBEB" w:rsidR="003903B0" w:rsidRPr="00723DA9" w:rsidRDefault="00305E16" w:rsidP="0069704B">
      <w:pPr>
        <w:pStyle w:val="Captions"/>
        <w:spacing w:after="0"/>
        <w:rPr>
          <w:rFonts w:cs="Times New Roman"/>
        </w:rPr>
      </w:pPr>
      <w:bookmarkStart w:id="59" w:name="_Toc21624036"/>
      <w:r w:rsidRPr="00723DA9">
        <w:rPr>
          <w:rFonts w:cs="Times New Roman"/>
        </w:rPr>
        <w:t>Figure 3.</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4</w:t>
      </w:r>
      <w:r w:rsidR="00771F99" w:rsidRPr="00723DA9">
        <w:rPr>
          <w:rFonts w:cs="Times New Roman"/>
          <w:noProof/>
        </w:rPr>
        <w:fldChar w:fldCharType="end"/>
      </w:r>
      <w:r w:rsidR="003903B0" w:rsidRPr="00723DA9">
        <w:rPr>
          <w:rFonts w:cs="Times New Roman"/>
        </w:rPr>
        <w:t xml:space="preserve"> </w:t>
      </w:r>
      <w:bookmarkStart w:id="60" w:name="OLE_LINK121"/>
      <w:bookmarkStart w:id="61" w:name="OLE_LINK122"/>
      <w:r w:rsidR="003903B0" w:rsidRPr="00723DA9">
        <w:rPr>
          <w:rFonts w:cs="Times New Roman"/>
        </w:rPr>
        <w:t>(a) Mean absolute track forecast error, (b) mean absolute RMW forecast error, (c) mean absolute MSLP forecast error and (d) mean absolute 10m Vmax forecast error for 32 missions of Edouard 2014 for 3DEV (</w:t>
      </w:r>
      <w:bookmarkStart w:id="62" w:name="OLE_LINK114"/>
      <w:r w:rsidR="003903B0" w:rsidRPr="00723DA9">
        <w:rPr>
          <w:rFonts w:cs="Times New Roman"/>
        </w:rPr>
        <w:t>turquoise</w:t>
      </w:r>
      <w:bookmarkEnd w:id="62"/>
      <w:r w:rsidR="003903B0" w:rsidRPr="00723DA9">
        <w:rPr>
          <w:rFonts w:cs="Times New Roman"/>
        </w:rPr>
        <w:t xml:space="preserve">), 3DEV-9kmS (green), 3DEV-NVRM (yellow) and 3DEV-NEVR (purple). The corresponding MSLP and Vmax forecast error bias, or mean error, are also given in (e) and (f). The green, yellow and purple histograms below (a), (b), (c) and (d) are the bootstrap significance levels where 3DEV is statistically different from 3DEV-9kmS (A: “3DEV” minus B: “3DEV-9kmS”), 3DEV-NVRM (A: “3DEV” </w:t>
      </w:r>
      <w:r w:rsidR="003903B0" w:rsidRPr="00723DA9">
        <w:rPr>
          <w:rFonts w:cs="Times New Roman"/>
        </w:rPr>
        <w:lastRenderedPageBreak/>
        <w:t>minus B: “3DEV-NVRM”) and 3DEV-NEVR (A: “3DEV” minus B: “3DEV-NEVR”), respectively. The black histograms denote the bootstrap significance levels where 3DEV-NEVR is statistically different from 3DEV-</w:t>
      </w:r>
      <w:bookmarkStart w:id="63" w:name="OLE_LINK101"/>
      <w:r w:rsidR="003903B0" w:rsidRPr="00723DA9">
        <w:rPr>
          <w:rFonts w:cs="Times New Roman"/>
        </w:rPr>
        <w:t>NVR</w:t>
      </w:r>
      <w:bookmarkEnd w:id="63"/>
      <w:r w:rsidR="003903B0" w:rsidRPr="00723DA9">
        <w:rPr>
          <w:rFonts w:cs="Times New Roman"/>
        </w:rPr>
        <w:t>M (A: “3DEV-NEVR” minus B: “3DEV-NVRM”). The significance levels of 80% (solid) and 20% (dotted) for each pair are given as red lines in the histograms to indicate where A is significantly better or worse than B, respectively. The significance levels between 20% and 80% indicate that there is no statistically significant difference between A and B. The significance level of 50% is also shown with red dashed lines to indicate if A is better (&gt;50%) or worse (&lt;50%) than B. The numbers in the brackets under x-axis are the number of cases at each lead time.</w:t>
      </w:r>
      <w:bookmarkEnd w:id="59"/>
      <w:bookmarkEnd w:id="60"/>
      <w:bookmarkEnd w:id="61"/>
    </w:p>
    <w:p w14:paraId="7BE46501" w14:textId="77777777" w:rsidR="0083574D" w:rsidRPr="00723DA9" w:rsidRDefault="0083574D" w:rsidP="0083574D">
      <w:pPr>
        <w:pStyle w:val="Captions"/>
        <w:spacing w:after="0"/>
        <w:rPr>
          <w:rFonts w:eastAsia="宋体" w:cs="Times New Roman"/>
        </w:rPr>
      </w:pPr>
    </w:p>
    <w:p w14:paraId="34B9F784" w14:textId="3125D259"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According to Fig. </w:t>
      </w:r>
      <w:r w:rsidR="003903B0"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the profound difference between 3DEV and 3DEV-9kmS lies in the MSLP and Vmax forecasts at early lead times, and the experiments are overall comparable for both the track and RMW forecasts.</w:t>
      </w:r>
      <w:r w:rsidR="00F23AD2"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For the mean absolute errors (Fig. </w:t>
      </w:r>
      <w:r w:rsidR="003903B0"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c-d), 3DEV improves the MSLP and Vmax for the first 12-18 hours compared to 3DEV-9kmS.</w:t>
      </w:r>
      <w:r w:rsidR="00F23AD2"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smaller MSLP and Vmax forecast errors at early lead times in 3DEV are direct results of more realistically analyzed inner-core structures than 3DEV-9kmS as revealed by Fig. </w:t>
      </w:r>
      <w:r w:rsidR="00F23AD2" w:rsidRPr="00723DA9">
        <w:rPr>
          <w:rFonts w:ascii="Times New Roman" w:eastAsia="宋体" w:hAnsi="Times New Roman" w:cs="Times New Roman"/>
          <w:sz w:val="24"/>
          <w:szCs w:val="24"/>
        </w:rPr>
        <w:t>3.2</w:t>
      </w:r>
      <w:r w:rsidRPr="00723DA9">
        <w:rPr>
          <w:rFonts w:ascii="Times New Roman" w:eastAsia="宋体" w:hAnsi="Times New Roman" w:cs="Times New Roman"/>
          <w:sz w:val="24"/>
          <w:szCs w:val="24"/>
        </w:rPr>
        <w:t xml:space="preserve"> and Fig. </w:t>
      </w:r>
      <w:r w:rsidR="00F23AD2" w:rsidRPr="00723DA9">
        <w:rPr>
          <w:rFonts w:ascii="Times New Roman" w:eastAsia="宋体" w:hAnsi="Times New Roman" w:cs="Times New Roman"/>
          <w:sz w:val="24"/>
          <w:szCs w:val="24"/>
        </w:rPr>
        <w:t>3.3</w:t>
      </w:r>
      <w:r w:rsidRPr="00723DA9">
        <w:rPr>
          <w:rFonts w:ascii="Times New Roman" w:eastAsia="宋体" w:hAnsi="Times New Roman" w:cs="Times New Roman"/>
          <w:sz w:val="24"/>
          <w:szCs w:val="24"/>
        </w:rPr>
        <w:t>.</w:t>
      </w:r>
      <w:r w:rsidR="00F23AD2"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In terms of error biases (mean error; Fig. </w:t>
      </w:r>
      <w:r w:rsidR="00F23AD2"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xml:space="preserve">e and Fig. </w:t>
      </w:r>
      <w:r w:rsidR="00F23AD2"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f), 3DEV-9kmS produces large weak biases for both MSLP and Vmax at the initial time in comparison to the slight strong bias by 3DEV.</w:t>
      </w:r>
      <w:r w:rsidR="00F23AD2"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weak MSLP bias in 3DEV is smaller through 87 hours, whereas the weak Vmax bias is comparable or slightly weaker in 3DEV-9kmS after 12 hours. </w:t>
      </w:r>
      <w:r w:rsidR="00F23AD2"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This result suggests that there is possibly a systematic difference in the wind and pressure relationship between 3DEV-9kmS and 3DEV.</w:t>
      </w:r>
    </w:p>
    <w:p w14:paraId="5D595825" w14:textId="5A0D49ED" w:rsidR="00C56823" w:rsidRPr="00723DA9" w:rsidRDefault="00C56823" w:rsidP="00A67154">
      <w:pPr>
        <w:pStyle w:val="Heading3"/>
        <w:numPr>
          <w:ilvl w:val="2"/>
          <w:numId w:val="18"/>
        </w:numPr>
        <w:spacing w:before="160" w:after="160" w:line="480" w:lineRule="auto"/>
        <w:rPr>
          <w:rFonts w:ascii="Times New Roman" w:hAnsi="Times New Roman" w:cs="Times New Roman"/>
          <w:b/>
          <w:bCs/>
          <w:i/>
          <w:iCs/>
          <w:color w:val="auto"/>
        </w:rPr>
      </w:pPr>
      <w:bookmarkStart w:id="64" w:name="_Toc21623986"/>
      <w:r w:rsidRPr="00723DA9">
        <w:rPr>
          <w:rFonts w:ascii="Times New Roman" w:hAnsi="Times New Roman" w:cs="Times New Roman"/>
          <w:b/>
          <w:bCs/>
          <w:i/>
          <w:iCs/>
          <w:color w:val="auto"/>
        </w:rPr>
        <w:t>Impact of vortex initialization (VI) and ensemble relocation</w:t>
      </w:r>
      <w:bookmarkEnd w:id="64"/>
      <w:r w:rsidRPr="00723DA9">
        <w:rPr>
          <w:rFonts w:ascii="Times New Roman" w:hAnsi="Times New Roman" w:cs="Times New Roman"/>
          <w:b/>
          <w:bCs/>
          <w:i/>
          <w:iCs/>
          <w:color w:val="auto"/>
        </w:rPr>
        <w:t xml:space="preserve"> </w:t>
      </w:r>
    </w:p>
    <w:p w14:paraId="47977170" w14:textId="706E80BC"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 stated in the introduction, while recent studies show that efficient DA of dense inner-core observations can potentially replace the “bogus” VI to some extent for hurricane predication, this data is only available for a small part of the lifecycle in most storms.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Therefore, the VR and VM are likely necessary for a continuously cycled DA system when conventional inner-core observations are not available.</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Experiments are conducted in this subsection to reveal the impact of applying the VR and VM within an end-to-end, fully cycled DA system.  </w:t>
      </w:r>
    </w:p>
    <w:p w14:paraId="17E7A20B" w14:textId="38F96853"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lastRenderedPageBreak/>
        <w:t xml:space="preserve">The analyses here show that VR and VM are most important in the control </w:t>
      </w:r>
      <w:proofErr w:type="gramStart"/>
      <w:r w:rsidRPr="00723DA9">
        <w:rPr>
          <w:rFonts w:ascii="Times New Roman" w:eastAsia="宋体" w:hAnsi="Times New Roman" w:cs="Times New Roman"/>
          <w:sz w:val="24"/>
          <w:szCs w:val="24"/>
        </w:rPr>
        <w:t>analysis, but</w:t>
      </w:r>
      <w:proofErr w:type="gramEnd"/>
      <w:r w:rsidRPr="00723DA9">
        <w:rPr>
          <w:rFonts w:ascii="Times New Roman" w:eastAsia="宋体" w:hAnsi="Times New Roman" w:cs="Times New Roman"/>
          <w:sz w:val="24"/>
          <w:szCs w:val="24"/>
        </w:rPr>
        <w:t xml:space="preserve"> applying VR to the background ensemble can also improve analyzed storm structure.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In the horizontal structure analyses (Fig. </w:t>
      </w:r>
      <w:r w:rsidR="0018291C" w:rsidRPr="00723DA9">
        <w:rPr>
          <w:rFonts w:ascii="Times New Roman" w:eastAsia="宋体" w:hAnsi="Times New Roman" w:cs="Times New Roman"/>
          <w:sz w:val="24"/>
          <w:szCs w:val="24"/>
        </w:rPr>
        <w:t>3.2</w:t>
      </w:r>
      <w:r w:rsidRPr="00723DA9">
        <w:rPr>
          <w:rFonts w:ascii="Times New Roman" w:eastAsia="宋体" w:hAnsi="Times New Roman" w:cs="Times New Roman"/>
          <w:sz w:val="24"/>
          <w:szCs w:val="24"/>
        </w:rPr>
        <w:t xml:space="preserve">), without applying any VR or VM, the wind structure analyses in 3DEV-NVRM largely disagree with the HRD composite (Fig. </w:t>
      </w:r>
      <w:r w:rsidR="0018291C" w:rsidRPr="00723DA9">
        <w:rPr>
          <w:rFonts w:ascii="Times New Roman" w:eastAsia="宋体" w:hAnsi="Times New Roman" w:cs="Times New Roman"/>
          <w:sz w:val="24"/>
          <w:szCs w:val="24"/>
        </w:rPr>
        <w:t>3.2</w:t>
      </w:r>
      <w:r w:rsidRPr="00723DA9">
        <w:rPr>
          <w:rFonts w:ascii="Times New Roman" w:eastAsia="宋体" w:hAnsi="Times New Roman" w:cs="Times New Roman"/>
          <w:sz w:val="24"/>
          <w:szCs w:val="24"/>
        </w:rPr>
        <w:t xml:space="preserve">d).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Specifically, the HRD radar composite contains one dominant wind maximum that is located in the northeast quadrant.  In comparison, 3DEV-NVRM shows two comparable wind maxima located in the northeast and southeast quadrants respectively.  The northeast wind maximum in 3DEV-NVRM is much farther away from the storm center compared to its counterpart in the HRD composite.</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In addition, a large location error is observed in 3DEV-NVRM.  Specifically, the 3DEV-NVRM shifts the storm center about 39 km to the east of the best track position.</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Compared to 3DEV-NVRM, 3DEV-NEVR reduces the location error and improves storm symmetry, which shows the benefit of applying the VR and VM to only the control background.</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Further applying VR to the background ensemble background improves the analysis even more.  For example, two errors in 3DEV-NEVR (Fig. </w:t>
      </w:r>
      <w:r w:rsidR="0018291C" w:rsidRPr="00723DA9">
        <w:rPr>
          <w:rFonts w:ascii="Times New Roman" w:eastAsia="宋体" w:hAnsi="Times New Roman" w:cs="Times New Roman"/>
          <w:sz w:val="24"/>
          <w:szCs w:val="24"/>
        </w:rPr>
        <w:t>3.2</w:t>
      </w:r>
      <w:r w:rsidRPr="00723DA9">
        <w:rPr>
          <w:rFonts w:ascii="Times New Roman" w:eastAsia="宋体" w:hAnsi="Times New Roman" w:cs="Times New Roman"/>
          <w:sz w:val="24"/>
          <w:szCs w:val="24"/>
        </w:rPr>
        <w:t xml:space="preserve">e) that are not present in 3DEV are a dominant wind maximum southeast of the storm and a dipole feature in the pressure field.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These results are consistent with previous studies such as </w:t>
      </w:r>
      <w:r w:rsidR="0018291C" w:rsidRPr="00723DA9">
        <w:rPr>
          <w:rFonts w:ascii="Times New Roman" w:eastAsia="宋体" w:hAnsi="Times New Roman" w:cs="Times New Roman"/>
          <w:sz w:val="24"/>
          <w:szCs w:val="24"/>
        </w:rPr>
        <w:fldChar w:fldCharType="begin" w:fldLock="1"/>
      </w:r>
      <w:r w:rsidR="0018291C" w:rsidRPr="00723DA9">
        <w:rPr>
          <w:rFonts w:ascii="Times New Roman" w:eastAsia="宋体" w:hAnsi="Times New Roman" w:cs="Times New Roman"/>
          <w:sz w:val="24"/>
          <w:szCs w:val="24"/>
        </w:rPr>
        <w:instrText>ADDIN CSL_CITATION {"citationItems":[{"id":"ITEM-1","itemData":{"DOI":"10.1175/MWR3351.1","ISSN":"0027-0644","abstract":"Observations of hurricane position, which in practice might be available from satellite or radar imagery, can be easily assimilated with an ensemble Kalman filter (EnKF) given an operator that computes the position of the vortex in the background forecast. The simple linear updating scheme used in the EnKF is effective for small displacements of forecasted vortices from the true position; this situation is operationally relevant since hurricane position is often available frequently in time. When displacements of the forecasted vortices are comparable to the vortex size, non-Gaussian effects become significant and the EnKF&amp;#8217;s linear update begins to degrade. Simulations using a simple two-dimensional barotropic model demonstrate the potential of the technique and show that the track forecast initialized with the EnKF analysis is improved. The assimilation of observations of the vortex shape and intensity, along with position, extends the technique&amp;#8217;s effectiveness to larger displacements of the forecasted vortices than when assimilating position alone.","author":[{"dropping-particle":"","family":"Chen","given":"Yongsheng","non-dropping-particle":"","parse-names":false,"suffix":""},{"dropping-particle":"","family":"Snyder","given":"Chris","non-dropping-particle":"","parse-names":false,"suffix":""}],"container-title":"Monthly Weather Review","id":"ITEM-1","issue":"5","issued":{"date-parts":[["2007"]]},"page":"1828-1845","title":"Assimilating Vortex Position with an Ensemble Kalman Filter","type":"article-journal","volume":"135"},"uris":["http://www.mendeley.com/documents/?uuid=948e958f-a078-4deb-aa1b-9e2f8f08eb1f"]}],"mendeley":{"formattedCitation":"(Chen and Snyder 2007)","manualFormatting":"Chen and Snyder (2007)","plainTextFormattedCitation":"(Chen and Snyder 2007)","previouslyFormattedCitation":"(Chen and Snyder 2007)"},"properties":{"noteIndex":0},"schema":"https://github.com/citation-style-language/schema/raw/master/csl-citation.json"}</w:instrText>
      </w:r>
      <w:r w:rsidR="0018291C" w:rsidRPr="00723DA9">
        <w:rPr>
          <w:rFonts w:ascii="Times New Roman" w:eastAsia="宋体" w:hAnsi="Times New Roman" w:cs="Times New Roman"/>
          <w:sz w:val="24"/>
          <w:szCs w:val="24"/>
        </w:rPr>
        <w:fldChar w:fldCharType="separate"/>
      </w:r>
      <w:r w:rsidR="0018291C" w:rsidRPr="00723DA9">
        <w:rPr>
          <w:rFonts w:ascii="Times New Roman" w:eastAsia="宋体" w:hAnsi="Times New Roman" w:cs="Times New Roman"/>
          <w:noProof/>
          <w:sz w:val="24"/>
          <w:szCs w:val="24"/>
        </w:rPr>
        <w:t>Chen and Snyder (2007)</w:t>
      </w:r>
      <w:r w:rsidR="0018291C"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and Lu et al. (2017</w:t>
      </w:r>
      <w:r w:rsidR="0018291C" w:rsidRPr="00723DA9">
        <w:rPr>
          <w:rFonts w:ascii="Times New Roman" w:eastAsia="宋体" w:hAnsi="Times New Roman" w:cs="Times New Roman"/>
          <w:sz w:val="24"/>
          <w:szCs w:val="24"/>
        </w:rPr>
        <w:t>a</w:t>
      </w:r>
      <w:r w:rsidRPr="00723DA9">
        <w:rPr>
          <w:rFonts w:ascii="Times New Roman" w:eastAsia="宋体" w:hAnsi="Times New Roman" w:cs="Times New Roman"/>
          <w:sz w:val="24"/>
          <w:szCs w:val="24"/>
        </w:rPr>
        <w:t xml:space="preserve">), which found dipole-like increments can occur when the storm locations prescribed in the background ensembles are too diverse or the deviation of the background storm location from the observed storm location is too large.  </w:t>
      </w:r>
    </w:p>
    <w:p w14:paraId="2C4036FF" w14:textId="12F8F7FD"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Vertical cross-sections similarly show that VR and VM are most important for the control analysis.</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inner-core structure analyzed by 3DEV-NVRM (Fig. </w:t>
      </w:r>
      <w:r w:rsidR="0018291C" w:rsidRPr="00723DA9">
        <w:rPr>
          <w:rFonts w:ascii="Times New Roman" w:eastAsia="宋体" w:hAnsi="Times New Roman" w:cs="Times New Roman"/>
          <w:sz w:val="24"/>
          <w:szCs w:val="24"/>
        </w:rPr>
        <w:t>3.3</w:t>
      </w:r>
      <w:r w:rsidRPr="00723DA9">
        <w:rPr>
          <w:rFonts w:ascii="Times New Roman" w:eastAsia="宋体" w:hAnsi="Times New Roman" w:cs="Times New Roman"/>
          <w:sz w:val="24"/>
          <w:szCs w:val="24"/>
        </w:rPr>
        <w:t xml:space="preserve">d) is also largely inconsistent with the HRD composite (Fig. </w:t>
      </w:r>
      <w:r w:rsidR="0018291C" w:rsidRPr="00723DA9">
        <w:rPr>
          <w:rFonts w:ascii="Times New Roman" w:eastAsia="宋体" w:hAnsi="Times New Roman" w:cs="Times New Roman"/>
          <w:sz w:val="24"/>
          <w:szCs w:val="24"/>
        </w:rPr>
        <w:t>3.3</w:t>
      </w:r>
      <w:r w:rsidRPr="00723DA9">
        <w:rPr>
          <w:rFonts w:ascii="Times New Roman" w:eastAsia="宋体" w:hAnsi="Times New Roman" w:cs="Times New Roman"/>
          <w:sz w:val="24"/>
          <w:szCs w:val="24"/>
        </w:rPr>
        <w:t xml:space="preserve">a) with a much weaker wind maximum on the north side and a much stronger, deeper wind maximum on the south side.  In comparison with </w:t>
      </w:r>
      <w:r w:rsidRPr="00723DA9">
        <w:rPr>
          <w:rFonts w:ascii="Times New Roman" w:eastAsia="宋体" w:hAnsi="Times New Roman" w:cs="Times New Roman"/>
          <w:sz w:val="24"/>
          <w:szCs w:val="24"/>
        </w:rPr>
        <w:lastRenderedPageBreak/>
        <w:t xml:space="preserve">3DEV-NVRM, both the northern and southern wind maxima in 3DEV-NEVR are more consistent with the HRD composite in terms of both the vertical extent and magnitude.  However, when compared to 3DEV, 3DEV-NEVR degrades the analysis.  For example, the low-level wind maxima in </w:t>
      </w:r>
      <w:bookmarkStart w:id="65" w:name="OLE_LINK159"/>
      <w:bookmarkStart w:id="66" w:name="OLE_LINK158"/>
      <w:r w:rsidRPr="00723DA9">
        <w:rPr>
          <w:rFonts w:ascii="Times New Roman" w:eastAsia="宋体" w:hAnsi="Times New Roman" w:cs="Times New Roman"/>
          <w:sz w:val="24"/>
          <w:szCs w:val="24"/>
        </w:rPr>
        <w:t xml:space="preserve">3DEV </w:t>
      </w:r>
      <w:bookmarkEnd w:id="65"/>
      <w:bookmarkEnd w:id="66"/>
      <w:r w:rsidRPr="00723DA9">
        <w:rPr>
          <w:rFonts w:ascii="Times New Roman" w:eastAsia="宋体" w:hAnsi="Times New Roman" w:cs="Times New Roman"/>
          <w:sz w:val="24"/>
          <w:szCs w:val="24"/>
        </w:rPr>
        <w:t xml:space="preserve">are more consistent with the verifying analysis. </w:t>
      </w:r>
    </w:p>
    <w:p w14:paraId="368A948D" w14:textId="5A3E363D"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spatial correlation between the various analyses here and the HRD wind speed analysis objectively verifies the above conclusions. </w:t>
      </w:r>
      <w:r w:rsidR="00830E33">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3DEV, 3DEV-NEVR and 3DEV-NVRM are respectively correlated with the HRD analysis at ~0.85, ~0.79, and ~0.54. Furthermore, over all TDR cycles (not shown) the average correlation is 0.77, 0.71 and 0.53, respectively.</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In summary, the results from both the horizontal and vertical structure analyses show that conducting VR and VM on the control background plays important roles in defining the location and structure of the analyzed storm.  Further conducting VR in the ensemble background is also helpful in improving the structure of the analyzed storm.</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However, it should also be noted that the importance of ensemble VR may not be as important as the control VR and VM.  </w:t>
      </w:r>
    </w:p>
    <w:p w14:paraId="7D71BCBC" w14:textId="037C1686"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mean absolute forecast errors in 3DEV-NVRM are much larger at most times than those in 3DEV (Fig. </w:t>
      </w:r>
      <w:r w:rsidR="0018291C"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xml:space="preserve">a-d).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Without any VR or VM, the track, RMW, MSLP and Vmax forecasts produced by 3DEV-NVRM perform the worst.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Consistent with Fig. </w:t>
      </w:r>
      <w:r w:rsidR="0018291C" w:rsidRPr="00723DA9">
        <w:rPr>
          <w:rFonts w:ascii="Times New Roman" w:eastAsia="宋体" w:hAnsi="Times New Roman" w:cs="Times New Roman"/>
          <w:sz w:val="24"/>
          <w:szCs w:val="24"/>
        </w:rPr>
        <w:t>3.2</w:t>
      </w:r>
      <w:r w:rsidRPr="00723DA9">
        <w:rPr>
          <w:rFonts w:ascii="Times New Roman" w:eastAsia="宋体" w:hAnsi="Times New Roman" w:cs="Times New Roman"/>
          <w:sz w:val="24"/>
          <w:szCs w:val="24"/>
        </w:rPr>
        <w:t xml:space="preserve">d and Fig. </w:t>
      </w:r>
      <w:r w:rsidR="0018291C" w:rsidRPr="00723DA9">
        <w:rPr>
          <w:rFonts w:ascii="Times New Roman" w:eastAsia="宋体" w:hAnsi="Times New Roman" w:cs="Times New Roman"/>
          <w:sz w:val="24"/>
          <w:szCs w:val="24"/>
        </w:rPr>
        <w:t>3.3</w:t>
      </w:r>
      <w:r w:rsidRPr="00723DA9">
        <w:rPr>
          <w:rFonts w:ascii="Times New Roman" w:eastAsia="宋体" w:hAnsi="Times New Roman" w:cs="Times New Roman"/>
          <w:sz w:val="24"/>
          <w:szCs w:val="24"/>
        </w:rPr>
        <w:t xml:space="preserve">d, the significantly larger track error at the early lead times in 3DEV-NVRM results from large location errors in the analysis.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overall larger RMW mean absolute errors in 3DEV-NVRM than 3DEV can possibly be attributed to the unrealistically analyzed storm structure as shown in Fig. </w:t>
      </w:r>
      <w:r w:rsidR="0018291C" w:rsidRPr="00723DA9">
        <w:rPr>
          <w:rFonts w:ascii="Times New Roman" w:eastAsia="宋体" w:hAnsi="Times New Roman" w:cs="Times New Roman"/>
          <w:sz w:val="24"/>
          <w:szCs w:val="24"/>
        </w:rPr>
        <w:t>3.2</w:t>
      </w:r>
      <w:r w:rsidRPr="00723DA9">
        <w:rPr>
          <w:rFonts w:ascii="Times New Roman" w:eastAsia="宋体" w:hAnsi="Times New Roman" w:cs="Times New Roman"/>
          <w:sz w:val="24"/>
          <w:szCs w:val="24"/>
        </w:rPr>
        <w:t xml:space="preserve">d and Fig. </w:t>
      </w:r>
      <w:r w:rsidR="0018291C" w:rsidRPr="00723DA9">
        <w:rPr>
          <w:rFonts w:ascii="Times New Roman" w:eastAsia="宋体" w:hAnsi="Times New Roman" w:cs="Times New Roman"/>
          <w:sz w:val="24"/>
          <w:szCs w:val="24"/>
        </w:rPr>
        <w:t>3.3</w:t>
      </w:r>
      <w:r w:rsidRPr="00723DA9">
        <w:rPr>
          <w:rFonts w:ascii="Times New Roman" w:eastAsia="宋体" w:hAnsi="Times New Roman" w:cs="Times New Roman"/>
          <w:sz w:val="24"/>
          <w:szCs w:val="24"/>
        </w:rPr>
        <w:t xml:space="preserve">d where multiple wind maxima exist at different heights and distances.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highly asymmetric storm in 3DEV-NVRM analysis is also consistent with significantly larger MSLP error for all lead times and significantly larger Vmax errors in the first 21 hours in the 3DEV-NVRM forecast (Fig. </w:t>
      </w:r>
      <w:r w:rsidR="0018291C"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xml:space="preserve">c and Fig. </w:t>
      </w:r>
      <w:r w:rsidR="0018291C"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xml:space="preserve">d).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Forecast error biases (Fig. </w:t>
      </w:r>
      <w:r w:rsidR="0018291C"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xml:space="preserve">e-f) show that </w:t>
      </w:r>
      <w:r w:rsidRPr="00723DA9">
        <w:rPr>
          <w:rFonts w:ascii="Times New Roman" w:eastAsia="宋体" w:hAnsi="Times New Roman" w:cs="Times New Roman"/>
          <w:sz w:val="24"/>
          <w:szCs w:val="24"/>
        </w:rPr>
        <w:lastRenderedPageBreak/>
        <w:t>3DEV-NVRM has a much larger strong bias for both MSLP and Vmax than 3DEV at the initial time.  At later lead times after about 12-36 hours, 3DEV-NVRM shows larger weak bias compared to 3DEV.</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large bias transition at about 12 to 21-hour lead times implies a significant wind and pressure field adjustment by 3DEV-NVRM.</w:t>
      </w:r>
    </w:p>
    <w:p w14:paraId="0F627E7F" w14:textId="5A4D9DBD"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The forecasts in 3DEV-NEVR are better than those produced by 3DEV-NVRM. Specifically, 3DEV-NEVR produces a better track and MSLP forecast at all lead times and a better RMW and Vmax forecasts at most lead times.</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This result differs from the early study by Schwartz et al. (2013), who found VR applied for the control member did not improve cycling DA.  Such different results could be possibly due to the continuous location correction by ingesting “bogus” inner core observations during all cycles in Schwartz et al. (2013), while this study uses no bogus data with inner core real observations available only at limited times.</w:t>
      </w:r>
    </w:p>
    <w:p w14:paraId="509B8DE6" w14:textId="05C38F0F"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Meanwhile, the performance of the track, RMW, MSLP and Vmax forecasts by 3DEV-NEVR and 3DEV are </w:t>
      </w:r>
      <w:bookmarkStart w:id="67" w:name="OLE_LINK127"/>
      <w:bookmarkStart w:id="68" w:name="OLE_LINK126"/>
      <w:r w:rsidRPr="00723DA9">
        <w:rPr>
          <w:rFonts w:ascii="Times New Roman" w:eastAsia="宋体" w:hAnsi="Times New Roman" w:cs="Times New Roman"/>
          <w:sz w:val="24"/>
          <w:szCs w:val="24"/>
        </w:rPr>
        <w:t xml:space="preserve">commensurate </w:t>
      </w:r>
      <w:bookmarkEnd w:id="67"/>
      <w:bookmarkEnd w:id="68"/>
      <w:r w:rsidRPr="00723DA9">
        <w:rPr>
          <w:rFonts w:ascii="Times New Roman" w:eastAsia="宋体" w:hAnsi="Times New Roman" w:cs="Times New Roman"/>
          <w:sz w:val="24"/>
          <w:szCs w:val="24"/>
        </w:rPr>
        <w:t xml:space="preserve">over the entire 5-day forecast period (Fig. </w:t>
      </w:r>
      <w:r w:rsidR="0018291C"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a-d), though 3DEV-NEVR appears to be right for the wrong reason at times.</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Further examination reveals that 3DEV-NEVR begins with </w:t>
      </w:r>
      <w:bookmarkStart w:id="69" w:name="OLE_LINK132"/>
      <w:bookmarkStart w:id="70" w:name="OLE_LINK131"/>
      <w:bookmarkStart w:id="71" w:name="OLE_LINK130"/>
      <w:r w:rsidRPr="00723DA9">
        <w:rPr>
          <w:rFonts w:ascii="Times New Roman" w:eastAsia="宋体" w:hAnsi="Times New Roman" w:cs="Times New Roman"/>
          <w:sz w:val="24"/>
          <w:szCs w:val="24"/>
        </w:rPr>
        <w:t>a strong bias followed by an incorrect intensification</w:t>
      </w:r>
      <w:bookmarkEnd w:id="69"/>
      <w:bookmarkEnd w:id="70"/>
      <w:bookmarkEnd w:id="71"/>
      <w:r w:rsidRPr="00723DA9">
        <w:rPr>
          <w:rFonts w:ascii="Times New Roman" w:eastAsia="宋体" w:hAnsi="Times New Roman" w:cs="Times New Roman"/>
          <w:sz w:val="24"/>
          <w:szCs w:val="24"/>
        </w:rPr>
        <w:t xml:space="preserve"> rate as implied by the evolution of bias (too slow, e.g. Fig. </w:t>
      </w:r>
      <w:r w:rsidR="0018291C"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xml:space="preserve">f).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These errors effectively cancel, leading to a better fit of 3DEV-NEVR to the best track during the 18- to 48-hour lead times (e.g. Fig. </w:t>
      </w:r>
      <w:r w:rsidR="0018291C" w:rsidRPr="00723DA9">
        <w:rPr>
          <w:rFonts w:ascii="Times New Roman" w:eastAsia="宋体" w:hAnsi="Times New Roman" w:cs="Times New Roman"/>
          <w:sz w:val="24"/>
          <w:szCs w:val="24"/>
        </w:rPr>
        <w:t>3.4</w:t>
      </w:r>
      <w:r w:rsidRPr="00723DA9">
        <w:rPr>
          <w:rFonts w:ascii="Times New Roman" w:eastAsia="宋体" w:hAnsi="Times New Roman" w:cs="Times New Roman"/>
          <w:sz w:val="24"/>
          <w:szCs w:val="24"/>
        </w:rPr>
        <w:t xml:space="preserve">c-d). </w:t>
      </w:r>
    </w:p>
    <w:p w14:paraId="7A9FA07F" w14:textId="16943921" w:rsidR="00C56823" w:rsidRPr="00723DA9" w:rsidRDefault="00C56823" w:rsidP="00A67154">
      <w:pPr>
        <w:pStyle w:val="Heading3"/>
        <w:numPr>
          <w:ilvl w:val="2"/>
          <w:numId w:val="18"/>
        </w:numPr>
        <w:spacing w:before="160" w:after="160" w:line="480" w:lineRule="auto"/>
        <w:rPr>
          <w:rFonts w:ascii="Times New Roman" w:hAnsi="Times New Roman" w:cs="Times New Roman"/>
          <w:b/>
          <w:bCs/>
          <w:i/>
          <w:iCs/>
          <w:color w:val="auto"/>
        </w:rPr>
      </w:pPr>
      <w:bookmarkStart w:id="72" w:name="_Toc21623987"/>
      <w:r w:rsidRPr="00723DA9">
        <w:rPr>
          <w:rFonts w:ascii="Times New Roman" w:hAnsi="Times New Roman" w:cs="Times New Roman"/>
          <w:b/>
          <w:bCs/>
          <w:i/>
          <w:iCs/>
          <w:color w:val="auto"/>
        </w:rPr>
        <w:t>Impacts of 4DEnVar for vortex scale observation assimilation</w:t>
      </w:r>
      <w:bookmarkEnd w:id="72"/>
    </w:p>
    <w:p w14:paraId="58DD1036" w14:textId="6EA935CC"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 stated in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w:t>
      </w:r>
      <w:r w:rsidR="0018291C" w:rsidRPr="00723DA9">
        <w:rPr>
          <w:rFonts w:ascii="Times New Roman" w:eastAsia="宋体" w:hAnsi="Times New Roman" w:cs="Times New Roman"/>
          <w:sz w:val="24"/>
          <w:szCs w:val="24"/>
        </w:rPr>
        <w:t>3.</w:t>
      </w:r>
      <w:r w:rsidRPr="00723DA9">
        <w:rPr>
          <w:rFonts w:ascii="Times New Roman" w:eastAsia="宋体" w:hAnsi="Times New Roman" w:cs="Times New Roman"/>
          <w:sz w:val="24"/>
          <w:szCs w:val="24"/>
        </w:rPr>
        <w:t>1, 3DEnVar DA with a 6-hour time window is unlikely to resolve quickly evolving storm features due to the inability of 3DEnVar to capture the temporal evolution of error covariance in a 6-hour DA window.  However, 4DEnVar might alleviate this issue due to its design (</w:t>
      </w:r>
      <w:r w:rsidR="009913D0" w:rsidRPr="00723DA9">
        <w:rPr>
          <w:rFonts w:ascii="Times New Roman" w:eastAsia="宋体" w:hAnsi="Times New Roman" w:cs="Times New Roman"/>
          <w:sz w:val="24"/>
          <w:szCs w:val="24"/>
        </w:rPr>
        <w:t>Section</w:t>
      </w:r>
      <w:r w:rsidRPr="00723DA9">
        <w:rPr>
          <w:rFonts w:ascii="Times New Roman" w:eastAsia="宋体" w:hAnsi="Times New Roman" w:cs="Times New Roman"/>
          <w:sz w:val="24"/>
          <w:szCs w:val="24"/>
        </w:rPr>
        <w:t xml:space="preserve"> </w:t>
      </w:r>
      <w:r w:rsidR="00752F72" w:rsidRPr="00723DA9">
        <w:rPr>
          <w:rFonts w:ascii="Times New Roman" w:eastAsia="宋体" w:hAnsi="Times New Roman" w:cs="Times New Roman"/>
          <w:sz w:val="24"/>
          <w:szCs w:val="24"/>
        </w:rPr>
        <w:t>3.2</w:t>
      </w:r>
      <w:r w:rsidR="0018291C" w:rsidRPr="00723DA9">
        <w:rPr>
          <w:rFonts w:ascii="Times New Roman" w:eastAsia="宋体" w:hAnsi="Times New Roman" w:cs="Times New Roman"/>
          <w:sz w:val="24"/>
          <w:szCs w:val="24"/>
        </w:rPr>
        <w:t>.2</w:t>
      </w:r>
      <w:r w:rsidRPr="00723DA9">
        <w:rPr>
          <w:rFonts w:ascii="Times New Roman" w:eastAsia="宋体" w:hAnsi="Times New Roman" w:cs="Times New Roman"/>
          <w:sz w:val="24"/>
          <w:szCs w:val="24"/>
        </w:rPr>
        <w:t xml:space="preserve">).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To test this hypothesis, TDR DA experiments are first conducted for the cycles when Edouard was going through the rapid eyewall replacement. </w:t>
      </w:r>
    </w:p>
    <w:p w14:paraId="33C3CCFF" w14:textId="0B77AF16" w:rsidR="00C56823"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lastRenderedPageBreak/>
        <w:t>The final NOAA P3 TDR mission in Edouard occurred during the eyewall replacement or the end of the “</w:t>
      </w:r>
      <w:r w:rsidRPr="00723DA9">
        <w:rPr>
          <w:rFonts w:ascii="Times New Roman" w:eastAsia="宋体" w:hAnsi="Times New Roman" w:cs="Times New Roman"/>
          <w:i/>
          <w:sz w:val="24"/>
          <w:szCs w:val="24"/>
        </w:rPr>
        <w:t>decaying double eyewall storm</w:t>
      </w:r>
      <w:r w:rsidRPr="00723DA9">
        <w:rPr>
          <w:rFonts w:ascii="Times New Roman" w:eastAsia="宋体" w:hAnsi="Times New Roman" w:cs="Times New Roman"/>
          <w:sz w:val="24"/>
          <w:szCs w:val="24"/>
        </w:rPr>
        <w:t xml:space="preserve">” period </w:t>
      </w:r>
      <w:r w:rsidR="0018291C" w:rsidRPr="00723DA9">
        <w:rPr>
          <w:rFonts w:ascii="Times New Roman" w:eastAsia="宋体" w:hAnsi="Times New Roman" w:cs="Times New Roman"/>
          <w:sz w:val="24"/>
          <w:szCs w:val="24"/>
        </w:rPr>
        <w:fldChar w:fldCharType="begin" w:fldLock="1"/>
      </w:r>
      <w:r w:rsidR="001226AC" w:rsidRPr="00723DA9">
        <w:rPr>
          <w:rFonts w:ascii="Times New Roman" w:eastAsia="宋体" w:hAnsi="Times New Roman" w:cs="Times New Roman"/>
          <w:sz w:val="24"/>
          <w:szCs w:val="24"/>
        </w:rPr>
        <w:instrText>ADDIN CSL_CITATION {"citationItems":[{"id":"ITEM-1","itemData":{"DOI":"10.1175/MWR-D-15-0421.1","ISSN":"0027-0644","author":[{"dropping-particle":"","family":"Abarca","given":"Sergio F.","non-dropping-particle":"","parse-names":false,"suffix":""},{"dropping-particle":"","family":"Montgomery","given":"Michael T.","non-dropping-particle":"","parse-names":false,"suffix":""},{"dropping-particle":"","family":"Braun","given":"Scott A.","non-dropping-particle":"","parse-names":false,"suffix":""},{"dropping-particle":"","family":"Dunion","given":"Jason","non-dropping-particle":"","parse-names":false,"suffix":""}],"container-title":"Monthly Weather Review","id":"ITEM-1","issue":"2014","issued":{"date-parts":[["2016"]]},"page":"MWR-D-15-0421.1","title":"On the secondary eyewall formation of Hurricane Edouard (2014)","type":"article-journal"},"uris":["http://www.mendeley.com/documents/?uuid=b699bbc8-d87c-418e-976e-dd26b862abe9"]}],"mendeley":{"formattedCitation":"(Abarca et al. 2016)","plainTextFormattedCitation":"(Abarca et al. 2016)","previouslyFormattedCitation":"(Abarca et al. 2016)"},"properties":{"noteIndex":0},"schema":"https://github.com/citation-style-language/schema/raw/master/csl-citation.json"}</w:instrText>
      </w:r>
      <w:r w:rsidR="0018291C" w:rsidRPr="00723DA9">
        <w:rPr>
          <w:rFonts w:ascii="Times New Roman" w:eastAsia="宋体" w:hAnsi="Times New Roman" w:cs="Times New Roman"/>
          <w:sz w:val="24"/>
          <w:szCs w:val="24"/>
        </w:rPr>
        <w:fldChar w:fldCharType="separate"/>
      </w:r>
      <w:r w:rsidR="0018291C" w:rsidRPr="00723DA9">
        <w:rPr>
          <w:rFonts w:ascii="Times New Roman" w:eastAsia="宋体" w:hAnsi="Times New Roman" w:cs="Times New Roman"/>
          <w:noProof/>
          <w:sz w:val="24"/>
          <w:szCs w:val="24"/>
        </w:rPr>
        <w:t>(Abarca et al. 2016)</w:t>
      </w:r>
      <w:r w:rsidR="0018291C"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w:t>
      </w:r>
      <w:r w:rsidR="0018291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During this time period, Edouard was weakening, likely due to the eyewall replacement and cold upwelling or mixing </w:t>
      </w:r>
      <w:r w:rsidR="001226AC" w:rsidRPr="00723DA9">
        <w:rPr>
          <w:rFonts w:ascii="Times New Roman" w:eastAsia="宋体" w:hAnsi="Times New Roman" w:cs="Times New Roman"/>
          <w:sz w:val="24"/>
          <w:szCs w:val="24"/>
        </w:rPr>
        <w:fldChar w:fldCharType="begin" w:fldLock="1"/>
      </w:r>
      <w:r w:rsidR="00D8076A" w:rsidRPr="00723DA9">
        <w:rPr>
          <w:rFonts w:ascii="Times New Roman" w:eastAsia="宋体" w:hAnsi="Times New Roman" w:cs="Times New Roman"/>
          <w:sz w:val="24"/>
          <w:szCs w:val="24"/>
        </w:rPr>
        <w:instrText>ADDIN CSL_CITATION {"citationItems":[{"id":"ITEM-1","itemData":{"author":[{"dropping-particle":"","family":"Stewart","given":"Stacy R","non-dropping-particle":"","parse-names":false,"suffix":""}],"container-title":"Tropical Cyclone Rep. AL062014, National Hurricane Center","id":"ITEM-1","issued":{"date-parts":[["2014"]]},"title":"National Hurricane Center Tropical Cyclone Report: HURRICANE EDOUARD","type":"report"},"uris":["http://www.mendeley.com/documents/?uuid=0943fad7-527f-3b54-9413-fd61ed45c32b"]}],"mendeley":{"formattedCitation":"(Stewart 2014)","plainTextFormattedCitation":"(Stewart 2014)","previouslyFormattedCitation":"(Stewart 2014)"},"properties":{"noteIndex":0},"schema":"https://github.com/citation-style-language/schema/raw/master/csl-citation.json"}</w:instrText>
      </w:r>
      <w:r w:rsidR="001226AC" w:rsidRPr="00723DA9">
        <w:rPr>
          <w:rFonts w:ascii="Times New Roman" w:eastAsia="宋体" w:hAnsi="Times New Roman" w:cs="Times New Roman"/>
          <w:sz w:val="24"/>
          <w:szCs w:val="24"/>
        </w:rPr>
        <w:fldChar w:fldCharType="separate"/>
      </w:r>
      <w:r w:rsidR="001226AC" w:rsidRPr="00723DA9">
        <w:rPr>
          <w:rFonts w:ascii="Times New Roman" w:eastAsia="宋体" w:hAnsi="Times New Roman" w:cs="Times New Roman"/>
          <w:noProof/>
          <w:sz w:val="24"/>
          <w:szCs w:val="24"/>
        </w:rPr>
        <w:t>(Stewart 2014)</w:t>
      </w:r>
      <w:r w:rsidR="001226AC"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w:t>
      </w:r>
      <w:r w:rsidR="001226A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One NOAA P3 aircraft was sent out for HRD-tasked model evaluation between 1110 UTC and 1919 UTC on Sep. 17</w:t>
      </w:r>
      <w:r w:rsidRPr="00723DA9">
        <w:rPr>
          <w:rFonts w:ascii="Times New Roman" w:eastAsia="宋体" w:hAnsi="Times New Roman" w:cs="Times New Roman"/>
          <w:sz w:val="24"/>
          <w:szCs w:val="24"/>
          <w:vertAlign w:val="superscript"/>
        </w:rPr>
        <w:t>th</w:t>
      </w:r>
      <w:r w:rsidRPr="00723DA9">
        <w:rPr>
          <w:rFonts w:ascii="Times New Roman" w:eastAsia="宋体" w:hAnsi="Times New Roman" w:cs="Times New Roman"/>
          <w:sz w:val="24"/>
          <w:szCs w:val="24"/>
        </w:rPr>
        <w:t>, 2014, but its data was unfortunately divided between the 1200 UTC and 1800 UTC cycles, yielding a brief and uneven distribution in each individual cycle.</w:t>
      </w:r>
      <w:r w:rsidR="001226A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briefly and unevenly distributed data further increase the potential benefit of 4DEnVar over 3DEnVar DA as stated in the introduction. </w:t>
      </w:r>
      <w:r w:rsidR="001226A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temporal coverage of the TDR data is between 1258-1417 UTC for the 1200 UTC cycle and between 1617-1708 UTC for the 1800 UTC cycle. </w:t>
      </w:r>
      <w:r w:rsidR="001226AC"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spatial coverage of the TDR data is added to Figure </w:t>
      </w:r>
      <w:r w:rsidR="00514F69" w:rsidRPr="00723DA9">
        <w:rPr>
          <w:rFonts w:ascii="Times New Roman" w:eastAsia="宋体" w:hAnsi="Times New Roman" w:cs="Times New Roman"/>
          <w:sz w:val="24"/>
          <w:szCs w:val="24"/>
        </w:rPr>
        <w:t>3.</w:t>
      </w:r>
      <w:r w:rsidR="00F0272F">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a. </w:t>
      </w:r>
    </w:p>
    <w:p w14:paraId="014E096B" w14:textId="77777777" w:rsidR="0083574D" w:rsidRPr="00723DA9" w:rsidRDefault="0083574D" w:rsidP="0083574D">
      <w:pPr>
        <w:pStyle w:val="Captions"/>
        <w:spacing w:after="0"/>
        <w:rPr>
          <w:rFonts w:eastAsia="宋体" w:cs="Times New Roman"/>
        </w:rPr>
      </w:pPr>
    </w:p>
    <w:p w14:paraId="799134D3" w14:textId="77777777" w:rsidR="001226AC" w:rsidRPr="00723DA9" w:rsidRDefault="001226AC" w:rsidP="00966FCE">
      <w:pPr>
        <w:spacing w:after="0" w:line="360" w:lineRule="auto"/>
        <w:rPr>
          <w:rFonts w:ascii="Times New Roman" w:eastAsia="宋体" w:hAnsi="Times New Roman" w:cs="Times New Roman"/>
          <w:noProof/>
          <w:sz w:val="24"/>
          <w:szCs w:val="24"/>
        </w:rPr>
      </w:pPr>
      <w:r w:rsidRPr="00723DA9">
        <w:rPr>
          <w:rFonts w:ascii="Times New Roman" w:eastAsia="宋体" w:hAnsi="Times New Roman" w:cs="Times New Roman"/>
          <w:noProof/>
          <w:sz w:val="24"/>
          <w:szCs w:val="24"/>
        </w:rPr>
        <w:drawing>
          <wp:inline distT="0" distB="0" distL="0" distR="0" wp14:anchorId="09E9D801" wp14:editId="6B105A74">
            <wp:extent cx="5934075" cy="4267200"/>
            <wp:effectExtent l="0" t="0" r="9525" b="0"/>
            <wp:docPr id="8" name="Picture 8" descr="Fig7-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7-ne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4267200"/>
                    </a:xfrm>
                    <a:prstGeom prst="rect">
                      <a:avLst/>
                    </a:prstGeom>
                    <a:noFill/>
                    <a:ln>
                      <a:noFill/>
                    </a:ln>
                  </pic:spPr>
                </pic:pic>
              </a:graphicData>
            </a:graphic>
          </wp:inline>
        </w:drawing>
      </w:r>
    </w:p>
    <w:p w14:paraId="52A47358" w14:textId="1FE5FEB0" w:rsidR="001226AC" w:rsidRPr="00723DA9" w:rsidRDefault="00305E16" w:rsidP="00966FCE">
      <w:pPr>
        <w:pStyle w:val="Captions"/>
        <w:spacing w:after="0"/>
        <w:rPr>
          <w:rFonts w:cs="Times New Roman"/>
        </w:rPr>
      </w:pPr>
      <w:bookmarkStart w:id="73" w:name="_Toc21624037"/>
      <w:r w:rsidRPr="00723DA9">
        <w:rPr>
          <w:rFonts w:cs="Times New Roman"/>
        </w:rPr>
        <w:t>Figure 3.</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5</w:t>
      </w:r>
      <w:r w:rsidR="00771F99" w:rsidRPr="00723DA9">
        <w:rPr>
          <w:rFonts w:cs="Times New Roman"/>
          <w:noProof/>
        </w:rPr>
        <w:fldChar w:fldCharType="end"/>
      </w:r>
      <w:r w:rsidR="001226AC" w:rsidRPr="00723DA9">
        <w:rPr>
          <w:rFonts w:cs="Times New Roman"/>
        </w:rPr>
        <w:t xml:space="preserve"> </w:t>
      </w:r>
      <w:bookmarkStart w:id="74" w:name="_Hlk495064590"/>
      <w:bookmarkStart w:id="75" w:name="_Hlk495407384"/>
      <w:r w:rsidR="001226AC" w:rsidRPr="00723DA9">
        <w:rPr>
          <w:rFonts w:cs="Times New Roman"/>
        </w:rPr>
        <w:t xml:space="preserve">Horizontal plots of </w:t>
      </w:r>
      <w:bookmarkEnd w:id="74"/>
      <w:r w:rsidR="001226AC" w:rsidRPr="00723DA9">
        <w:rPr>
          <w:rFonts w:cs="Times New Roman"/>
        </w:rPr>
        <w:t>(</w:t>
      </w:r>
      <w:proofErr w:type="spellStart"/>
      <w:r w:rsidR="001226AC" w:rsidRPr="00723DA9">
        <w:rPr>
          <w:rFonts w:cs="Times New Roman"/>
        </w:rPr>
        <w:t>a~c</w:t>
      </w:r>
      <w:proofErr w:type="spellEnd"/>
      <w:r w:rsidR="001226AC" w:rsidRPr="00723DA9">
        <w:rPr>
          <w:rFonts w:cs="Times New Roman"/>
        </w:rPr>
        <w:t xml:space="preserve">) wind (shading and vectors) and pressure (contours) at 1km height </w:t>
      </w:r>
      <w:bookmarkStart w:id="76" w:name="_Hlk495064616"/>
      <w:r w:rsidR="001226AC" w:rsidRPr="00723DA9">
        <w:rPr>
          <w:rFonts w:cs="Times New Roman"/>
        </w:rPr>
        <w:t xml:space="preserve">as well </w:t>
      </w:r>
      <w:r w:rsidR="001226AC" w:rsidRPr="00723DA9">
        <w:rPr>
          <w:rFonts w:cs="Times New Roman"/>
        </w:rPr>
        <w:lastRenderedPageBreak/>
        <w:t>as west to east cross-sections of</w:t>
      </w:r>
      <w:bookmarkEnd w:id="76"/>
      <w:r w:rsidR="001226AC" w:rsidRPr="00723DA9">
        <w:rPr>
          <w:rFonts w:cs="Times New Roman"/>
        </w:rPr>
        <w:t xml:space="preserve"> (</w:t>
      </w:r>
      <w:proofErr w:type="spellStart"/>
      <w:r w:rsidR="001226AC" w:rsidRPr="00723DA9">
        <w:rPr>
          <w:rFonts w:cs="Times New Roman"/>
        </w:rPr>
        <w:t>d~f</w:t>
      </w:r>
      <w:proofErr w:type="spellEnd"/>
      <w:r w:rsidR="001226AC" w:rsidRPr="00723DA9">
        <w:rPr>
          <w:rFonts w:cs="Times New Roman"/>
        </w:rPr>
        <w:t xml:space="preserve">) wind speed (shading), potential temperature (black contours) and relative humidity (white contours) for the HRD radar wind composite (first column), 3DEV (second column), and 4DEVTR (third column) for the fourth TDR-involved cycle valid at 1200 UTC 17 </w:t>
      </w:r>
      <w:bookmarkStart w:id="77" w:name="OLE_LINK55"/>
      <w:r w:rsidR="001226AC" w:rsidRPr="00723DA9">
        <w:rPr>
          <w:rFonts w:cs="Times New Roman"/>
        </w:rPr>
        <w:t>September 2014</w:t>
      </w:r>
      <w:bookmarkEnd w:id="77"/>
      <w:r w:rsidR="001226AC" w:rsidRPr="00723DA9">
        <w:rPr>
          <w:rFonts w:cs="Times New Roman"/>
        </w:rPr>
        <w:t xml:space="preserve">. </w:t>
      </w:r>
      <w:bookmarkStart w:id="78" w:name="_Hlk486003671"/>
      <w:r w:rsidR="001226AC" w:rsidRPr="00723DA9">
        <w:rPr>
          <w:rFonts w:cs="Times New Roman"/>
        </w:rPr>
        <w:t xml:space="preserve"> The west to east vertical cross-sections in (</w:t>
      </w:r>
      <w:proofErr w:type="spellStart"/>
      <w:r w:rsidR="001226AC" w:rsidRPr="00723DA9">
        <w:rPr>
          <w:rFonts w:cs="Times New Roman"/>
        </w:rPr>
        <w:t>d~f</w:t>
      </w:r>
      <w:proofErr w:type="spellEnd"/>
      <w:r w:rsidR="001226AC" w:rsidRPr="00723DA9">
        <w:rPr>
          <w:rFonts w:cs="Times New Roman"/>
        </w:rPr>
        <w:t>) are denoted by the corresponding red lines in (</w:t>
      </w:r>
      <w:proofErr w:type="spellStart"/>
      <w:r w:rsidR="001226AC" w:rsidRPr="00723DA9">
        <w:rPr>
          <w:rFonts w:cs="Times New Roman"/>
        </w:rPr>
        <w:t>a~c</w:t>
      </w:r>
      <w:proofErr w:type="spellEnd"/>
      <w:r w:rsidR="001226AC" w:rsidRPr="00723DA9">
        <w:rPr>
          <w:rFonts w:cs="Times New Roman"/>
        </w:rPr>
        <w:t xml:space="preserve">). </w:t>
      </w:r>
      <w:bookmarkEnd w:id="78"/>
      <w:r w:rsidR="001226AC" w:rsidRPr="00723DA9">
        <w:rPr>
          <w:rFonts w:cs="Times New Roman"/>
        </w:rPr>
        <w:t xml:space="preserve"> The blue line in (</w:t>
      </w:r>
      <w:proofErr w:type="spellStart"/>
      <w:r w:rsidR="001226AC" w:rsidRPr="00723DA9">
        <w:rPr>
          <w:rFonts w:cs="Times New Roman"/>
        </w:rPr>
        <w:t>a~c</w:t>
      </w:r>
      <w:proofErr w:type="spellEnd"/>
      <w:r w:rsidR="001226AC" w:rsidRPr="00723DA9">
        <w:rPr>
          <w:rFonts w:cs="Times New Roman"/>
        </w:rPr>
        <w:t xml:space="preserve">) denotes the flight track when TDR data was available between </w:t>
      </w:r>
      <w:r w:rsidR="001226AC" w:rsidRPr="00723DA9">
        <w:rPr>
          <w:rFonts w:eastAsia="宋体" w:cs="Times New Roman"/>
        </w:rPr>
        <w:t xml:space="preserve">1258-1417 UTC, and the turquoise line in (a) denotes the flight track when TDR data is available between 1617-1708 UTC. Due to the data distribution, the HRD radar composite is valid at 1500 UTC 17 </w:t>
      </w:r>
      <w:r w:rsidR="001226AC" w:rsidRPr="00723DA9">
        <w:rPr>
          <w:rFonts w:cs="Times New Roman"/>
        </w:rPr>
        <w:t>September 2014.</w:t>
      </w:r>
      <w:bookmarkEnd w:id="73"/>
      <w:bookmarkEnd w:id="75"/>
    </w:p>
    <w:p w14:paraId="29CC0625" w14:textId="77777777" w:rsidR="0083574D" w:rsidRPr="00723DA9" w:rsidRDefault="0083574D" w:rsidP="0083574D">
      <w:pPr>
        <w:pStyle w:val="Captions"/>
        <w:spacing w:after="0"/>
        <w:rPr>
          <w:rFonts w:eastAsia="宋体" w:cs="Times New Roman"/>
        </w:rPr>
      </w:pPr>
    </w:p>
    <w:p w14:paraId="0EA19C82" w14:textId="6C81C0A7" w:rsidR="00A67154" w:rsidRPr="00723DA9" w:rsidRDefault="00A67154" w:rsidP="00A67154">
      <w:pPr>
        <w:spacing w:after="0" w:line="480" w:lineRule="auto"/>
        <w:ind w:firstLine="360"/>
        <w:rPr>
          <w:rFonts w:ascii="Times New Roman" w:eastAsia="宋体" w:hAnsi="Times New Roman" w:cs="Times New Roman"/>
          <w:sz w:val="24"/>
          <w:szCs w:val="24"/>
        </w:rPr>
      </w:pPr>
      <w:bookmarkStart w:id="79" w:name="OLE_LINK22"/>
      <w:bookmarkStart w:id="80" w:name="OLE_LINK23"/>
      <w:bookmarkStart w:id="81" w:name="OLE_LINK24"/>
      <w:r w:rsidRPr="00723DA9">
        <w:rPr>
          <w:rFonts w:ascii="Times New Roman" w:eastAsia="宋体" w:hAnsi="Times New Roman" w:cs="Times New Roman"/>
          <w:sz w:val="24"/>
          <w:szCs w:val="24"/>
        </w:rPr>
        <w:t>The 4DEnVar analysis in 4DEVTR better captures the structure of Edouard during this period.</w:t>
      </w:r>
      <w:bookmarkEnd w:id="79"/>
      <w:bookmarkEnd w:id="80"/>
      <w:bookmarkEnd w:id="81"/>
      <w:r w:rsidRPr="00723DA9">
        <w:rPr>
          <w:rFonts w:ascii="Times New Roman" w:eastAsia="宋体" w:hAnsi="Times New Roman" w:cs="Times New Roman"/>
          <w:sz w:val="24"/>
          <w:szCs w:val="24"/>
        </w:rPr>
        <w:t xml:space="preserve">  Figure 3.5 </w:t>
      </w:r>
      <w:bookmarkStart w:id="82" w:name="OLE_LINK25"/>
      <w:bookmarkStart w:id="83" w:name="OLE_LINK26"/>
      <w:r w:rsidRPr="00723DA9">
        <w:rPr>
          <w:rFonts w:ascii="Times New Roman" w:eastAsia="宋体" w:hAnsi="Times New Roman" w:cs="Times New Roman"/>
          <w:sz w:val="24"/>
          <w:szCs w:val="24"/>
        </w:rPr>
        <w:t>compares 1-km winds (Fig. 3.5a-c) and a vertical cross section of winds (Fig. 3.5d-f) with the HRD radar composite</w:t>
      </w:r>
      <w:bookmarkEnd w:id="82"/>
      <w:bookmarkEnd w:id="83"/>
      <w:r w:rsidRPr="00723DA9">
        <w:rPr>
          <w:rFonts w:ascii="Times New Roman" w:eastAsia="宋体" w:hAnsi="Times New Roman" w:cs="Times New Roman"/>
          <w:sz w:val="24"/>
          <w:szCs w:val="24"/>
        </w:rPr>
        <w:t>.  The HRD radar composite shows a wind maximum southeast of the storm center as well as a secondary wind maximum east of the storm center.  The vertical cross-section in Fig. 3.5d captures the edge of the inner wind maximum between 15~35 km east of the storm center as well as the complete outer maximum at 60 km.  Compared with the HRD radar composite, 3DEV contains a spuriously strong wind maximum 50~75 km east of the storm (Fig. 3.5b and Fig. 3.5e), while 4DEVTR has two maxima roughly at the correct locations (Fig. 3.5c,f).</w:t>
      </w:r>
    </w:p>
    <w:p w14:paraId="6246E37F" w14:textId="77777777" w:rsidR="00F0272F" w:rsidRPr="00723DA9" w:rsidRDefault="00F0272F" w:rsidP="00F0272F">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Likewise, the </w:t>
      </w:r>
      <w:r w:rsidRPr="00723DA9">
        <w:rPr>
          <w:rFonts w:ascii="Times New Roman" w:hAnsi="Times New Roman" w:cs="Times New Roman"/>
          <w:sz w:val="24"/>
          <w:szCs w:val="24"/>
        </w:rPr>
        <w:t xml:space="preserve">MSLP and Vmax </w:t>
      </w:r>
      <w:r w:rsidRPr="00723DA9">
        <w:rPr>
          <w:rFonts w:ascii="Times New Roman" w:eastAsia="宋体" w:hAnsi="Times New Roman" w:cs="Times New Roman"/>
          <w:sz w:val="24"/>
          <w:szCs w:val="24"/>
        </w:rPr>
        <w:t xml:space="preserve">forecasts initialized from the 4DEVTR analysis for this cycle are more consistent with the best track than the forecasts initialized from the 3DEV analyses, especially at early lead times (not shown).  Consistent analysis and forecast performance in 4DEVTR and 3DEV are also found in the next consecutive cycle valid at 1800 UTC (not shown).  This result suggests the benefit of utilizing 4DEnVar over 3DEnVar in the situation of rapidly evolving error covariance and temporally unevenly distributed observations. </w:t>
      </w:r>
    </w:p>
    <w:p w14:paraId="337AAA30" w14:textId="5614BA27" w:rsidR="00C56823" w:rsidRDefault="00C56823" w:rsidP="00771F99">
      <w:pPr>
        <w:spacing w:after="0" w:line="480" w:lineRule="auto"/>
        <w:ind w:firstLine="360"/>
        <w:rPr>
          <w:rFonts w:ascii="Times New Roman" w:eastAsia="Calibri" w:hAnsi="Times New Roman" w:cs="Times New Roman"/>
          <w:sz w:val="24"/>
          <w:szCs w:val="24"/>
        </w:rPr>
      </w:pPr>
      <w:r w:rsidRPr="00723DA9">
        <w:rPr>
          <w:rFonts w:ascii="Times New Roman" w:hAnsi="Times New Roman" w:cs="Times New Roman"/>
          <w:sz w:val="24"/>
          <w:szCs w:val="24"/>
        </w:rPr>
        <w:t xml:space="preserve">Figure </w:t>
      </w:r>
      <w:r w:rsidR="00752F72" w:rsidRPr="00723DA9">
        <w:rPr>
          <w:rFonts w:ascii="Times New Roman" w:hAnsi="Times New Roman" w:cs="Times New Roman"/>
          <w:sz w:val="24"/>
          <w:szCs w:val="24"/>
        </w:rPr>
        <w:t>3.6</w:t>
      </w:r>
      <w:r w:rsidRPr="00723DA9">
        <w:rPr>
          <w:rFonts w:ascii="Times New Roman" w:hAnsi="Times New Roman" w:cs="Times New Roman"/>
          <w:sz w:val="24"/>
          <w:szCs w:val="24"/>
        </w:rPr>
        <w:t xml:space="preserve">a-d shows the track, RMW, MSLP and Vmax forecast absolute errors over all cycles for the 4DEVTR and the </w:t>
      </w:r>
      <w:r w:rsidRPr="00723DA9">
        <w:rPr>
          <w:rFonts w:ascii="Times New Roman" w:eastAsia="宋体" w:hAnsi="Times New Roman" w:cs="Times New Roman"/>
          <w:sz w:val="24"/>
          <w:szCs w:val="24"/>
        </w:rPr>
        <w:t>3DEV</w:t>
      </w:r>
      <w:r w:rsidRPr="00723DA9">
        <w:rPr>
          <w:rFonts w:ascii="Times New Roman" w:hAnsi="Times New Roman" w:cs="Times New Roman"/>
          <w:sz w:val="24"/>
          <w:szCs w:val="24"/>
        </w:rPr>
        <w:t xml:space="preserve"> experiments. </w:t>
      </w:r>
      <w:r w:rsidR="00752F7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From </w:t>
      </w:r>
      <w:r w:rsidR="00752F72"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752F72" w:rsidRPr="00723DA9">
        <w:rPr>
          <w:rFonts w:ascii="Times New Roman" w:hAnsi="Times New Roman" w:cs="Times New Roman"/>
          <w:sz w:val="24"/>
          <w:szCs w:val="24"/>
        </w:rPr>
        <w:t>3.2.2</w:t>
      </w:r>
      <w:r w:rsidRPr="00723DA9">
        <w:rPr>
          <w:rFonts w:ascii="Times New Roman" w:hAnsi="Times New Roman" w:cs="Times New Roman"/>
          <w:sz w:val="24"/>
          <w:szCs w:val="24"/>
        </w:rPr>
        <w:t xml:space="preserve">, the only difference between 4DEVTR and </w:t>
      </w:r>
      <w:r w:rsidRPr="00723DA9">
        <w:rPr>
          <w:rFonts w:ascii="Times New Roman" w:eastAsia="宋体" w:hAnsi="Times New Roman" w:cs="Times New Roman"/>
          <w:sz w:val="24"/>
          <w:szCs w:val="24"/>
        </w:rPr>
        <w:t>3DEV</w:t>
      </w:r>
      <w:r w:rsidRPr="00723DA9">
        <w:rPr>
          <w:rFonts w:ascii="Times New Roman" w:hAnsi="Times New Roman" w:cs="Times New Roman"/>
          <w:sz w:val="24"/>
          <w:szCs w:val="24"/>
        </w:rPr>
        <w:t xml:space="preserve"> is the DA method applied for the TDR cycles.</w:t>
      </w:r>
      <w:r w:rsidR="00752F7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Therefore, by design, 4DEVTR reveals the direct impact of 4DEnVar on analyses and forecasts where TDR was available and also the secondary impact on subsequent analyses and forecasts.</w:t>
      </w:r>
      <w:r w:rsidR="00752F7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The </w:t>
      </w:r>
      <w:r w:rsidRPr="00723DA9">
        <w:rPr>
          <w:rFonts w:ascii="Times New Roman" w:hAnsi="Times New Roman" w:cs="Times New Roman"/>
          <w:sz w:val="24"/>
          <w:szCs w:val="24"/>
        </w:rPr>
        <w:lastRenderedPageBreak/>
        <w:t xml:space="preserve">performance of track forecasts by </w:t>
      </w:r>
      <w:r w:rsidRPr="00723DA9">
        <w:rPr>
          <w:rFonts w:ascii="Times New Roman" w:eastAsia="宋体" w:hAnsi="Times New Roman" w:cs="Times New Roman"/>
          <w:sz w:val="24"/>
          <w:szCs w:val="24"/>
        </w:rPr>
        <w:t>3DEV</w:t>
      </w:r>
      <w:r w:rsidRPr="00723DA9">
        <w:rPr>
          <w:rFonts w:ascii="Times New Roman" w:hAnsi="Times New Roman" w:cs="Times New Roman"/>
          <w:sz w:val="24"/>
          <w:szCs w:val="24"/>
        </w:rPr>
        <w:t xml:space="preserve"> and 4DEVTR are comparable although slight </w:t>
      </w:r>
      <w:bookmarkStart w:id="84" w:name="OLE_LINK82"/>
      <w:bookmarkStart w:id="85" w:name="OLE_LINK76"/>
      <w:r w:rsidRPr="00723DA9">
        <w:rPr>
          <w:rFonts w:ascii="Times New Roman" w:hAnsi="Times New Roman" w:cs="Times New Roman"/>
          <w:sz w:val="24"/>
          <w:szCs w:val="24"/>
        </w:rPr>
        <w:t>but statistically significan</w:t>
      </w:r>
      <w:bookmarkEnd w:id="84"/>
      <w:bookmarkEnd w:id="85"/>
      <w:r w:rsidRPr="00723DA9">
        <w:rPr>
          <w:rFonts w:ascii="Times New Roman" w:hAnsi="Times New Roman" w:cs="Times New Roman"/>
          <w:sz w:val="24"/>
          <w:szCs w:val="24"/>
        </w:rPr>
        <w:t xml:space="preserve">t degradation is found in 4DEVTR at longer lead times (Fig. </w:t>
      </w:r>
      <w:r w:rsidR="00752F72" w:rsidRPr="00723DA9">
        <w:rPr>
          <w:rFonts w:ascii="Times New Roman" w:hAnsi="Times New Roman" w:cs="Times New Roman"/>
          <w:sz w:val="24"/>
          <w:szCs w:val="24"/>
        </w:rPr>
        <w:t>3.6</w:t>
      </w:r>
      <w:r w:rsidRPr="00723DA9">
        <w:rPr>
          <w:rFonts w:ascii="Times New Roman" w:hAnsi="Times New Roman" w:cs="Times New Roman"/>
          <w:sz w:val="24"/>
          <w:szCs w:val="24"/>
        </w:rPr>
        <w:t xml:space="preserve">a). </w:t>
      </w:r>
      <w:r w:rsidR="00752F7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RMW absolute forecast error is also in general comparable between 3DEV and 4DEVTR except for the first 18 hours. </w:t>
      </w:r>
      <w:r w:rsidR="00752F72" w:rsidRPr="00723DA9">
        <w:rPr>
          <w:rFonts w:ascii="Times New Roman" w:hAnsi="Times New Roman" w:cs="Times New Roman"/>
          <w:sz w:val="24"/>
          <w:szCs w:val="24"/>
        </w:rPr>
        <w:t xml:space="preserve"> </w:t>
      </w:r>
      <w:r w:rsidRPr="00723DA9">
        <w:rPr>
          <w:rFonts w:ascii="Times New Roman" w:hAnsi="Times New Roman" w:cs="Times New Roman"/>
          <w:sz w:val="24"/>
          <w:szCs w:val="24"/>
        </w:rPr>
        <w:t>This initial RMW degradation in 4DEVTR is primarily found during the “</w:t>
      </w:r>
      <w:r w:rsidRPr="00723DA9">
        <w:rPr>
          <w:rFonts w:ascii="Times New Roman" w:hAnsi="Times New Roman" w:cs="Times New Roman"/>
          <w:i/>
          <w:sz w:val="24"/>
          <w:szCs w:val="24"/>
        </w:rPr>
        <w:t>decaying double-eyewall”</w:t>
      </w:r>
      <w:r w:rsidRPr="00723DA9">
        <w:rPr>
          <w:rFonts w:ascii="Times New Roman" w:hAnsi="Times New Roman" w:cs="Times New Roman"/>
          <w:sz w:val="24"/>
          <w:szCs w:val="24"/>
        </w:rPr>
        <w:t xml:space="preserve"> stage of Edouard</w:t>
      </w:r>
      <w:r w:rsidR="00D8076A" w:rsidRPr="00723DA9">
        <w:rPr>
          <w:rFonts w:ascii="Times New Roman" w:hAnsi="Times New Roman" w:cs="Times New Roman"/>
          <w:sz w:val="24"/>
          <w:szCs w:val="24"/>
        </w:rPr>
        <w:t xml:space="preserve"> </w:t>
      </w:r>
      <w:r w:rsidR="00D8076A" w:rsidRPr="00723DA9">
        <w:rPr>
          <w:rFonts w:ascii="Times New Roman" w:hAnsi="Times New Roman" w:cs="Times New Roman"/>
          <w:sz w:val="24"/>
          <w:szCs w:val="24"/>
        </w:rPr>
        <w:fldChar w:fldCharType="begin" w:fldLock="1"/>
      </w:r>
      <w:r w:rsidR="00574EF2" w:rsidRPr="00723DA9">
        <w:rPr>
          <w:rFonts w:ascii="Times New Roman" w:hAnsi="Times New Roman" w:cs="Times New Roman"/>
          <w:sz w:val="24"/>
          <w:szCs w:val="24"/>
        </w:rPr>
        <w:instrText>ADDIN CSL_CITATION {"citationItems":[{"id":"ITEM-1","itemData":{"DOI":"10.1175/MWR-D-15-0421.1","ISSN":"0027-0644","author":[{"dropping-particle":"","family":"Abarca","given":"Sergio F.","non-dropping-particle":"","parse-names":false,"suffix":""},{"dropping-particle":"","family":"Montgomery","given":"Michael T.","non-dropping-particle":"","parse-names":false,"suffix":""},{"dropping-particle":"","family":"Braun","given":"Scott A.","non-dropping-particle":"","parse-names":false,"suffix":""},{"dropping-particle":"","family":"Dunion","given":"Jason","non-dropping-particle":"","parse-names":false,"suffix":""}],"container-title":"Monthly Weather Review","id":"ITEM-1","issue":"2014","issued":{"date-parts":[["2016"]]},"page":"MWR-D-15-0421.1","title":"On the secondary eyewall formation of Hurricane Edouard (2014)","type":"article-journal"},"uris":["http://www.mendeley.com/documents/?uuid=b699bbc8-d87c-418e-976e-dd26b862abe9"]}],"mendeley":{"formattedCitation":"(Abarca et al. 2016)","plainTextFormattedCitation":"(Abarca et al. 2016)","previouslyFormattedCitation":"(Abarca et al. 2016)"},"properties":{"noteIndex":0},"schema":"https://github.com/citation-style-language/schema/raw/master/csl-citation.json"}</w:instrText>
      </w:r>
      <w:r w:rsidR="00D8076A" w:rsidRPr="00723DA9">
        <w:rPr>
          <w:rFonts w:ascii="Times New Roman" w:hAnsi="Times New Roman" w:cs="Times New Roman"/>
          <w:sz w:val="24"/>
          <w:szCs w:val="24"/>
        </w:rPr>
        <w:fldChar w:fldCharType="separate"/>
      </w:r>
      <w:r w:rsidR="00D8076A" w:rsidRPr="00723DA9">
        <w:rPr>
          <w:rFonts w:ascii="Times New Roman" w:hAnsi="Times New Roman" w:cs="Times New Roman"/>
          <w:noProof/>
          <w:sz w:val="24"/>
          <w:szCs w:val="24"/>
        </w:rPr>
        <w:t>(Abarca et al. 2016)</w:t>
      </w:r>
      <w:r w:rsidR="00D8076A" w:rsidRPr="00723DA9">
        <w:rPr>
          <w:rFonts w:ascii="Times New Roman" w:hAnsi="Times New Roman" w:cs="Times New Roman"/>
          <w:sz w:val="24"/>
          <w:szCs w:val="24"/>
        </w:rPr>
        <w:fldChar w:fldCharType="end"/>
      </w:r>
      <w:bookmarkStart w:id="86" w:name="OLE_LINK84"/>
      <w:r w:rsidRPr="00723DA9">
        <w:rPr>
          <w:rFonts w:ascii="Times New Roman" w:hAnsi="Times New Roman" w:cs="Times New Roman"/>
          <w:sz w:val="24"/>
          <w:szCs w:val="24"/>
        </w:rPr>
        <w:t xml:space="preserve">.  Although the double eyewall </w:t>
      </w:r>
      <w:bookmarkEnd w:id="86"/>
      <w:r w:rsidRPr="00723DA9">
        <w:rPr>
          <w:rFonts w:ascii="Times New Roman" w:eastAsia="Calibri" w:hAnsi="Times New Roman" w:cs="Times New Roman"/>
          <w:sz w:val="24"/>
          <w:szCs w:val="24"/>
        </w:rPr>
        <w:t xml:space="preserve">is correctly captured by 4DEVTR </w:t>
      </w:r>
      <w:bookmarkStart w:id="87" w:name="OLE_LINK88"/>
      <w:bookmarkStart w:id="88" w:name="OLE_LINK87"/>
      <w:r w:rsidRPr="00723DA9">
        <w:rPr>
          <w:rFonts w:ascii="Times New Roman" w:eastAsia="Calibri" w:hAnsi="Times New Roman" w:cs="Times New Roman"/>
          <w:sz w:val="24"/>
          <w:szCs w:val="24"/>
        </w:rPr>
        <w:t xml:space="preserve">and </w:t>
      </w:r>
      <w:bookmarkEnd w:id="87"/>
      <w:bookmarkEnd w:id="88"/>
      <w:r w:rsidRPr="00723DA9">
        <w:rPr>
          <w:rFonts w:ascii="Times New Roman" w:eastAsia="Calibri" w:hAnsi="Times New Roman" w:cs="Times New Roman"/>
          <w:sz w:val="24"/>
          <w:szCs w:val="24"/>
        </w:rPr>
        <w:t xml:space="preserve">missed by 3DEV during this stage, sometimes 4DEVTR places a slightly larger wind maximum to the secondary eyewall rather than the primary eyewall, which leads to a larger RMW (not shown). </w:t>
      </w:r>
    </w:p>
    <w:p w14:paraId="6D6B9897" w14:textId="3C9EDF51" w:rsidR="0009534B" w:rsidRPr="00723DA9" w:rsidRDefault="0009534B" w:rsidP="00771F99">
      <w:pPr>
        <w:spacing w:after="0" w:line="480" w:lineRule="auto"/>
        <w:ind w:firstLine="360"/>
        <w:rPr>
          <w:rFonts w:ascii="Times New Roman" w:eastAsia="Calibri" w:hAnsi="Times New Roman" w:cs="Times New Roman"/>
          <w:sz w:val="24"/>
          <w:szCs w:val="24"/>
        </w:rPr>
      </w:pPr>
      <w:r w:rsidRPr="00723DA9">
        <w:rPr>
          <w:rFonts w:ascii="Times New Roman" w:eastAsia="Calibri" w:hAnsi="Times New Roman" w:cs="Times New Roman"/>
          <w:sz w:val="24"/>
          <w:szCs w:val="24"/>
        </w:rPr>
        <w:t xml:space="preserve">The main forecast improvement in 4DEVTR comes at early lead times.  Relative to 3DEV, 4DEVTR measured in absolute errors, significantly improved MSLP forecasts for the first 15 hours and also Vmax forecasts for the first 45 hours (Fig. 3.6c-d).  The MSLP and Vmax improvements at the early lead times for 4DEVTR are consistent with the better analyses that greatly reduced spurious wind maxima (e.g. Fig. 3.5 and Fig. 3.6f).  The results are mixed at later lead times. Biases in 3DEV of MSLP and Vmax appear to benefit from compensating errors (i.e., strong initial bias followed by an unrealistically slow intensification rate).  As shown in Fig. 3.6e-f, 4DEVTR has a much smaller bias at the initial time yet a similarly erroneous intensity evolution as 3DEV.  This results in 4DEVTR having larger bias values from </w:t>
      </w:r>
      <w:r w:rsidR="00786C0C" w:rsidRPr="00723DA9">
        <w:rPr>
          <w:rFonts w:ascii="Times New Roman" w:eastAsia="Calibri" w:hAnsi="Times New Roman" w:cs="Times New Roman"/>
          <w:sz w:val="24"/>
          <w:szCs w:val="24"/>
        </w:rPr>
        <w:t>6-12-hour</w:t>
      </w:r>
      <w:r w:rsidRPr="00723DA9">
        <w:rPr>
          <w:rFonts w:ascii="Times New Roman" w:eastAsia="Calibri" w:hAnsi="Times New Roman" w:cs="Times New Roman"/>
          <w:sz w:val="24"/>
          <w:szCs w:val="24"/>
        </w:rPr>
        <w:t xml:space="preserve"> lead time through about 66-78 hour.</w:t>
      </w:r>
    </w:p>
    <w:p w14:paraId="21D696A5" w14:textId="77777777" w:rsidR="00305E16" w:rsidRPr="00723DA9" w:rsidRDefault="00752F72" w:rsidP="00966FCE">
      <w:pPr>
        <w:spacing w:after="0" w:line="360" w:lineRule="auto"/>
        <w:jc w:val="center"/>
        <w:rPr>
          <w:rFonts w:ascii="Times New Roman" w:hAnsi="Times New Roman" w:cs="Times New Roman"/>
        </w:rPr>
      </w:pPr>
      <w:r w:rsidRPr="00723DA9">
        <w:rPr>
          <w:rFonts w:ascii="Times New Roman" w:hAnsi="Times New Roman" w:cs="Times New Roman"/>
          <w:noProof/>
        </w:rPr>
        <w:lastRenderedPageBreak/>
        <w:drawing>
          <wp:inline distT="0" distB="0" distL="0" distR="0" wp14:anchorId="39B164B8" wp14:editId="6571B5E4">
            <wp:extent cx="4159462" cy="7863840"/>
            <wp:effectExtent l="0" t="0" r="0" b="3810"/>
            <wp:docPr id="9" name="Picture 9" descr="Fig8-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8-ne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59462" cy="7863840"/>
                    </a:xfrm>
                    <a:prstGeom prst="rect">
                      <a:avLst/>
                    </a:prstGeom>
                    <a:noFill/>
                    <a:ln>
                      <a:noFill/>
                    </a:ln>
                  </pic:spPr>
                </pic:pic>
              </a:graphicData>
            </a:graphic>
          </wp:inline>
        </w:drawing>
      </w:r>
    </w:p>
    <w:p w14:paraId="703844B9" w14:textId="0144659E" w:rsidR="00752F72" w:rsidRPr="00723DA9" w:rsidRDefault="00305E16" w:rsidP="00966FCE">
      <w:pPr>
        <w:pStyle w:val="Captions"/>
        <w:spacing w:after="0"/>
        <w:rPr>
          <w:rFonts w:cs="Times New Roman"/>
        </w:rPr>
      </w:pPr>
      <w:bookmarkStart w:id="89" w:name="_Toc21624038"/>
      <w:r w:rsidRPr="00723DA9">
        <w:rPr>
          <w:rFonts w:cs="Times New Roman"/>
        </w:rPr>
        <w:t>Figure 3.</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6</w:t>
      </w:r>
      <w:r w:rsidR="00771F99" w:rsidRPr="00723DA9">
        <w:rPr>
          <w:rFonts w:cs="Times New Roman"/>
          <w:noProof/>
        </w:rPr>
        <w:fldChar w:fldCharType="end"/>
      </w:r>
      <w:r w:rsidR="00752F72" w:rsidRPr="00723DA9">
        <w:rPr>
          <w:rFonts w:cs="Times New Roman"/>
        </w:rPr>
        <w:t xml:space="preserve"> </w:t>
      </w:r>
      <w:bookmarkStart w:id="90" w:name="_Hlk495407376"/>
      <w:r w:rsidR="00752F72" w:rsidRPr="00723DA9">
        <w:rPr>
          <w:rFonts w:cs="Times New Roman"/>
        </w:rPr>
        <w:t>As in Figure 3.4 but for 3DEV (turquoise), 4DEVTR (blue) and the operational HWRF (red).</w:t>
      </w:r>
      <w:r w:rsidRPr="00723DA9">
        <w:rPr>
          <w:rFonts w:cs="Times New Roman"/>
        </w:rPr>
        <w:t xml:space="preserve"> </w:t>
      </w:r>
      <w:r w:rsidR="00752F72" w:rsidRPr="00723DA9">
        <w:rPr>
          <w:rFonts w:cs="Times New Roman"/>
        </w:rPr>
        <w:t xml:space="preserve"> The </w:t>
      </w:r>
      <w:r w:rsidR="00752F72" w:rsidRPr="00723DA9">
        <w:rPr>
          <w:rFonts w:cs="Times New Roman"/>
        </w:rPr>
        <w:lastRenderedPageBreak/>
        <w:t>orange histograms below (a), (b), (c) and (d) are the bootstrap significance levels where 3DEV is statistically different from the operational HWRF (A: "3DEV” minus B: “</w:t>
      </w:r>
      <w:proofErr w:type="spellStart"/>
      <w:r w:rsidR="00752F72" w:rsidRPr="00723DA9">
        <w:rPr>
          <w:rFonts w:cs="Times New Roman"/>
        </w:rPr>
        <w:t>Oper.HWRF</w:t>
      </w:r>
      <w:proofErr w:type="spellEnd"/>
      <w:r w:rsidR="00752F72" w:rsidRPr="00723DA9">
        <w:rPr>
          <w:rFonts w:cs="Times New Roman"/>
        </w:rPr>
        <w:t>”).  The red and blue histograms denote the bootstrap significance levels where 4DEVTR is statistically different from the operational HWRF (A: "4DEVTR” minus B: “</w:t>
      </w:r>
      <w:proofErr w:type="spellStart"/>
      <w:r w:rsidR="00752F72" w:rsidRPr="00723DA9">
        <w:rPr>
          <w:rFonts w:cs="Times New Roman"/>
        </w:rPr>
        <w:t>Oper.HWRF</w:t>
      </w:r>
      <w:proofErr w:type="spellEnd"/>
      <w:r w:rsidR="00752F72" w:rsidRPr="00723DA9">
        <w:rPr>
          <w:rFonts w:cs="Times New Roman"/>
        </w:rPr>
        <w:t>”) and 3DEV (A: "4DEVTR” minus B: “3DEV”).</w:t>
      </w:r>
      <w:bookmarkEnd w:id="89"/>
      <w:bookmarkEnd w:id="90"/>
    </w:p>
    <w:p w14:paraId="41350F84" w14:textId="77777777" w:rsidR="00485A6B" w:rsidRPr="00723DA9" w:rsidRDefault="00485A6B" w:rsidP="00966FCE">
      <w:pPr>
        <w:spacing w:after="0" w:line="360" w:lineRule="auto"/>
        <w:ind w:firstLine="360"/>
        <w:rPr>
          <w:rFonts w:ascii="Times New Roman" w:hAnsi="Times New Roman" w:cs="Times New Roman"/>
          <w:noProof/>
          <w:sz w:val="24"/>
          <w:szCs w:val="24"/>
        </w:rPr>
      </w:pPr>
    </w:p>
    <w:p w14:paraId="39FB83AD" w14:textId="2C265B33" w:rsidR="00C56823" w:rsidRPr="00723DA9" w:rsidRDefault="00C56823" w:rsidP="00A67154">
      <w:pPr>
        <w:pStyle w:val="Heading3"/>
        <w:numPr>
          <w:ilvl w:val="2"/>
          <w:numId w:val="18"/>
        </w:numPr>
        <w:spacing w:before="160" w:after="160" w:line="480" w:lineRule="auto"/>
        <w:rPr>
          <w:rFonts w:ascii="Times New Roman" w:hAnsi="Times New Roman" w:cs="Times New Roman"/>
          <w:b/>
          <w:bCs/>
          <w:i/>
          <w:iCs/>
          <w:color w:val="auto"/>
        </w:rPr>
      </w:pPr>
      <w:bookmarkStart w:id="91" w:name="OLE_LINK97"/>
      <w:bookmarkStart w:id="92" w:name="OLE_LINK96"/>
      <w:bookmarkStart w:id="93" w:name="_Toc21623988"/>
      <w:r w:rsidRPr="00723DA9">
        <w:rPr>
          <w:rFonts w:ascii="Times New Roman" w:hAnsi="Times New Roman" w:cs="Times New Roman"/>
          <w:b/>
          <w:bCs/>
          <w:i/>
          <w:iCs/>
          <w:color w:val="auto"/>
        </w:rPr>
        <w:t xml:space="preserve">Investigation of intensity </w:t>
      </w:r>
      <w:bookmarkEnd w:id="91"/>
      <w:bookmarkEnd w:id="92"/>
      <w:r w:rsidRPr="00723DA9">
        <w:rPr>
          <w:rFonts w:ascii="Times New Roman" w:hAnsi="Times New Roman" w:cs="Times New Roman"/>
          <w:b/>
          <w:bCs/>
          <w:i/>
          <w:iCs/>
          <w:color w:val="auto"/>
        </w:rPr>
        <w:t>forecast improvement over the operational HWRF</w:t>
      </w:r>
      <w:bookmarkEnd w:id="93"/>
    </w:p>
    <w:p w14:paraId="00F74E8E" w14:textId="77777777"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As stated in the introduction, this subsection explores the potential of the newly developed DA system to improve the intensity forecast by comparing the analyzed TC structure with that from the operational HWRF where </w:t>
      </w:r>
      <w:r w:rsidRPr="00723DA9">
        <w:rPr>
          <w:rFonts w:ascii="Times New Roman" w:eastAsia="宋体" w:hAnsi="Times New Roman" w:cs="Times New Roman"/>
          <w:sz w:val="24"/>
          <w:szCs w:val="24"/>
        </w:rPr>
        <w:t xml:space="preserve">negative Vmax bias </w:t>
      </w:r>
      <w:r w:rsidRPr="00723DA9">
        <w:rPr>
          <w:rFonts w:ascii="Times New Roman" w:hAnsi="Times New Roman" w:cs="Times New Roman"/>
          <w:sz w:val="24"/>
          <w:szCs w:val="24"/>
        </w:rPr>
        <w:t xml:space="preserve">occurred during the intensification of Edouard. </w:t>
      </w:r>
    </w:p>
    <w:p w14:paraId="2A8D54BC" w14:textId="2C7BEF75" w:rsidR="00C56823"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Fig. </w:t>
      </w:r>
      <w:r w:rsidR="00B10A9C" w:rsidRPr="00723DA9">
        <w:rPr>
          <w:rFonts w:ascii="Times New Roman" w:hAnsi="Times New Roman" w:cs="Times New Roman"/>
          <w:sz w:val="24"/>
          <w:szCs w:val="24"/>
        </w:rPr>
        <w:t>3.6</w:t>
      </w:r>
      <w:r w:rsidRPr="00723DA9">
        <w:rPr>
          <w:rFonts w:ascii="Times New Roman" w:hAnsi="Times New Roman" w:cs="Times New Roman"/>
          <w:sz w:val="24"/>
          <w:szCs w:val="24"/>
        </w:rPr>
        <w:t xml:space="preserve"> shows the Track, RMW, MSLP and Vmax forecast errors averaged over the 32 cycles from the operational HWRF. </w:t>
      </w:r>
      <w:r w:rsidR="00B10A9C" w:rsidRPr="00723DA9">
        <w:rPr>
          <w:rFonts w:ascii="Times New Roman" w:hAnsi="Times New Roman" w:cs="Times New Roman"/>
          <w:sz w:val="24"/>
          <w:szCs w:val="24"/>
        </w:rPr>
        <w:t xml:space="preserve"> </w:t>
      </w:r>
      <w:r w:rsidRPr="00723DA9">
        <w:rPr>
          <w:rFonts w:ascii="Times New Roman" w:hAnsi="Times New Roman" w:cs="Times New Roman"/>
          <w:sz w:val="24"/>
          <w:szCs w:val="24"/>
        </w:rPr>
        <w:t>The performance of track forecasts measured in absolute errors between 4DEVTR and the 2014 operational HWRF are in general mixed, where 4DEVTR performs better in the later lead times and worse in the earlier lead times.</w:t>
      </w:r>
      <w:r w:rsidR="00B10A9C"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4DEVTR generally produces better size forecasts as compared to the operational HWRF except the first 18 hours (Fig. </w:t>
      </w:r>
      <w:r w:rsidR="00B10A9C" w:rsidRPr="00723DA9">
        <w:rPr>
          <w:rFonts w:ascii="Times New Roman" w:hAnsi="Times New Roman" w:cs="Times New Roman"/>
          <w:sz w:val="24"/>
          <w:szCs w:val="24"/>
        </w:rPr>
        <w:t>3.6</w:t>
      </w:r>
      <w:r w:rsidRPr="00723DA9">
        <w:rPr>
          <w:rFonts w:ascii="Times New Roman" w:hAnsi="Times New Roman" w:cs="Times New Roman"/>
          <w:sz w:val="24"/>
          <w:szCs w:val="24"/>
        </w:rPr>
        <w:t xml:space="preserve">b). </w:t>
      </w:r>
      <w:r w:rsidR="00B10A9C"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slightly larger initial RMW of 4DEVTR has been discussed in </w:t>
      </w:r>
      <w:r w:rsidR="009913D0"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9913D0" w:rsidRPr="00723DA9">
        <w:rPr>
          <w:rFonts w:ascii="Times New Roman" w:hAnsi="Times New Roman" w:cs="Times New Roman"/>
          <w:sz w:val="24"/>
          <w:szCs w:val="24"/>
        </w:rPr>
        <w:t>3.3.3</w:t>
      </w:r>
      <w:r w:rsidRPr="00723DA9">
        <w:rPr>
          <w:rFonts w:ascii="Times New Roman" w:hAnsi="Times New Roman" w:cs="Times New Roman"/>
          <w:sz w:val="24"/>
          <w:szCs w:val="24"/>
        </w:rPr>
        <w:t xml:space="preserve"> due to the ambiguity of identifying the RMW when realistic double eyewall is captured in 4DEVTR. Significant improvements in both MSLP and Vmax forecasts are found in 4DEVTR compared to the operational HWRF in terms of both absolute errors and biases (Fig. </w:t>
      </w:r>
      <w:r w:rsidR="00D8076A" w:rsidRPr="00723DA9">
        <w:rPr>
          <w:rFonts w:ascii="Times New Roman" w:hAnsi="Times New Roman" w:cs="Times New Roman"/>
          <w:sz w:val="24"/>
          <w:szCs w:val="24"/>
        </w:rPr>
        <w:t>3.6</w:t>
      </w:r>
      <w:r w:rsidRPr="00723DA9">
        <w:rPr>
          <w:rFonts w:ascii="Times New Roman" w:hAnsi="Times New Roman" w:cs="Times New Roman"/>
          <w:sz w:val="24"/>
          <w:szCs w:val="24"/>
        </w:rPr>
        <w:t>c-f).</w:t>
      </w:r>
      <w:r w:rsidR="00D8076A"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The only exception is the slightly worse Vmax at the analysis time, which can be attributed to not using VI for the TDR-involved cycles in 4DEVTR. </w:t>
      </w:r>
      <w:r w:rsidR="00D8076A"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Specifically, 4DEVTR improves the 0-120 h MSLP forecast and the 8-120 h Vmax forecasts as compared with the operational HWRF.  </w:t>
      </w:r>
    </w:p>
    <w:p w14:paraId="792306EB" w14:textId="1BA6243A" w:rsidR="00D8076A" w:rsidRPr="00723DA9" w:rsidRDefault="00D8076A" w:rsidP="00966FCE">
      <w:pPr>
        <w:spacing w:after="0" w:line="360" w:lineRule="auto"/>
        <w:jc w:val="center"/>
        <w:rPr>
          <w:rFonts w:ascii="Times New Roman" w:eastAsia="宋体" w:hAnsi="Times New Roman" w:cs="Times New Roman"/>
          <w:noProof/>
          <w:sz w:val="24"/>
          <w:szCs w:val="24"/>
        </w:rPr>
      </w:pPr>
      <w:r w:rsidRPr="00723DA9">
        <w:rPr>
          <w:rFonts w:ascii="Times New Roman" w:hAnsi="Times New Roman" w:cs="Times New Roman"/>
          <w:noProof/>
        </w:rPr>
        <w:lastRenderedPageBreak/>
        <w:drawing>
          <wp:inline distT="0" distB="0" distL="0" distR="0" wp14:anchorId="668E38B9" wp14:editId="302D6AE3">
            <wp:extent cx="3968327" cy="7863840"/>
            <wp:effectExtent l="0" t="0" r="0" b="3810"/>
            <wp:docPr id="10" name="Picture 10" descr="Fig9-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9-ne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8327" cy="7863840"/>
                    </a:xfrm>
                    <a:prstGeom prst="rect">
                      <a:avLst/>
                    </a:prstGeom>
                    <a:noFill/>
                    <a:ln>
                      <a:noFill/>
                    </a:ln>
                  </pic:spPr>
                </pic:pic>
              </a:graphicData>
            </a:graphic>
          </wp:inline>
        </w:drawing>
      </w:r>
    </w:p>
    <w:p w14:paraId="4FCD4CEC" w14:textId="6C60DCB9" w:rsidR="00D8076A" w:rsidRPr="00723DA9" w:rsidRDefault="00305E16" w:rsidP="00966FCE">
      <w:pPr>
        <w:pStyle w:val="Captions"/>
        <w:spacing w:after="0"/>
        <w:rPr>
          <w:rFonts w:cs="Times New Roman"/>
        </w:rPr>
      </w:pPr>
      <w:bookmarkStart w:id="94" w:name="_Toc21624039"/>
      <w:r w:rsidRPr="00723DA9">
        <w:rPr>
          <w:rFonts w:cs="Times New Roman"/>
        </w:rPr>
        <w:t>Figure 3.</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7</w:t>
      </w:r>
      <w:r w:rsidR="00771F99" w:rsidRPr="00723DA9">
        <w:rPr>
          <w:rFonts w:cs="Times New Roman"/>
          <w:noProof/>
        </w:rPr>
        <w:fldChar w:fldCharType="end"/>
      </w:r>
      <w:r w:rsidR="00D8076A" w:rsidRPr="00723DA9">
        <w:rPr>
          <w:rFonts w:cs="Times New Roman"/>
        </w:rPr>
        <w:t xml:space="preserve"> </w:t>
      </w:r>
      <w:bookmarkStart w:id="95" w:name="_Hlk495407351"/>
      <w:bookmarkStart w:id="96" w:name="_Hlk495407366"/>
      <w:r w:rsidR="00D8076A" w:rsidRPr="00723DA9">
        <w:rPr>
          <w:rFonts w:cs="Times New Roman"/>
        </w:rPr>
        <w:t xml:space="preserve">(a) MSLP and (b) Vmax forecasts for all missions during Edouard for the operational HWRF </w:t>
      </w:r>
      <w:r w:rsidR="00D8076A" w:rsidRPr="00723DA9">
        <w:rPr>
          <w:rFonts w:cs="Times New Roman"/>
        </w:rPr>
        <w:lastRenderedPageBreak/>
        <w:t xml:space="preserve">(red), 4DEVTR (blue) and best track (black).  The dashed lines denote the forecasts initialized from each DA cycle and the solid lines denote the </w:t>
      </w:r>
      <w:bookmarkStart w:id="97" w:name="_Hlk495065096"/>
      <w:r w:rsidR="00D8076A" w:rsidRPr="00723DA9">
        <w:rPr>
          <w:rFonts w:cs="Times New Roman"/>
        </w:rPr>
        <w:t>multi-forecast</w:t>
      </w:r>
      <w:bookmarkEnd w:id="97"/>
      <w:r w:rsidR="00D8076A" w:rsidRPr="00723DA9">
        <w:rPr>
          <w:rFonts w:cs="Times New Roman"/>
        </w:rPr>
        <w:t xml:space="preserve"> average valid at the same time.  The (c) MSLP and (d) Vmax forecast error bias during the intensifying period (Vmax change &gt; 20kt 24h</w:t>
      </w:r>
      <w:r w:rsidR="00D8076A" w:rsidRPr="00723DA9">
        <w:rPr>
          <w:rFonts w:cs="Times New Roman"/>
          <w:vertAlign w:val="superscript"/>
        </w:rPr>
        <w:t>-1</w:t>
      </w:r>
      <w:r w:rsidR="00D8076A" w:rsidRPr="00723DA9">
        <w:rPr>
          <w:rFonts w:cs="Times New Roman"/>
        </w:rPr>
        <w:t>) between 1200 UTC 13 September 2014 to 0600 UTC 15 September 2014 are given. The (e), (g) MSLP and (f), (h) Vmax forecast for 10</w:t>
      </w:r>
      <w:r w:rsidR="00D8076A" w:rsidRPr="00723DA9">
        <w:rPr>
          <w:rFonts w:cs="Times New Roman"/>
          <w:vertAlign w:val="superscript"/>
        </w:rPr>
        <w:t>th</w:t>
      </w:r>
      <w:r w:rsidR="00D8076A" w:rsidRPr="00723DA9">
        <w:rPr>
          <w:rFonts w:cs="Times New Roman"/>
        </w:rPr>
        <w:t xml:space="preserve"> cycle at 0000 UTC (third row) and 11</w:t>
      </w:r>
      <w:r w:rsidR="00D8076A" w:rsidRPr="00723DA9">
        <w:rPr>
          <w:rFonts w:cs="Times New Roman"/>
          <w:vertAlign w:val="superscript"/>
        </w:rPr>
        <w:t>th</w:t>
      </w:r>
      <w:r w:rsidR="00D8076A" w:rsidRPr="00723DA9">
        <w:rPr>
          <w:rFonts w:cs="Times New Roman"/>
        </w:rPr>
        <w:t xml:space="preserve"> cycle at 0600 UTC (fourth row) 14 September 2014 are also given.</w:t>
      </w:r>
      <w:bookmarkEnd w:id="94"/>
      <w:bookmarkEnd w:id="95"/>
      <w:bookmarkEnd w:id="96"/>
    </w:p>
    <w:p w14:paraId="24E8FFD9" w14:textId="77777777" w:rsidR="0083574D" w:rsidRPr="00723DA9" w:rsidRDefault="0083574D" w:rsidP="0083574D">
      <w:pPr>
        <w:pStyle w:val="Captions"/>
        <w:spacing w:after="0"/>
        <w:rPr>
          <w:rFonts w:eastAsia="宋体" w:cs="Times New Roman"/>
        </w:rPr>
      </w:pPr>
    </w:p>
    <w:p w14:paraId="23AFE5CB" w14:textId="77777777" w:rsidR="0009534B" w:rsidRPr="00723DA9" w:rsidRDefault="0009534B" w:rsidP="0009534B">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Figure 3.7, which superposes all the deterministic MSLP and Vmax forecasts during Edouard (Fig. 3.7a and Fig. 3.7b), shows that the improvements in the forecasts from 4DEVTR primarily occur during the intensifying period</w:t>
      </w:r>
      <w:r w:rsidRPr="007A1DFF">
        <w:rPr>
          <w:rStyle w:val="FootnoteReference"/>
        </w:rPr>
        <w:footnoteReference w:id="4"/>
      </w:r>
      <w:r w:rsidRPr="00723DA9">
        <w:rPr>
          <w:rFonts w:ascii="Times New Roman" w:hAnsi="Times New Roman" w:cs="Times New Roman"/>
          <w:sz w:val="24"/>
          <w:szCs w:val="24"/>
          <w:vertAlign w:val="superscript"/>
        </w:rPr>
        <w:t>,</w:t>
      </w:r>
      <w:r w:rsidRPr="007A1DFF">
        <w:rPr>
          <w:rStyle w:val="FootnoteReference"/>
        </w:rPr>
        <w:footnoteReference w:id="5"/>
      </w:r>
      <w:r w:rsidRPr="00723DA9">
        <w:rPr>
          <w:rFonts w:ascii="Times New Roman" w:hAnsi="Times New Roman" w:cs="Times New Roman"/>
          <w:sz w:val="24"/>
          <w:szCs w:val="24"/>
        </w:rPr>
        <w:t xml:space="preserve">.  Fig. 3.7c-d shows that 4DEVTR significantly alleviated the </w:t>
      </w:r>
      <w:bookmarkStart w:id="98" w:name="OLE_LINK12"/>
      <w:bookmarkStart w:id="99" w:name="OLE_LINK11"/>
      <w:r w:rsidRPr="00723DA9">
        <w:rPr>
          <w:rFonts w:ascii="Times New Roman" w:hAnsi="Times New Roman" w:cs="Times New Roman"/>
          <w:sz w:val="24"/>
          <w:szCs w:val="24"/>
        </w:rPr>
        <w:t xml:space="preserve">weak biases </w:t>
      </w:r>
      <w:bookmarkEnd w:id="98"/>
      <w:bookmarkEnd w:id="99"/>
      <w:r w:rsidRPr="00723DA9">
        <w:rPr>
          <w:rFonts w:ascii="Times New Roman" w:hAnsi="Times New Roman" w:cs="Times New Roman"/>
          <w:sz w:val="24"/>
          <w:szCs w:val="24"/>
        </w:rPr>
        <w:t>in the operational HWRF that resulted from slow or delayed intensification early in the forecast.  Examples of two consecutive DA cycles during the intensifying period from 0000 UTC and 0600 UTC on Sep. 14</w:t>
      </w:r>
      <w:r w:rsidRPr="00723DA9">
        <w:rPr>
          <w:rFonts w:ascii="Times New Roman" w:hAnsi="Times New Roman" w:cs="Times New Roman"/>
          <w:sz w:val="24"/>
          <w:szCs w:val="24"/>
          <w:vertAlign w:val="superscript"/>
        </w:rPr>
        <w:t>th</w:t>
      </w:r>
      <w:r w:rsidRPr="00723DA9">
        <w:rPr>
          <w:rFonts w:ascii="Times New Roman" w:hAnsi="Times New Roman" w:cs="Times New Roman"/>
          <w:sz w:val="24"/>
          <w:szCs w:val="24"/>
        </w:rPr>
        <w:t xml:space="preserve">, 2014 are given in Fig. 3.7e-h.  Since 4DEVTR uses the same physics as the operational HWRF (except the ocean coupling, which testing revealed to not impact results, not shown), the improvement seen here is likely a result of the upgraded DA system relative to the operational HWRF. </w:t>
      </w:r>
    </w:p>
    <w:p w14:paraId="7A0C5294" w14:textId="56ED923C"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Figure </w:t>
      </w:r>
      <w:r w:rsidR="00D8076A" w:rsidRPr="00723DA9">
        <w:rPr>
          <w:rFonts w:ascii="Times New Roman" w:hAnsi="Times New Roman" w:cs="Times New Roman"/>
          <w:sz w:val="24"/>
          <w:szCs w:val="24"/>
        </w:rPr>
        <w:t>3.8</w:t>
      </w:r>
      <w:r w:rsidRPr="00723DA9">
        <w:rPr>
          <w:rFonts w:ascii="Times New Roman" w:hAnsi="Times New Roman" w:cs="Times New Roman"/>
          <w:sz w:val="24"/>
          <w:szCs w:val="24"/>
        </w:rPr>
        <w:t xml:space="preserve"> shows the time-averaged azimuth mean of inertial stability, radial wind and tangential wind for the analyses and 12h forecasts during the intensifying period of Edouard for both 4DEVTR and the operational HWRF.  The inertial stability is calculated following</w:t>
      </w:r>
      <w:r w:rsidR="00574EF2" w:rsidRPr="00723DA9">
        <w:rPr>
          <w:rFonts w:ascii="Times New Roman" w:hAnsi="Times New Roman" w:cs="Times New Roman"/>
          <w:sz w:val="24"/>
          <w:szCs w:val="24"/>
        </w:rPr>
        <w:t xml:space="preserve"> </w:t>
      </w:r>
      <w:r w:rsidR="00574EF2" w:rsidRPr="00723DA9">
        <w:rPr>
          <w:rFonts w:ascii="Times New Roman" w:hAnsi="Times New Roman" w:cs="Times New Roman"/>
          <w:sz w:val="24"/>
          <w:szCs w:val="24"/>
        </w:rPr>
        <w:fldChar w:fldCharType="begin" w:fldLock="1"/>
      </w:r>
      <w:r w:rsidR="00574EF2" w:rsidRPr="00723DA9">
        <w:rPr>
          <w:rFonts w:ascii="Times New Roman" w:hAnsi="Times New Roman" w:cs="Times New Roman"/>
          <w:sz w:val="24"/>
          <w:szCs w:val="24"/>
        </w:rPr>
        <w:instrText>ADDIN CSL_CITATION {"citationItems":[{"id":"ITEM-1","itemData":{"DOI":"10.1175/1520-0469(1982)039&lt;1687:ISATCD&gt;2.0.CO;2","ISSN":"0022-4928","abstract":"Abstract We consider the frictionless, axisymmetric, balanced flow occurring in a thermally forced vortex on an f-plane. Following Eliassen (1952) we derive the diagnostic equation for the forced secondary circulation. This equation contains the spatially varying coefficients A (static stability), B (baroclinity), C (inertial stability), and the thermal forcing Q. Assuming that A is a constant, B = 0, and that C and Q are piecewise constant functions of radius, we obtain analytical solutions for the forced secondary circulation. The solutions illustrate the following points. 1) For a given Q an increase in inertial stability leads to a decrease in the forced secondary circulation and a change in the radial distribution of local temperature change, with enhanced ∂θ/∂t; in the region of high inertial stability. 2) Lower tropospheric tangential wind accelerations are larger inside the radius of maximum wind, which leads to a collapse of the radius of maximum wind. 3) The fraction of Q which ends up as ∂θ/∂t;...","author":[{"dropping-particle":"","family":"Schubert","given":"Wayne H.","non-dropping-particle":"","parse-names":false,"suffix":""},{"dropping-particle":"","family":"Hack","given":"James J.","non-dropping-particle":"","parse-names":false,"suffix":""}],"container-title":"Journal of the Atmospheric Sciences","id":"ITEM-1","issue":"8","issued":{"date-parts":[["1982"]]},"page":"1687-1697","title":"Inertial Stability and Tropical Cyclone Development","type":"article","volume":"39"},"uris":["http://www.mendeley.com/documents/?uuid=c007ff27-e749-4e72-a335-ebf3c586a5bb"]}],"mendeley":{"formattedCitation":"(Schubert and Hack 1982)","manualFormatting":"Schubert and Hack (1982)","plainTextFormattedCitation":"(Schubert and Hack 1982)","previouslyFormattedCitation":"(Schubert and Hack 1982)"},"properties":{"noteIndex":0},"schema":"https://github.com/citation-style-language/schema/raw/master/csl-citation.json"}</w:instrText>
      </w:r>
      <w:r w:rsidR="00574EF2" w:rsidRPr="00723DA9">
        <w:rPr>
          <w:rFonts w:ascii="Times New Roman" w:hAnsi="Times New Roman" w:cs="Times New Roman"/>
          <w:sz w:val="24"/>
          <w:szCs w:val="24"/>
        </w:rPr>
        <w:fldChar w:fldCharType="separate"/>
      </w:r>
      <w:r w:rsidR="00574EF2" w:rsidRPr="00723DA9">
        <w:rPr>
          <w:rFonts w:ascii="Times New Roman" w:hAnsi="Times New Roman" w:cs="Times New Roman"/>
          <w:noProof/>
          <w:sz w:val="24"/>
          <w:szCs w:val="24"/>
        </w:rPr>
        <w:t>Schubert and Hack (1982)</w:t>
      </w:r>
      <w:r w:rsidR="00574EF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t>
      </w:r>
      <w:r w:rsidR="00574EF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In general, the analyses from 4DEVTR (Fig. </w:t>
      </w:r>
      <w:r w:rsidR="00D8076A" w:rsidRPr="00723DA9">
        <w:rPr>
          <w:rFonts w:ascii="Times New Roman" w:hAnsi="Times New Roman" w:cs="Times New Roman"/>
          <w:sz w:val="24"/>
          <w:szCs w:val="24"/>
        </w:rPr>
        <w:t>3.8</w:t>
      </w:r>
      <w:r w:rsidRPr="00723DA9">
        <w:rPr>
          <w:rFonts w:ascii="Times New Roman" w:hAnsi="Times New Roman" w:cs="Times New Roman"/>
          <w:sz w:val="24"/>
          <w:szCs w:val="24"/>
        </w:rPr>
        <w:t xml:space="preserve">a) have stronger inertial stability, a smaller RMW, shallower inflow depth and stronger tangential wind compared with the analyses from the operational HWRF (Fig. </w:t>
      </w:r>
      <w:r w:rsidR="00D8076A" w:rsidRPr="00723DA9">
        <w:rPr>
          <w:rFonts w:ascii="Times New Roman" w:hAnsi="Times New Roman" w:cs="Times New Roman"/>
          <w:sz w:val="24"/>
          <w:szCs w:val="24"/>
        </w:rPr>
        <w:t>3.8</w:t>
      </w:r>
      <w:r w:rsidRPr="00723DA9">
        <w:rPr>
          <w:rFonts w:ascii="Times New Roman" w:hAnsi="Times New Roman" w:cs="Times New Roman"/>
          <w:sz w:val="24"/>
          <w:szCs w:val="24"/>
        </w:rPr>
        <w:t xml:space="preserve">d). </w:t>
      </w:r>
      <w:r w:rsidR="00D8076A"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 high inner-core inertial stability analyses are known to favor intensification </w:t>
      </w:r>
      <w:r w:rsidR="00574EF2" w:rsidRPr="00723DA9">
        <w:rPr>
          <w:rFonts w:ascii="Times New Roman" w:hAnsi="Times New Roman" w:cs="Times New Roman"/>
          <w:sz w:val="24"/>
          <w:szCs w:val="24"/>
        </w:rPr>
        <w:fldChar w:fldCharType="begin" w:fldLock="1"/>
      </w:r>
      <w:r w:rsidR="00574EF2" w:rsidRPr="00723DA9">
        <w:rPr>
          <w:rFonts w:ascii="Times New Roman" w:hAnsi="Times New Roman" w:cs="Times New Roman"/>
          <w:sz w:val="24"/>
          <w:szCs w:val="24"/>
        </w:rPr>
        <w:instrText>ADDIN CSL_CITATION {"citationItems":[{"id":"ITEM-1","itemData":{"DOI":"10.1175/1520-0469(1982)039&lt;1687:ISATCD&gt;2.0.CO;2","ISSN":"0022-4928","abstract":"Abstract We consider the frictionless, axisymmetric, balanced flow occurring in a thermally forced vortex on an f-plane. Following Eliassen (1952) we derive the diagnostic equation for the forced secondary circulation. This equation contains the spatially varying coefficients A (static stability), B (baroclinity), C (inertial stability), and the thermal forcing Q. Assuming that A is a constant, B = 0, and that C and Q are piecewise constant functions of radius, we obtain analytical solutions for the forced secondary circulation. The solutions illustrate the following points. 1) For a given Q an increase in inertial stability leads to a decrease in the forced secondary circulation and a change in the radial distribution of local temperature change, with enhanced ∂θ/∂t; in the region of high inertial stability. 2) Lower tropospheric tangential wind accelerations are larger inside the radius of maximum wind, which leads to a collapse of the radius of maximum wind. 3) The fraction of Q which ends up as ∂θ/∂t;...","author":[{"dropping-particle":"","family":"Schubert","given":"Wayne H.","non-dropping-particle":"","parse-names":false,"suffix":""},{"dropping-particle":"","family":"Hack","given":"James J.","non-dropping-particle":"","parse-names":false,"suffix":""}],"container-title":"Journal of the Atmospheric Sciences","id":"ITEM-1","issue":"8","issued":{"date-parts":[["1982"]]},"page":"1687-1697","title":"Inertial Stability and Tropical Cyclone Development","type":"article","volume":"39"},"uris":["http://www.mendeley.com/documents/?uuid=c007ff27-e749-4e72-a335-ebf3c586a5bb"]},{"id":"ITEM-2","itemData":{"author":[{"dropping-particle":"","family":"Holland","given":"G","non-dropping-particle":"","parse-names":false,"suffix":""},{"dropping-particle":"","family":"Merrill","given":"Rt","non-dropping-particle":"","parse-names":false,"suffix":""}],"container-title":"Quarterly Journal of the Royal Meteorological Society","id":"ITEM-2","issued":{"date-parts":[["1984"]]},"page":"723-745","title":"On the dynamics of tropical cyclone structural changes","type":"article-journal","volume":"110"},"uris":["http://www.mendeley.com/documents/?uuid=6cc6cf46-d11e-4a73-8085-15130d680d59"]},{"id":"ITEM-3","itemData":{"author":[{"dropping-particle":"","family":"Hack","given":"Jamse J.","non-dropping-particle":"","parse-names":false,"suffix":""},{"dropping-particle":"","family":"Schubert","given":"Wayne H.","non-dropping-particle":"","parse-names":false,"suffix":""}],"container-title":"Journal of the Atmospheric Sciences","id":"ITEM-3","issue":"15","issued":{"date-parts":[["1986"]]},"page":"1559-1573","title":"Nonlinear Response of Atmospheric Vortices to Heating by Organized Cumulus Convection","type":"article-journal","volume":"43"},"uris":["http://www.mendeley.com/documents/?uuid=108911b9-62df-484b-83c0-07996d5718cc"]}],"mendeley":{"formattedCitation":"(Schubert and Hack 1982; Holland and Merrill 1984; Hack and Schubert 1986)","plainTextFormattedCitation":"(Schubert and Hack 1982; Holland and Merrill 1984; Hack and Schubert 1986)","previouslyFormattedCitation":"(Schubert and Hack 1982; Holland and Merrill 1984; Hack and Schubert 1986)"},"properties":{"noteIndex":0},"schema":"https://github.com/citation-style-language/schema/raw/master/csl-citation.json"}</w:instrText>
      </w:r>
      <w:r w:rsidR="00574EF2" w:rsidRPr="00723DA9">
        <w:rPr>
          <w:rFonts w:ascii="Times New Roman" w:hAnsi="Times New Roman" w:cs="Times New Roman"/>
          <w:sz w:val="24"/>
          <w:szCs w:val="24"/>
        </w:rPr>
        <w:fldChar w:fldCharType="separate"/>
      </w:r>
      <w:r w:rsidR="00574EF2" w:rsidRPr="00723DA9">
        <w:rPr>
          <w:rFonts w:ascii="Times New Roman" w:hAnsi="Times New Roman" w:cs="Times New Roman"/>
          <w:noProof/>
          <w:sz w:val="24"/>
          <w:szCs w:val="24"/>
        </w:rPr>
        <w:t>(Schubert and Hack 1982; Holland and Merrill 1984; Hack and Schubert 1986)</w:t>
      </w:r>
      <w:r w:rsidR="00574EF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and the consistently strong inertial stability </w:t>
      </w:r>
      <w:bookmarkStart w:id="100" w:name="OLE_LINK99"/>
      <w:r w:rsidRPr="00723DA9">
        <w:rPr>
          <w:rFonts w:ascii="Times New Roman" w:hAnsi="Times New Roman" w:cs="Times New Roman"/>
          <w:sz w:val="24"/>
          <w:szCs w:val="24"/>
        </w:rPr>
        <w:t xml:space="preserve">in 4DEVTR </w:t>
      </w:r>
      <w:bookmarkEnd w:id="100"/>
      <w:r w:rsidRPr="00723DA9">
        <w:rPr>
          <w:rFonts w:ascii="Times New Roman" w:hAnsi="Times New Roman" w:cs="Times New Roman"/>
          <w:sz w:val="24"/>
          <w:szCs w:val="24"/>
        </w:rPr>
        <w:t xml:space="preserve">during the first 12 hours is consistent with a continuous increase of the intensity of the storm initialized by </w:t>
      </w:r>
      <w:r w:rsidRPr="00723DA9">
        <w:rPr>
          <w:rFonts w:ascii="Times New Roman" w:hAnsi="Times New Roman" w:cs="Times New Roman"/>
          <w:sz w:val="24"/>
          <w:szCs w:val="24"/>
        </w:rPr>
        <w:lastRenderedPageBreak/>
        <w:t xml:space="preserve">4DEVTR during the intensifying period of Edouard. </w:t>
      </w:r>
      <w:r w:rsidR="00574EF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These features are also consistent with findings from individual cycles such as those in Fig. </w:t>
      </w:r>
      <w:r w:rsidR="00574EF2" w:rsidRPr="00723DA9">
        <w:rPr>
          <w:rFonts w:ascii="Times New Roman" w:hAnsi="Times New Roman" w:cs="Times New Roman"/>
          <w:sz w:val="24"/>
          <w:szCs w:val="24"/>
        </w:rPr>
        <w:t>3.7</w:t>
      </w:r>
      <w:r w:rsidRPr="00723DA9">
        <w:rPr>
          <w:rFonts w:ascii="Times New Roman" w:hAnsi="Times New Roman" w:cs="Times New Roman"/>
          <w:sz w:val="24"/>
          <w:szCs w:val="24"/>
        </w:rPr>
        <w:t xml:space="preserve">. </w:t>
      </w:r>
      <w:r w:rsidR="00574EF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On the contrary, the analyses from the operational HWRF show weaker inertial stability, larger RMW and weaker tangential wind in general (Fig. </w:t>
      </w:r>
      <w:r w:rsidR="00574EF2" w:rsidRPr="00723DA9">
        <w:rPr>
          <w:rFonts w:ascii="Times New Roman" w:hAnsi="Times New Roman" w:cs="Times New Roman"/>
          <w:sz w:val="24"/>
          <w:szCs w:val="24"/>
        </w:rPr>
        <w:t>3.8</w:t>
      </w:r>
      <w:r w:rsidRPr="00723DA9">
        <w:rPr>
          <w:rFonts w:ascii="Times New Roman" w:hAnsi="Times New Roman" w:cs="Times New Roman"/>
          <w:sz w:val="24"/>
          <w:szCs w:val="24"/>
        </w:rPr>
        <w:t>d)</w:t>
      </w:r>
      <w:r w:rsidRPr="00723DA9">
        <w:rPr>
          <w:rFonts w:ascii="Times New Roman" w:eastAsia="宋体" w:hAnsi="Times New Roman" w:cs="Times New Roman"/>
          <w:sz w:val="24"/>
          <w:szCs w:val="24"/>
        </w:rPr>
        <w:t xml:space="preserve">. </w:t>
      </w:r>
      <w:r w:rsidR="00574EF2"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Therefore, </w:t>
      </w:r>
      <w:r w:rsidRPr="00723DA9">
        <w:rPr>
          <w:rFonts w:ascii="Times New Roman" w:hAnsi="Times New Roman" w:cs="Times New Roman"/>
          <w:sz w:val="24"/>
          <w:szCs w:val="24"/>
        </w:rPr>
        <w:t xml:space="preserve">the storm analyzed by the operational HWRF is less likely to produce immediate intensifications compared to 4DEVTR. </w:t>
      </w:r>
    </w:p>
    <w:p w14:paraId="19AC007A" w14:textId="77777777" w:rsidR="0083574D" w:rsidRPr="00723DA9" w:rsidRDefault="0083574D" w:rsidP="0083574D">
      <w:pPr>
        <w:pStyle w:val="Captions"/>
        <w:spacing w:after="0"/>
        <w:rPr>
          <w:rFonts w:eastAsia="宋体" w:cs="Times New Roman"/>
        </w:rPr>
      </w:pPr>
    </w:p>
    <w:p w14:paraId="25695486" w14:textId="77777777" w:rsidR="00D8076A" w:rsidRPr="00723DA9" w:rsidRDefault="00D8076A" w:rsidP="00966FCE">
      <w:pPr>
        <w:pStyle w:val="Captions"/>
        <w:spacing w:after="0" w:line="360" w:lineRule="auto"/>
        <w:rPr>
          <w:rFonts w:eastAsia="宋体" w:cs="Times New Roman"/>
          <w:noProof/>
        </w:rPr>
      </w:pPr>
      <w:r w:rsidRPr="00723DA9">
        <w:rPr>
          <w:rFonts w:cs="Times New Roman"/>
          <w:noProof/>
        </w:rPr>
        <w:drawing>
          <wp:inline distT="0" distB="0" distL="0" distR="0" wp14:anchorId="24A71215" wp14:editId="386D6E32">
            <wp:extent cx="5924550" cy="4714875"/>
            <wp:effectExtent l="0" t="0" r="0" b="9525"/>
            <wp:docPr id="11" name="Picture 11" descr="Fig10-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10-ne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4550" cy="4714875"/>
                    </a:xfrm>
                    <a:prstGeom prst="rect">
                      <a:avLst/>
                    </a:prstGeom>
                    <a:noFill/>
                    <a:ln>
                      <a:noFill/>
                    </a:ln>
                  </pic:spPr>
                </pic:pic>
              </a:graphicData>
            </a:graphic>
          </wp:inline>
        </w:drawing>
      </w:r>
    </w:p>
    <w:p w14:paraId="54DC5B4A" w14:textId="4FABFD35" w:rsidR="00D8076A" w:rsidRPr="00723DA9" w:rsidRDefault="00305E16" w:rsidP="00966FCE">
      <w:pPr>
        <w:pStyle w:val="Captions"/>
        <w:spacing w:after="0"/>
        <w:rPr>
          <w:rFonts w:cs="Times New Roman"/>
        </w:rPr>
      </w:pPr>
      <w:bookmarkStart w:id="101" w:name="_Toc21624040"/>
      <w:r w:rsidRPr="00723DA9">
        <w:rPr>
          <w:rFonts w:cs="Times New Roman"/>
        </w:rPr>
        <w:t>Figure 3.</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8</w:t>
      </w:r>
      <w:r w:rsidR="00771F99" w:rsidRPr="00723DA9">
        <w:rPr>
          <w:rFonts w:cs="Times New Roman"/>
          <w:noProof/>
        </w:rPr>
        <w:fldChar w:fldCharType="end"/>
      </w:r>
      <w:r w:rsidR="00D8076A" w:rsidRPr="00723DA9">
        <w:rPr>
          <w:rFonts w:cs="Times New Roman"/>
        </w:rPr>
        <w:t xml:space="preserve"> Mean azimuth mean inertial stability (shading; </w:t>
      </w:r>
      <m:oMath>
        <m:sSup>
          <m:sSupPr>
            <m:ctrlPr>
              <w:rPr>
                <w:rFonts w:ascii="Cambria Math" w:eastAsia="Calibri" w:hAnsi="Cambria Math" w:cs="Times New Roman"/>
                <w:i/>
                <w:lang w:eastAsia="en-US"/>
              </w:rPr>
            </m:ctrlPr>
          </m:sSupPr>
          <m:e>
            <m:r>
              <m:rPr>
                <m:sty m:val="bi"/>
              </m:rPr>
              <w:rPr>
                <w:rFonts w:ascii="Cambria Math" w:hAnsi="Cambria Math" w:cs="Times New Roman"/>
              </w:rPr>
              <m:t>10</m:t>
            </m:r>
          </m:e>
          <m:sup>
            <m:r>
              <m:rPr>
                <m:sty m:val="bi"/>
              </m:rPr>
              <w:rPr>
                <w:rFonts w:ascii="Cambria Math" w:hAnsi="Cambria Math" w:cs="Times New Roman"/>
              </w:rPr>
              <m:t>-6</m:t>
            </m:r>
          </m:sup>
        </m:sSup>
        <m:sSup>
          <m:sSupPr>
            <m:ctrlPr>
              <w:rPr>
                <w:rFonts w:ascii="Cambria Math" w:eastAsia="Calibri" w:hAnsi="Cambria Math" w:cs="Times New Roman"/>
                <w:i/>
                <w:lang w:eastAsia="en-US"/>
              </w:rPr>
            </m:ctrlPr>
          </m:sSupPr>
          <m:e>
            <m:r>
              <m:rPr>
                <m:sty m:val="bi"/>
              </m:rPr>
              <w:rPr>
                <w:rFonts w:ascii="Cambria Math" w:hAnsi="Cambria Math" w:cs="Times New Roman"/>
              </w:rPr>
              <m:t>s</m:t>
            </m:r>
          </m:e>
          <m:sup>
            <m:r>
              <m:rPr>
                <m:sty m:val="bi"/>
              </m:rPr>
              <w:rPr>
                <w:rFonts w:ascii="Cambria Math" w:hAnsi="Cambria Math" w:cs="Times New Roman"/>
              </w:rPr>
              <m:t>-2</m:t>
            </m:r>
          </m:sup>
        </m:sSup>
      </m:oMath>
      <w:r w:rsidR="00D8076A" w:rsidRPr="00723DA9">
        <w:rPr>
          <w:rFonts w:cs="Times New Roman"/>
        </w:rPr>
        <w:t>), radial wind (</w:t>
      </w:r>
      <w:bookmarkStart w:id="102" w:name="_Hlk486004035"/>
      <w:r w:rsidR="00D8076A" w:rsidRPr="00723DA9">
        <w:rPr>
          <w:rFonts w:cs="Times New Roman"/>
        </w:rPr>
        <w:t xml:space="preserve">purple </w:t>
      </w:r>
      <w:bookmarkEnd w:id="102"/>
      <w:r w:rsidR="00D8076A" w:rsidRPr="00723DA9">
        <w:rPr>
          <w:rFonts w:cs="Times New Roman"/>
        </w:rPr>
        <w:t xml:space="preserve">contours; dashed for inflow, solid for outflow; </w:t>
      </w:r>
      <m:oMath>
        <m:r>
          <m:rPr>
            <m:sty m:val="bi"/>
          </m:rPr>
          <w:rPr>
            <w:rFonts w:ascii="Cambria Math" w:hAnsi="Cambria Math" w:cs="Times New Roman"/>
          </w:rPr>
          <m:t>m</m:t>
        </m:r>
        <m:sSup>
          <m:sSupPr>
            <m:ctrlPr>
              <w:rPr>
                <w:rFonts w:ascii="Cambria Math" w:eastAsia="Calibri" w:hAnsi="Cambria Math" w:cs="Times New Roman"/>
                <w:i/>
                <w:lang w:eastAsia="en-US"/>
              </w:rPr>
            </m:ctrlPr>
          </m:sSupPr>
          <m:e>
            <m:r>
              <m:rPr>
                <m:sty m:val="bi"/>
              </m:rPr>
              <w:rPr>
                <w:rFonts w:ascii="Cambria Math" w:hAnsi="Cambria Math" w:cs="Times New Roman"/>
              </w:rPr>
              <m:t>s</m:t>
            </m:r>
          </m:e>
          <m:sup>
            <m:r>
              <m:rPr>
                <m:sty m:val="bi"/>
              </m:rPr>
              <w:rPr>
                <w:rFonts w:ascii="Cambria Math" w:hAnsi="Cambria Math" w:cs="Times New Roman"/>
              </w:rPr>
              <m:t>-1</m:t>
            </m:r>
          </m:sup>
        </m:sSup>
      </m:oMath>
      <w:r w:rsidR="00D8076A" w:rsidRPr="00723DA9">
        <w:rPr>
          <w:rFonts w:cs="Times New Roman"/>
        </w:rPr>
        <w:t>) and tangential wind (black contours;</w:t>
      </w:r>
      <m:oMath>
        <m:r>
          <m:rPr>
            <m:sty m:val="bi"/>
          </m:rPr>
          <w:rPr>
            <w:rFonts w:ascii="Cambria Math" w:hAnsi="Cambria Math" w:cs="Times New Roman"/>
          </w:rPr>
          <m:t xml:space="preserve"> m</m:t>
        </m:r>
        <m:sSup>
          <m:sSupPr>
            <m:ctrlPr>
              <w:rPr>
                <w:rFonts w:ascii="Cambria Math" w:eastAsia="Calibri" w:hAnsi="Cambria Math" w:cs="Times New Roman"/>
                <w:i/>
                <w:lang w:eastAsia="en-US"/>
              </w:rPr>
            </m:ctrlPr>
          </m:sSupPr>
          <m:e>
            <m:r>
              <m:rPr>
                <m:sty m:val="bi"/>
              </m:rPr>
              <w:rPr>
                <w:rFonts w:ascii="Cambria Math" w:hAnsi="Cambria Math" w:cs="Times New Roman"/>
              </w:rPr>
              <m:t>s</m:t>
            </m:r>
          </m:e>
          <m:sup>
            <m:r>
              <m:rPr>
                <m:sty m:val="bi"/>
              </m:rPr>
              <w:rPr>
                <w:rFonts w:ascii="Cambria Math" w:hAnsi="Cambria Math" w:cs="Times New Roman"/>
              </w:rPr>
              <m:t>-1</m:t>
            </m:r>
          </m:sup>
        </m:sSup>
      </m:oMath>
      <w:r w:rsidR="00D8076A" w:rsidRPr="00723DA9">
        <w:rPr>
          <w:rFonts w:cs="Times New Roman"/>
        </w:rPr>
        <w:t xml:space="preserve">) </w:t>
      </w:r>
      <w:bookmarkStart w:id="103" w:name="_Hlk495407320"/>
      <w:r w:rsidR="00D8076A" w:rsidRPr="00723DA9">
        <w:rPr>
          <w:rFonts w:cs="Times New Roman"/>
        </w:rPr>
        <w:t xml:space="preserve">averaged over intensifying period (8 cycles in total from </w:t>
      </w:r>
      <w:bookmarkStart w:id="104" w:name="OLE_LINK129"/>
      <w:bookmarkStart w:id="105" w:name="OLE_LINK128"/>
      <w:r w:rsidR="00D8076A" w:rsidRPr="00723DA9">
        <w:rPr>
          <w:rFonts w:cs="Times New Roman"/>
        </w:rPr>
        <w:t>1200 UTC 13 September 2014 to 0600 UTC 15 September 2014</w:t>
      </w:r>
      <w:bookmarkEnd w:id="104"/>
      <w:bookmarkEnd w:id="105"/>
      <w:r w:rsidR="00D8076A" w:rsidRPr="00723DA9">
        <w:rPr>
          <w:rFonts w:cs="Times New Roman"/>
        </w:rPr>
        <w:t>) for 4DEVTR (first row) and the Operational HWRF (second row) and valid at 00h (first column), 06h (second column), and 12h (third column).</w:t>
      </w:r>
      <w:bookmarkEnd w:id="101"/>
      <w:r w:rsidR="00D8076A" w:rsidRPr="00723DA9">
        <w:rPr>
          <w:rFonts w:cs="Times New Roman"/>
        </w:rPr>
        <w:t xml:space="preserve"> </w:t>
      </w:r>
      <w:bookmarkEnd w:id="103"/>
    </w:p>
    <w:p w14:paraId="769AF739" w14:textId="77777777" w:rsidR="0083574D" w:rsidRPr="00723DA9" w:rsidRDefault="0083574D" w:rsidP="0083574D">
      <w:pPr>
        <w:pStyle w:val="Captions"/>
        <w:spacing w:after="0"/>
        <w:rPr>
          <w:rFonts w:eastAsia="宋体" w:cs="Times New Roman"/>
        </w:rPr>
      </w:pPr>
    </w:p>
    <w:p w14:paraId="45C8E6FF" w14:textId="709FA8D7"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Additionally, similar Vmax but weaker inertial stability in the operational HWRF as compared to 4DEVTR indicates the nature of the vortices from the operational HWRF is </w:t>
      </w:r>
      <w:r w:rsidRPr="00723DA9">
        <w:rPr>
          <w:rFonts w:ascii="Times New Roman" w:hAnsi="Times New Roman" w:cs="Times New Roman"/>
          <w:sz w:val="24"/>
          <w:szCs w:val="24"/>
        </w:rPr>
        <w:lastRenderedPageBreak/>
        <w:t xml:space="preserve">inherently different. </w:t>
      </w:r>
      <w:r w:rsidR="00574EF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Fourier decomposition diagnostics were therefore performed on the absolute </w:t>
      </w:r>
      <w:bookmarkStart w:id="106" w:name="OLE_LINK102"/>
      <w:r w:rsidRPr="00723DA9">
        <w:rPr>
          <w:rFonts w:ascii="Times New Roman" w:hAnsi="Times New Roman" w:cs="Times New Roman"/>
          <w:sz w:val="24"/>
          <w:szCs w:val="24"/>
        </w:rPr>
        <w:t xml:space="preserve">vorticity in the analyses following </w:t>
      </w:r>
      <w:r w:rsidR="00574EF2" w:rsidRPr="00723DA9">
        <w:rPr>
          <w:rFonts w:ascii="Times New Roman" w:hAnsi="Times New Roman" w:cs="Times New Roman"/>
          <w:sz w:val="24"/>
          <w:szCs w:val="24"/>
        </w:rPr>
        <w:fldChar w:fldCharType="begin" w:fldLock="1"/>
      </w:r>
      <w:r w:rsidR="00A947DE" w:rsidRPr="00723DA9">
        <w:rPr>
          <w:rFonts w:ascii="Times New Roman" w:hAnsi="Times New Roman" w:cs="Times New Roman"/>
          <w:sz w:val="24"/>
          <w:szCs w:val="24"/>
        </w:rPr>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Radar","type":"article-journal","volume":"128"},"uris":["http://www.mendeley.com/documents/?uuid=328d83df-7672-4fb9-8099-23b603173389"]}],"mendeley":{"formattedCitation":"(Reasor et al. 2000)","manualFormatting":"Reasor et al. (2000)","plainTextFormattedCitation":"(Reasor et al. 2000)","previouslyFormattedCitation":"(Reasor et al. 2000)"},"properties":{"noteIndex":0},"schema":"https://github.com/citation-style-language/schema/raw/master/csl-citation.json"}</w:instrText>
      </w:r>
      <w:r w:rsidR="00574EF2" w:rsidRPr="00723DA9">
        <w:rPr>
          <w:rFonts w:ascii="Times New Roman" w:hAnsi="Times New Roman" w:cs="Times New Roman"/>
          <w:sz w:val="24"/>
          <w:szCs w:val="24"/>
        </w:rPr>
        <w:fldChar w:fldCharType="separate"/>
      </w:r>
      <w:r w:rsidR="00574EF2" w:rsidRPr="00723DA9">
        <w:rPr>
          <w:rFonts w:ascii="Times New Roman" w:hAnsi="Times New Roman" w:cs="Times New Roman"/>
          <w:noProof/>
          <w:sz w:val="24"/>
          <w:szCs w:val="24"/>
        </w:rPr>
        <w:t>Reasor et al. (2000)</w:t>
      </w:r>
      <w:r w:rsidR="00574EF2"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to illustrate this point. </w:t>
      </w:r>
      <w:r w:rsidR="00574EF2" w:rsidRPr="00723DA9">
        <w:rPr>
          <w:rFonts w:ascii="Times New Roman" w:hAnsi="Times New Roman" w:cs="Times New Roman"/>
          <w:sz w:val="24"/>
          <w:szCs w:val="24"/>
        </w:rPr>
        <w:t xml:space="preserve"> </w:t>
      </w:r>
      <w:r w:rsidRPr="00723DA9">
        <w:rPr>
          <w:rFonts w:ascii="Times New Roman" w:hAnsi="Times New Roman" w:cs="Times New Roman"/>
          <w:sz w:val="24"/>
          <w:szCs w:val="24"/>
        </w:rPr>
        <w:t>The averaged percentage of variance explained by each wavenumber within the 1.5 RMW range over all model levels during the intensifying period is shown in Table 3</w:t>
      </w:r>
      <w:r w:rsidR="00574EF2" w:rsidRPr="00723DA9">
        <w:rPr>
          <w:rFonts w:ascii="Times New Roman" w:hAnsi="Times New Roman" w:cs="Times New Roman"/>
          <w:sz w:val="24"/>
          <w:szCs w:val="24"/>
        </w:rPr>
        <w:t>.3</w:t>
      </w:r>
      <w:r w:rsidRPr="00723DA9">
        <w:rPr>
          <w:rFonts w:ascii="Times New Roman" w:hAnsi="Times New Roman" w:cs="Times New Roman"/>
          <w:sz w:val="24"/>
          <w:szCs w:val="24"/>
        </w:rPr>
        <w:t>.</w:t>
      </w:r>
      <w:bookmarkEnd w:id="106"/>
      <w:r w:rsidRPr="00723DA9">
        <w:rPr>
          <w:rFonts w:ascii="Times New Roman" w:hAnsi="Times New Roman" w:cs="Times New Roman"/>
          <w:sz w:val="24"/>
          <w:szCs w:val="24"/>
        </w:rPr>
        <w:t xml:space="preserve"> </w:t>
      </w:r>
      <w:r w:rsidR="00574EF2"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Larger percentages on relatively high wavenumbers indicates more asymmetric TC vortices. </w:t>
      </w:r>
      <w:r w:rsidR="009F531C">
        <w:rPr>
          <w:rFonts w:ascii="Times New Roman" w:hAnsi="Times New Roman" w:cs="Times New Roman"/>
          <w:sz w:val="24"/>
          <w:szCs w:val="24"/>
        </w:rPr>
        <w:t xml:space="preserve"> </w:t>
      </w:r>
      <w:r w:rsidRPr="00723DA9">
        <w:rPr>
          <w:rFonts w:ascii="Times New Roman" w:hAnsi="Times New Roman" w:cs="Times New Roman"/>
          <w:sz w:val="24"/>
          <w:szCs w:val="24"/>
        </w:rPr>
        <w:t>Table 3</w:t>
      </w:r>
      <w:r w:rsidR="00574EF2" w:rsidRPr="00723DA9">
        <w:rPr>
          <w:rFonts w:ascii="Times New Roman" w:hAnsi="Times New Roman" w:cs="Times New Roman"/>
          <w:sz w:val="24"/>
          <w:szCs w:val="24"/>
        </w:rPr>
        <w:t>.3</w:t>
      </w:r>
      <w:r w:rsidRPr="00723DA9">
        <w:rPr>
          <w:rFonts w:ascii="Times New Roman" w:hAnsi="Times New Roman" w:cs="Times New Roman"/>
          <w:sz w:val="24"/>
          <w:szCs w:val="24"/>
        </w:rPr>
        <w:t xml:space="preserve"> thus indicates that the analyzed operational HWRF vortices are less symmetric than those from 4DEVTR. These asymmetric anomalies possibly contribute to the delayed intensification in the operational HWRF (e.g.: Nolan and Montgomery, 2002; Nolan and Grasso, 2003; Nolan et al., 2007). </w:t>
      </w:r>
    </w:p>
    <w:p w14:paraId="320B3AAC" w14:textId="77777777" w:rsidR="0083574D" w:rsidRPr="00723DA9" w:rsidRDefault="0083574D" w:rsidP="0083574D">
      <w:pPr>
        <w:pStyle w:val="Captions"/>
        <w:spacing w:after="0"/>
        <w:rPr>
          <w:rFonts w:eastAsia="宋体" w:cs="Times New Roman"/>
        </w:rPr>
      </w:pPr>
    </w:p>
    <w:p w14:paraId="35FE97E2" w14:textId="7E66E81B" w:rsidR="00574EF2" w:rsidRPr="00723DA9" w:rsidRDefault="00305E16" w:rsidP="00966FCE">
      <w:pPr>
        <w:pStyle w:val="Captions"/>
        <w:spacing w:after="160"/>
        <w:rPr>
          <w:rFonts w:cs="Times New Roman"/>
        </w:rPr>
      </w:pPr>
      <w:bookmarkStart w:id="107" w:name="_Toc21629870"/>
      <w:r w:rsidRPr="00723DA9">
        <w:rPr>
          <w:rFonts w:cs="Times New Roman"/>
        </w:rPr>
        <w:t>Table 3.</w:t>
      </w:r>
      <w:r w:rsidR="00771F99" w:rsidRPr="00723DA9">
        <w:rPr>
          <w:rFonts w:cs="Times New Roman"/>
        </w:rPr>
        <w:fldChar w:fldCharType="begin"/>
      </w:r>
      <w:r w:rsidR="00771F99" w:rsidRPr="00723DA9">
        <w:rPr>
          <w:rFonts w:cs="Times New Roman"/>
        </w:rPr>
        <w:instrText xml:space="preserve"> SEQ Table \* ARABIC \s 1 </w:instrText>
      </w:r>
      <w:r w:rsidR="00771F99" w:rsidRPr="00723DA9">
        <w:rPr>
          <w:rFonts w:cs="Times New Roman"/>
        </w:rPr>
        <w:fldChar w:fldCharType="separate"/>
      </w:r>
      <w:r w:rsidR="00C350DE">
        <w:rPr>
          <w:rFonts w:cs="Times New Roman"/>
          <w:noProof/>
        </w:rPr>
        <w:t>3</w:t>
      </w:r>
      <w:r w:rsidR="00771F99" w:rsidRPr="00723DA9">
        <w:rPr>
          <w:rFonts w:cs="Times New Roman"/>
          <w:noProof/>
        </w:rPr>
        <w:fldChar w:fldCharType="end"/>
      </w:r>
      <w:r w:rsidR="00574EF2" w:rsidRPr="00723DA9">
        <w:rPr>
          <w:rFonts w:cs="Times New Roman"/>
        </w:rPr>
        <w:t xml:space="preserve"> </w:t>
      </w:r>
      <w:bookmarkStart w:id="108" w:name="OLE_LINK105"/>
      <w:r w:rsidR="00574EF2" w:rsidRPr="00723DA9">
        <w:rPr>
          <w:rFonts w:cs="Times New Roman"/>
        </w:rPr>
        <w:t>Percentage of absolute vorticity variance explained by each wavenumber averaged over 1.5 RMW radius during the intensifying period from 1200 UTC 13 September 2014 to 0600 UTC 15 September 2014.</w:t>
      </w:r>
      <w:bookmarkEnd w:id="107"/>
      <w:r w:rsidR="00574EF2" w:rsidRPr="00723DA9">
        <w:rPr>
          <w:rFonts w:cs="Times New Roman"/>
        </w:rPr>
        <w:t xml:space="preserve"> </w:t>
      </w:r>
      <w:bookmarkEnd w:id="108"/>
    </w:p>
    <w:tbl>
      <w:tblPr>
        <w:tblW w:w="6720" w:type="dxa"/>
        <w:jc w:val="center"/>
        <w:tblLook w:val="04A0" w:firstRow="1" w:lastRow="0" w:firstColumn="1" w:lastColumn="0" w:noHBand="0" w:noVBand="1"/>
      </w:tblPr>
      <w:tblGrid>
        <w:gridCol w:w="1294"/>
        <w:gridCol w:w="960"/>
        <w:gridCol w:w="960"/>
        <w:gridCol w:w="960"/>
        <w:gridCol w:w="960"/>
        <w:gridCol w:w="966"/>
        <w:gridCol w:w="960"/>
      </w:tblGrid>
      <w:tr w:rsidR="00574EF2" w:rsidRPr="0009534B" w14:paraId="4F46569D" w14:textId="77777777" w:rsidTr="00403CAF">
        <w:trPr>
          <w:trHeight w:val="7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3159C89"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Wavenumber</w:t>
            </w:r>
          </w:p>
        </w:tc>
        <w:tc>
          <w:tcPr>
            <w:tcW w:w="960" w:type="dxa"/>
            <w:tcBorders>
              <w:top w:val="single" w:sz="4" w:space="0" w:color="auto"/>
              <w:left w:val="nil"/>
              <w:bottom w:val="single" w:sz="4" w:space="0" w:color="auto"/>
              <w:right w:val="single" w:sz="4" w:space="0" w:color="auto"/>
            </w:tcBorders>
            <w:noWrap/>
            <w:vAlign w:val="center"/>
            <w:hideMark/>
          </w:tcPr>
          <w:p w14:paraId="6F22E8AB"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0</w:t>
            </w:r>
          </w:p>
        </w:tc>
        <w:tc>
          <w:tcPr>
            <w:tcW w:w="960" w:type="dxa"/>
            <w:tcBorders>
              <w:top w:val="single" w:sz="4" w:space="0" w:color="auto"/>
              <w:left w:val="nil"/>
              <w:bottom w:val="single" w:sz="4" w:space="0" w:color="auto"/>
              <w:right w:val="single" w:sz="4" w:space="0" w:color="auto"/>
            </w:tcBorders>
            <w:noWrap/>
            <w:vAlign w:val="center"/>
            <w:hideMark/>
          </w:tcPr>
          <w:p w14:paraId="2944CB1B"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1</w:t>
            </w:r>
          </w:p>
        </w:tc>
        <w:tc>
          <w:tcPr>
            <w:tcW w:w="960" w:type="dxa"/>
            <w:tcBorders>
              <w:top w:val="single" w:sz="4" w:space="0" w:color="auto"/>
              <w:left w:val="nil"/>
              <w:bottom w:val="single" w:sz="4" w:space="0" w:color="auto"/>
              <w:right w:val="single" w:sz="4" w:space="0" w:color="auto"/>
            </w:tcBorders>
            <w:noWrap/>
            <w:vAlign w:val="center"/>
            <w:hideMark/>
          </w:tcPr>
          <w:p w14:paraId="4F309343"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2</w:t>
            </w:r>
          </w:p>
        </w:tc>
        <w:tc>
          <w:tcPr>
            <w:tcW w:w="960" w:type="dxa"/>
            <w:tcBorders>
              <w:top w:val="single" w:sz="4" w:space="0" w:color="auto"/>
              <w:left w:val="nil"/>
              <w:bottom w:val="single" w:sz="4" w:space="0" w:color="auto"/>
              <w:right w:val="single" w:sz="4" w:space="0" w:color="auto"/>
            </w:tcBorders>
            <w:noWrap/>
            <w:vAlign w:val="center"/>
            <w:hideMark/>
          </w:tcPr>
          <w:p w14:paraId="158E63FC"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3</w:t>
            </w:r>
          </w:p>
        </w:tc>
        <w:tc>
          <w:tcPr>
            <w:tcW w:w="960" w:type="dxa"/>
            <w:tcBorders>
              <w:top w:val="single" w:sz="4" w:space="0" w:color="auto"/>
              <w:left w:val="nil"/>
              <w:bottom w:val="single" w:sz="4" w:space="0" w:color="auto"/>
              <w:right w:val="single" w:sz="4" w:space="0" w:color="auto"/>
            </w:tcBorders>
            <w:noWrap/>
            <w:vAlign w:val="center"/>
            <w:hideMark/>
          </w:tcPr>
          <w:p w14:paraId="129E6A94"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4</w:t>
            </w:r>
          </w:p>
        </w:tc>
        <w:tc>
          <w:tcPr>
            <w:tcW w:w="960" w:type="dxa"/>
            <w:tcBorders>
              <w:top w:val="single" w:sz="4" w:space="0" w:color="auto"/>
              <w:left w:val="nil"/>
              <w:bottom w:val="single" w:sz="4" w:space="0" w:color="auto"/>
              <w:right w:val="single" w:sz="4" w:space="0" w:color="auto"/>
            </w:tcBorders>
            <w:noWrap/>
            <w:vAlign w:val="center"/>
            <w:hideMark/>
          </w:tcPr>
          <w:p w14:paraId="626B73CC"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&gt;4</w:t>
            </w:r>
          </w:p>
        </w:tc>
      </w:tr>
      <w:tr w:rsidR="00574EF2" w:rsidRPr="0009534B" w14:paraId="74641F03" w14:textId="77777777" w:rsidTr="00574EF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5875A864"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4DEVTR</w:t>
            </w:r>
          </w:p>
        </w:tc>
        <w:tc>
          <w:tcPr>
            <w:tcW w:w="960" w:type="dxa"/>
            <w:tcBorders>
              <w:top w:val="nil"/>
              <w:left w:val="nil"/>
              <w:bottom w:val="single" w:sz="4" w:space="0" w:color="auto"/>
              <w:right w:val="single" w:sz="4" w:space="0" w:color="auto"/>
            </w:tcBorders>
            <w:noWrap/>
            <w:vAlign w:val="center"/>
            <w:hideMark/>
          </w:tcPr>
          <w:p w14:paraId="34C9D8A0"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83.8457</w:t>
            </w:r>
          </w:p>
        </w:tc>
        <w:tc>
          <w:tcPr>
            <w:tcW w:w="960" w:type="dxa"/>
            <w:tcBorders>
              <w:top w:val="nil"/>
              <w:left w:val="nil"/>
              <w:bottom w:val="single" w:sz="4" w:space="0" w:color="auto"/>
              <w:right w:val="single" w:sz="4" w:space="0" w:color="auto"/>
            </w:tcBorders>
            <w:noWrap/>
            <w:vAlign w:val="center"/>
            <w:hideMark/>
          </w:tcPr>
          <w:p w14:paraId="3E8832DD"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8.73058</w:t>
            </w:r>
          </w:p>
        </w:tc>
        <w:tc>
          <w:tcPr>
            <w:tcW w:w="960" w:type="dxa"/>
            <w:tcBorders>
              <w:top w:val="nil"/>
              <w:left w:val="nil"/>
              <w:bottom w:val="single" w:sz="4" w:space="0" w:color="auto"/>
              <w:right w:val="single" w:sz="4" w:space="0" w:color="auto"/>
            </w:tcBorders>
            <w:noWrap/>
            <w:vAlign w:val="center"/>
            <w:hideMark/>
          </w:tcPr>
          <w:p w14:paraId="0A141FBB"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3.29733</w:t>
            </w:r>
          </w:p>
        </w:tc>
        <w:tc>
          <w:tcPr>
            <w:tcW w:w="960" w:type="dxa"/>
            <w:tcBorders>
              <w:top w:val="nil"/>
              <w:left w:val="nil"/>
              <w:bottom w:val="single" w:sz="4" w:space="0" w:color="auto"/>
              <w:right w:val="single" w:sz="4" w:space="0" w:color="auto"/>
            </w:tcBorders>
            <w:noWrap/>
            <w:vAlign w:val="center"/>
            <w:hideMark/>
          </w:tcPr>
          <w:p w14:paraId="4111FB6F"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1.53631</w:t>
            </w:r>
          </w:p>
        </w:tc>
        <w:tc>
          <w:tcPr>
            <w:tcW w:w="960" w:type="dxa"/>
            <w:tcBorders>
              <w:top w:val="nil"/>
              <w:left w:val="nil"/>
              <w:bottom w:val="single" w:sz="4" w:space="0" w:color="auto"/>
              <w:right w:val="single" w:sz="4" w:space="0" w:color="auto"/>
            </w:tcBorders>
            <w:noWrap/>
            <w:vAlign w:val="center"/>
            <w:hideMark/>
          </w:tcPr>
          <w:p w14:paraId="69E7BB7F"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0.971752</w:t>
            </w:r>
          </w:p>
        </w:tc>
        <w:tc>
          <w:tcPr>
            <w:tcW w:w="960" w:type="dxa"/>
            <w:tcBorders>
              <w:top w:val="nil"/>
              <w:left w:val="nil"/>
              <w:bottom w:val="single" w:sz="4" w:space="0" w:color="auto"/>
              <w:right w:val="single" w:sz="4" w:space="0" w:color="auto"/>
            </w:tcBorders>
            <w:noWrap/>
            <w:vAlign w:val="center"/>
            <w:hideMark/>
          </w:tcPr>
          <w:p w14:paraId="7A10DFBC"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1.61828</w:t>
            </w:r>
          </w:p>
        </w:tc>
      </w:tr>
      <w:tr w:rsidR="00574EF2" w:rsidRPr="0009534B" w14:paraId="02EF957C" w14:textId="77777777" w:rsidTr="00574EF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4006AFB3"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proofErr w:type="spellStart"/>
            <w:r w:rsidRPr="0009534B">
              <w:rPr>
                <w:rFonts w:ascii="Times New Roman" w:eastAsia="Times New Roman" w:hAnsi="Times New Roman" w:cs="Times New Roman"/>
                <w:color w:val="000000"/>
                <w:sz w:val="20"/>
                <w:szCs w:val="20"/>
              </w:rPr>
              <w:t>Oper.HWRF</w:t>
            </w:r>
            <w:proofErr w:type="spellEnd"/>
          </w:p>
        </w:tc>
        <w:tc>
          <w:tcPr>
            <w:tcW w:w="960" w:type="dxa"/>
            <w:tcBorders>
              <w:top w:val="nil"/>
              <w:left w:val="nil"/>
              <w:bottom w:val="single" w:sz="4" w:space="0" w:color="auto"/>
              <w:right w:val="single" w:sz="4" w:space="0" w:color="auto"/>
            </w:tcBorders>
            <w:noWrap/>
            <w:vAlign w:val="center"/>
            <w:hideMark/>
          </w:tcPr>
          <w:p w14:paraId="5B8F385F"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81.3286</w:t>
            </w:r>
          </w:p>
        </w:tc>
        <w:tc>
          <w:tcPr>
            <w:tcW w:w="960" w:type="dxa"/>
            <w:tcBorders>
              <w:top w:val="nil"/>
              <w:left w:val="nil"/>
              <w:bottom w:val="single" w:sz="4" w:space="0" w:color="auto"/>
              <w:right w:val="single" w:sz="4" w:space="0" w:color="auto"/>
            </w:tcBorders>
            <w:noWrap/>
            <w:vAlign w:val="center"/>
            <w:hideMark/>
          </w:tcPr>
          <w:p w14:paraId="20728641"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8.7944</w:t>
            </w:r>
          </w:p>
        </w:tc>
        <w:tc>
          <w:tcPr>
            <w:tcW w:w="960" w:type="dxa"/>
            <w:tcBorders>
              <w:top w:val="nil"/>
              <w:left w:val="nil"/>
              <w:bottom w:val="single" w:sz="4" w:space="0" w:color="auto"/>
              <w:right w:val="single" w:sz="4" w:space="0" w:color="auto"/>
            </w:tcBorders>
            <w:noWrap/>
            <w:vAlign w:val="center"/>
            <w:hideMark/>
          </w:tcPr>
          <w:p w14:paraId="64953B1C"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4.28238</w:t>
            </w:r>
          </w:p>
        </w:tc>
        <w:tc>
          <w:tcPr>
            <w:tcW w:w="960" w:type="dxa"/>
            <w:tcBorders>
              <w:top w:val="nil"/>
              <w:left w:val="nil"/>
              <w:bottom w:val="single" w:sz="4" w:space="0" w:color="auto"/>
              <w:right w:val="single" w:sz="4" w:space="0" w:color="auto"/>
            </w:tcBorders>
            <w:noWrap/>
            <w:vAlign w:val="center"/>
            <w:hideMark/>
          </w:tcPr>
          <w:p w14:paraId="4C0996A9"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1.91919</w:t>
            </w:r>
          </w:p>
        </w:tc>
        <w:tc>
          <w:tcPr>
            <w:tcW w:w="960" w:type="dxa"/>
            <w:tcBorders>
              <w:top w:val="nil"/>
              <w:left w:val="nil"/>
              <w:bottom w:val="single" w:sz="4" w:space="0" w:color="auto"/>
              <w:right w:val="single" w:sz="4" w:space="0" w:color="auto"/>
            </w:tcBorders>
            <w:noWrap/>
            <w:vAlign w:val="center"/>
            <w:hideMark/>
          </w:tcPr>
          <w:p w14:paraId="26E5A40B"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1.27799</w:t>
            </w:r>
          </w:p>
        </w:tc>
        <w:tc>
          <w:tcPr>
            <w:tcW w:w="960" w:type="dxa"/>
            <w:tcBorders>
              <w:top w:val="nil"/>
              <w:left w:val="nil"/>
              <w:bottom w:val="single" w:sz="4" w:space="0" w:color="auto"/>
              <w:right w:val="single" w:sz="4" w:space="0" w:color="auto"/>
            </w:tcBorders>
            <w:noWrap/>
            <w:vAlign w:val="center"/>
            <w:hideMark/>
          </w:tcPr>
          <w:p w14:paraId="52D2FAE2" w14:textId="77777777" w:rsidR="00574EF2" w:rsidRPr="0009534B" w:rsidRDefault="00574EF2" w:rsidP="00966FCE">
            <w:pPr>
              <w:keepNext/>
              <w:keepLines/>
              <w:spacing w:after="0" w:line="240" w:lineRule="auto"/>
              <w:jc w:val="center"/>
              <w:outlineLvl w:val="4"/>
              <w:rPr>
                <w:rFonts w:ascii="Times New Roman" w:eastAsia="Times New Roman" w:hAnsi="Times New Roman" w:cs="Times New Roman"/>
                <w:color w:val="000000"/>
                <w:sz w:val="20"/>
                <w:szCs w:val="20"/>
              </w:rPr>
            </w:pPr>
            <w:r w:rsidRPr="0009534B">
              <w:rPr>
                <w:rFonts w:ascii="Times New Roman" w:eastAsia="Times New Roman" w:hAnsi="Times New Roman" w:cs="Times New Roman"/>
                <w:color w:val="000000"/>
                <w:sz w:val="20"/>
                <w:szCs w:val="20"/>
              </w:rPr>
              <w:t>2.3974</w:t>
            </w:r>
          </w:p>
        </w:tc>
      </w:tr>
    </w:tbl>
    <w:p w14:paraId="2CA9E120" w14:textId="77777777" w:rsidR="00574EF2" w:rsidRPr="00723DA9" w:rsidRDefault="00574EF2" w:rsidP="00966FCE">
      <w:pPr>
        <w:spacing w:after="0" w:line="360" w:lineRule="auto"/>
        <w:ind w:firstLine="360"/>
        <w:rPr>
          <w:rFonts w:ascii="Times New Roman" w:hAnsi="Times New Roman" w:cs="Times New Roman"/>
          <w:sz w:val="24"/>
          <w:szCs w:val="24"/>
        </w:rPr>
      </w:pPr>
    </w:p>
    <w:p w14:paraId="4752A42C" w14:textId="19D4A600" w:rsidR="00C56823" w:rsidRPr="00723DA9" w:rsidRDefault="00C56823" w:rsidP="00A67154">
      <w:pPr>
        <w:pStyle w:val="Heading2"/>
        <w:numPr>
          <w:ilvl w:val="1"/>
          <w:numId w:val="18"/>
        </w:numPr>
        <w:spacing w:line="480" w:lineRule="auto"/>
        <w:ind w:left="0" w:firstLine="0"/>
        <w:rPr>
          <w:rFonts w:ascii="Times New Roman" w:hAnsi="Times New Roman" w:cs="Times New Roman"/>
          <w:b/>
          <w:bCs/>
          <w:color w:val="auto"/>
          <w:sz w:val="24"/>
          <w:szCs w:val="24"/>
        </w:rPr>
      </w:pPr>
      <w:bookmarkStart w:id="109" w:name="_Toc21623989"/>
      <w:r w:rsidRPr="00723DA9">
        <w:rPr>
          <w:rFonts w:ascii="Times New Roman" w:hAnsi="Times New Roman" w:cs="Times New Roman"/>
          <w:b/>
          <w:bCs/>
          <w:color w:val="auto"/>
          <w:sz w:val="24"/>
          <w:szCs w:val="24"/>
        </w:rPr>
        <w:t>Summary and Conclusion</w:t>
      </w:r>
      <w:bookmarkEnd w:id="109"/>
    </w:p>
    <w:p w14:paraId="4870F62A" w14:textId="56FE47BA"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 GSI-based, continuously cycled, dual-resolution hybrid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-Var DA system is developed for HWRF with a self-consistent HWRF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ensemble and a newly developed directed moving nest strategy.</w:t>
      </w:r>
      <w:r w:rsidR="00403CAF"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Both the 3DEnVar and 4DEnVar capabilities have been implemented with the system.  The system also integrates with VM and VR that are used in the operational HWRF.  Using hurricane Edouard (2014), a few scientific questions discussed in </w:t>
      </w:r>
      <w:r w:rsidR="00403CAF"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403CAF" w:rsidRPr="00723DA9">
        <w:rPr>
          <w:rFonts w:ascii="Times New Roman" w:hAnsi="Times New Roman" w:cs="Times New Roman"/>
          <w:sz w:val="24"/>
          <w:szCs w:val="24"/>
        </w:rPr>
        <w:t>3.</w:t>
      </w:r>
      <w:r w:rsidRPr="00723DA9">
        <w:rPr>
          <w:rFonts w:ascii="Times New Roman" w:hAnsi="Times New Roman" w:cs="Times New Roman"/>
          <w:sz w:val="24"/>
          <w:szCs w:val="24"/>
        </w:rPr>
        <w:t xml:space="preserve">1 are investigated by multiple sets of experiments. </w:t>
      </w:r>
    </w:p>
    <w:p w14:paraId="30A07C5B" w14:textId="28796D2E"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In the baseline 3DEV experiment, 3DEnVar with FGAT is applied every 6 hours continuously from the beginning to the end of Edouard (2014), assimilating the TDR radial velocity observations onboard NOAA P-3 aircraft in addition to all in-situ and satellite radiance observations from the operational HWRF data stream.</w:t>
      </w:r>
      <w:r w:rsidR="00403CAF"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Dual-resolution 3DEnVar is implemented </w:t>
      </w:r>
      <w:r w:rsidRPr="00723DA9">
        <w:rPr>
          <w:rFonts w:ascii="Times New Roman" w:hAnsi="Times New Roman" w:cs="Times New Roman"/>
          <w:sz w:val="24"/>
          <w:szCs w:val="24"/>
        </w:rPr>
        <w:lastRenderedPageBreak/>
        <w:t xml:space="preserve">with a control analysis at 3-km horizontal grid spacing and a self-consistent HWRF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 ensemble at 9-km horizontal grid spacing.  3DEV adopts the newly developed directed moving nest strategy within continuous DA and forecast cycling associated with moving nests.</w:t>
      </w:r>
      <w:r w:rsidR="00403CAF"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VR is applied for both the control and ensemble background forecasts, and VM is applied to the control background in this experiment where TDR is not available.  All other experiments are identical to 3DEV except each has major difference to address the scientific questions.    </w:t>
      </w:r>
    </w:p>
    <w:p w14:paraId="17CF7365" w14:textId="1E68B85F"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hAnsi="Times New Roman" w:cs="Times New Roman"/>
          <w:sz w:val="24"/>
          <w:szCs w:val="24"/>
        </w:rPr>
        <w:t xml:space="preserve">To investigate the impact of introducing a high-resolution nest with dual-resolution DA in the baseline 3DEV experiment, 3DEV-9kmS is conducted where both the control and the ensemble background are run at 9-km horizontal grid spacing only.  With the high-resolution control analysis, </w:t>
      </w:r>
      <w:r w:rsidRPr="00723DA9">
        <w:rPr>
          <w:rFonts w:ascii="Times New Roman" w:eastAsia="宋体" w:hAnsi="Times New Roman" w:cs="Times New Roman"/>
          <w:sz w:val="24"/>
          <w:szCs w:val="24"/>
        </w:rPr>
        <w:t xml:space="preserve">3DEV produces storm structures with more detail and in better agreement with the observations as compared with 3DEV-9kmS.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subsequent forecast suggests that the better analysis in 3DEV provides better subsequent </w:t>
      </w:r>
      <w:r w:rsidRPr="00723DA9">
        <w:rPr>
          <w:rFonts w:ascii="Times New Roman" w:hAnsi="Times New Roman" w:cs="Times New Roman"/>
          <w:sz w:val="24"/>
          <w:szCs w:val="24"/>
        </w:rPr>
        <w:t xml:space="preserve">MSLP and Vmax </w:t>
      </w:r>
      <w:r w:rsidRPr="00723DA9">
        <w:rPr>
          <w:rFonts w:ascii="Times New Roman" w:eastAsia="宋体" w:hAnsi="Times New Roman" w:cs="Times New Roman"/>
          <w:sz w:val="24"/>
          <w:szCs w:val="24"/>
        </w:rPr>
        <w:t xml:space="preserve">forecasts measured in both absolute errors and biases at early lead times compared to 3DEV-9kmS.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These improvements seem to be short-lived.  The track and RMW forecasts are not improved by </w:t>
      </w:r>
      <w:r w:rsidRPr="00723DA9">
        <w:rPr>
          <w:rFonts w:ascii="Times New Roman" w:hAnsi="Times New Roman" w:cs="Times New Roman"/>
          <w:sz w:val="24"/>
          <w:szCs w:val="24"/>
        </w:rPr>
        <w:t>introducing the high-resolution control analysis</w:t>
      </w:r>
      <w:r w:rsidRPr="00723DA9">
        <w:rPr>
          <w:rFonts w:ascii="Times New Roman" w:eastAsia="宋体" w:hAnsi="Times New Roman" w:cs="Times New Roman"/>
          <w:sz w:val="24"/>
          <w:szCs w:val="24"/>
        </w:rPr>
        <w:t xml:space="preserve">. </w:t>
      </w:r>
    </w:p>
    <w:p w14:paraId="0C8AB659" w14:textId="74128D53"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Two experiments were designed and conducted to investigate the importance of integrating VR and VM in the cycled DA system.  Completely removing VR and VM (3DEV-NVRM vs. 3DEV-NEVR) significantly degrades the TC analysis, the subsequent track, Vmax and MSLP forecasts.  Compared to not applying VM and VR at all (3DEV-NVRM), applying VR to the control background for all DA cycles and applying VM to the control background to the DA cycles without TDR (3DEV-NEVR) significantly improves the TC structure analysis, overall track forecasts and RMW forecasts for the first 72 hours, MSLP forecast out to 120 hours and Vmax forecast for the first 51 hours.</w:t>
      </w:r>
      <w:r w:rsidR="007C317C">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Applying additional VR for the ensemble background </w:t>
      </w:r>
      <w:r w:rsidRPr="00723DA9">
        <w:rPr>
          <w:rFonts w:ascii="Times New Roman" w:eastAsia="宋体" w:hAnsi="Times New Roman" w:cs="Times New Roman"/>
          <w:sz w:val="24"/>
          <w:szCs w:val="24"/>
        </w:rPr>
        <w:lastRenderedPageBreak/>
        <w:t xml:space="preserve">forecasts improves the TC structure analysis further </w:t>
      </w:r>
      <w:bookmarkStart w:id="110" w:name="OLE_LINK41"/>
      <w:r w:rsidRPr="00723DA9">
        <w:rPr>
          <w:rFonts w:ascii="Times New Roman" w:eastAsia="宋体" w:hAnsi="Times New Roman" w:cs="Times New Roman"/>
          <w:sz w:val="24"/>
          <w:szCs w:val="24"/>
        </w:rPr>
        <w:t>(3DEV)</w:t>
      </w:r>
      <w:bookmarkEnd w:id="110"/>
      <w:r w:rsidRPr="00723DA9">
        <w:rPr>
          <w:rFonts w:ascii="Times New Roman" w:eastAsia="宋体" w:hAnsi="Times New Roman" w:cs="Times New Roman"/>
          <w:sz w:val="24"/>
          <w:szCs w:val="24"/>
        </w:rPr>
        <w:t xml:space="preserve">.  Specifically, the wind maxima are located in the quadrant that is consistent with the verifying observations, and spurious double SLP minima no longer exist.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The subsequent short-term MSLP and Vmax forecasts measured in terms of absolute errors are improved, although the improvements do not last long.</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The track, RMW, MSLP and Vmax forecasts in 3DEV do not in general show consistent improvement over 3DEV-NEVR.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However, systematic MSLP and Vmax error bias evolutions are in general better in 3DEV than in </w:t>
      </w:r>
      <w:bookmarkStart w:id="111" w:name="OLE_LINK44"/>
      <w:bookmarkStart w:id="112" w:name="OLE_LINK43"/>
      <w:bookmarkStart w:id="113" w:name="OLE_LINK42"/>
      <w:r w:rsidRPr="00723DA9">
        <w:rPr>
          <w:rFonts w:ascii="Times New Roman" w:eastAsia="宋体" w:hAnsi="Times New Roman" w:cs="Times New Roman"/>
          <w:sz w:val="24"/>
          <w:szCs w:val="24"/>
        </w:rPr>
        <w:t xml:space="preserve">3DEV-NEVR </w:t>
      </w:r>
      <w:bookmarkEnd w:id="111"/>
      <w:bookmarkEnd w:id="112"/>
      <w:bookmarkEnd w:id="113"/>
      <w:r w:rsidRPr="00723DA9">
        <w:rPr>
          <w:rFonts w:ascii="Times New Roman" w:eastAsia="宋体" w:hAnsi="Times New Roman" w:cs="Times New Roman"/>
          <w:sz w:val="24"/>
          <w:szCs w:val="24"/>
        </w:rPr>
        <w:t>especially at the early lead times.</w:t>
      </w:r>
    </w:p>
    <w:p w14:paraId="408220D7" w14:textId="06C4926E"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By design, 6-hourly 3DEnVar is not able to represent the fast-evolving error structures due to the lack of temporal flow-dependency in the background error covariance.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This issue is illustrated when Edouard went through rapid eyewall replacement, and the inner core TDR data was brief and unevenly distributed.  Experiment 4DEVTR is designed to investigate the impact of using 4DEnVar DA in comparison with 3DEnVar for such situations.</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4DEnVar improves the analyzed TC structure, as illustrated by its reduction of a spuriously strong wind maximum produced by 3DEnVar.</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Consistently, MSLP and Vmax forecasts are improved at early lead times initialized by 4DEnVar as compared with 3DEnVar, although slight degradations are found in the track forecasts. </w:t>
      </w:r>
      <w:r w:rsidR="00403CAF" w:rsidRPr="00723DA9">
        <w:rPr>
          <w:rFonts w:ascii="Times New Roman" w:eastAsia="宋体" w:hAnsi="Times New Roman" w:cs="Times New Roman"/>
          <w:sz w:val="24"/>
          <w:szCs w:val="24"/>
        </w:rPr>
        <w:t xml:space="preserve"> </w:t>
      </w:r>
      <w:r w:rsidRPr="00723DA9">
        <w:rPr>
          <w:rFonts w:ascii="Times New Roman" w:hAnsi="Times New Roman" w:cs="Times New Roman"/>
          <w:sz w:val="24"/>
          <w:szCs w:val="24"/>
        </w:rPr>
        <w:t>These track degradations warrant further investigations with a larger sample in the future.</w:t>
      </w:r>
    </w:p>
    <w:p w14:paraId="5B32ADE6" w14:textId="5DB566FC"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newly developed </w:t>
      </w:r>
      <w:proofErr w:type="spellStart"/>
      <w:r w:rsidRPr="00723DA9">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DA system is found to improve the MSLP and Vmax forecasts of Edouard (2014) due to the better analyses during the </w:t>
      </w:r>
      <w:r w:rsidRPr="00723DA9">
        <w:rPr>
          <w:rFonts w:ascii="Times New Roman" w:hAnsi="Times New Roman" w:cs="Times New Roman"/>
          <w:sz w:val="24"/>
          <w:szCs w:val="24"/>
        </w:rPr>
        <w:t xml:space="preserve">intensifying </w:t>
      </w:r>
      <w:r w:rsidRPr="00723DA9">
        <w:rPr>
          <w:rFonts w:ascii="Times New Roman" w:eastAsia="宋体" w:hAnsi="Times New Roman" w:cs="Times New Roman"/>
          <w:sz w:val="24"/>
          <w:szCs w:val="24"/>
        </w:rPr>
        <w:t xml:space="preserve">period compared to the operational HWRF.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Further diagnostics indicate that the analyzed inner core structure by </w:t>
      </w:r>
      <w:proofErr w:type="spellStart"/>
      <w:r w:rsidRPr="00723DA9">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possesses stronger inner-core inertial stability,</w:t>
      </w:r>
      <w:r w:rsidRPr="00723DA9">
        <w:rPr>
          <w:rFonts w:ascii="Times New Roman" w:hAnsi="Times New Roman" w:cs="Times New Roman"/>
          <w:sz w:val="24"/>
          <w:szCs w:val="24"/>
        </w:rPr>
        <w:t xml:space="preserve"> a smaller radius of maximum wind, stronger tangential wind and more symmetric inner-core vorticity structures</w:t>
      </w:r>
      <w:r w:rsidRPr="00723DA9">
        <w:rPr>
          <w:rFonts w:ascii="Times New Roman" w:eastAsia="宋体" w:hAnsi="Times New Roman" w:cs="Times New Roman"/>
          <w:sz w:val="24"/>
          <w:szCs w:val="24"/>
        </w:rPr>
        <w:t xml:space="preserve"> during the </w:t>
      </w:r>
      <w:r w:rsidRPr="00723DA9">
        <w:rPr>
          <w:rFonts w:ascii="Times New Roman" w:hAnsi="Times New Roman" w:cs="Times New Roman"/>
          <w:sz w:val="24"/>
          <w:szCs w:val="24"/>
        </w:rPr>
        <w:t xml:space="preserve">intensifying </w:t>
      </w:r>
      <w:r w:rsidRPr="00723DA9">
        <w:rPr>
          <w:rFonts w:ascii="Times New Roman" w:eastAsia="宋体" w:hAnsi="Times New Roman" w:cs="Times New Roman"/>
          <w:sz w:val="24"/>
          <w:szCs w:val="24"/>
        </w:rPr>
        <w:t xml:space="preserve">period </w:t>
      </w:r>
      <w:r w:rsidRPr="00723DA9">
        <w:rPr>
          <w:rFonts w:ascii="Times New Roman" w:eastAsia="宋体" w:hAnsi="Times New Roman" w:cs="Times New Roman"/>
          <w:sz w:val="24"/>
          <w:szCs w:val="24"/>
        </w:rPr>
        <w:lastRenderedPageBreak/>
        <w:t xml:space="preserve">compared to the analysis produced by the operational HWRF system.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This difference in structure may be responsible for the intensity forecast improvement.</w:t>
      </w:r>
    </w:p>
    <w:p w14:paraId="3941C64B" w14:textId="3E324161"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The current study represents the first step of testing, evaluating and understanding the newly developed DA system for HWRF.</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This system has served as a basis for the 2017 operational HWRF implementation and systematic experiments have been conducted before the implementation (personal communication with J. </w:t>
      </w:r>
      <w:proofErr w:type="spellStart"/>
      <w:r w:rsidRPr="00723DA9">
        <w:rPr>
          <w:rFonts w:ascii="Times New Roman" w:eastAsia="宋体" w:hAnsi="Times New Roman" w:cs="Times New Roman"/>
          <w:sz w:val="24"/>
          <w:szCs w:val="24"/>
        </w:rPr>
        <w:t>Sippel</w:t>
      </w:r>
      <w:proofErr w:type="spellEnd"/>
      <w:r w:rsidRPr="00723DA9">
        <w:rPr>
          <w:rFonts w:ascii="Times New Roman" w:eastAsia="宋体" w:hAnsi="Times New Roman" w:cs="Times New Roman"/>
          <w:sz w:val="24"/>
          <w:szCs w:val="24"/>
        </w:rPr>
        <w:t>, 2017).</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Although 32 cycles of continuously cycled DA and forecasts are performed in this study, the sample size is still relatively small.</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Further experiments are needed to systematically test the system with many more cases and with other types of inner core observations.</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 Additionally, more frequent assimilation cycles (e.g., using an hourly DA interval) offers an alternative way to take into account the quickly evolving error covariance. </w:t>
      </w:r>
      <w:r w:rsidR="00403CAF" w:rsidRPr="00723DA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Therefore, further experiments are warranted to explore optimal DA configurations. </w:t>
      </w:r>
    </w:p>
    <w:p w14:paraId="6F30508F" w14:textId="77777777" w:rsidR="00C56823" w:rsidRPr="00723DA9" w:rsidRDefault="00C56823" w:rsidP="00771F99">
      <w:pPr>
        <w:spacing w:after="0" w:line="480" w:lineRule="auto"/>
        <w:rPr>
          <w:rFonts w:ascii="Times New Roman" w:eastAsia="宋体" w:hAnsi="Times New Roman" w:cs="Times New Roman"/>
          <w:sz w:val="24"/>
          <w:szCs w:val="24"/>
        </w:rPr>
      </w:pPr>
      <w:r w:rsidRPr="00723DA9">
        <w:rPr>
          <w:rFonts w:ascii="Times New Roman" w:eastAsia="宋体" w:hAnsi="Times New Roman" w:cs="Times New Roman"/>
          <w:sz w:val="24"/>
          <w:szCs w:val="24"/>
        </w:rPr>
        <w:br w:type="page"/>
      </w:r>
    </w:p>
    <w:p w14:paraId="3AEEB2BA" w14:textId="7072C1D4" w:rsidR="00255803" w:rsidRPr="00723DA9" w:rsidRDefault="00E22E12" w:rsidP="00AA6856">
      <w:pPr>
        <w:pStyle w:val="Heading1"/>
        <w:spacing w:before="0" w:after="240" w:line="480" w:lineRule="auto"/>
        <w:rPr>
          <w:rFonts w:ascii="Times New Roman" w:hAnsi="Times New Roman" w:cs="Times New Roman"/>
          <w:b/>
          <w:color w:val="auto"/>
          <w:sz w:val="24"/>
          <w:szCs w:val="24"/>
        </w:rPr>
      </w:pPr>
      <w:bookmarkStart w:id="114" w:name="_Toc21623990"/>
      <w:r w:rsidRPr="00723DA9">
        <w:rPr>
          <w:rFonts w:ascii="Times New Roman" w:hAnsi="Times New Roman" w:cs="Times New Roman"/>
          <w:b/>
          <w:color w:val="auto"/>
          <w:sz w:val="24"/>
          <w:szCs w:val="24"/>
        </w:rPr>
        <w:lastRenderedPageBreak/>
        <w:t>Chapter</w:t>
      </w:r>
      <w:r w:rsidR="008B33D8" w:rsidRPr="00723DA9">
        <w:rPr>
          <w:rFonts w:ascii="Times New Roman" w:hAnsi="Times New Roman" w:cs="Times New Roman"/>
          <w:b/>
          <w:color w:val="auto"/>
          <w:sz w:val="24"/>
          <w:szCs w:val="24"/>
        </w:rPr>
        <w:t xml:space="preserve"> </w:t>
      </w:r>
      <w:r w:rsidR="003952A5" w:rsidRPr="00723DA9">
        <w:rPr>
          <w:rFonts w:ascii="Times New Roman" w:hAnsi="Times New Roman" w:cs="Times New Roman"/>
          <w:b/>
          <w:color w:val="auto"/>
          <w:sz w:val="24"/>
          <w:szCs w:val="24"/>
        </w:rPr>
        <w:t>4</w:t>
      </w:r>
      <w:r w:rsidR="008B33D8" w:rsidRPr="00723DA9">
        <w:rPr>
          <w:rFonts w:ascii="Times New Roman" w:hAnsi="Times New Roman" w:cs="Times New Roman"/>
          <w:b/>
          <w:color w:val="auto"/>
          <w:sz w:val="24"/>
          <w:szCs w:val="24"/>
        </w:rPr>
        <w:t xml:space="preserve">: </w:t>
      </w:r>
      <w:r w:rsidR="00434CE2" w:rsidRPr="00723DA9">
        <w:rPr>
          <w:rFonts w:ascii="Times New Roman" w:hAnsi="Times New Roman" w:cs="Times New Roman"/>
          <w:b/>
          <w:color w:val="auto"/>
          <w:sz w:val="24"/>
          <w:szCs w:val="24"/>
        </w:rPr>
        <w:t>What is Missing to Capture the Rapid Intensification of Hurricane Patricia (2015) when HWRF is already Initialized with a More Realistic Analysis?</w:t>
      </w:r>
      <w:bookmarkEnd w:id="114"/>
    </w:p>
    <w:p w14:paraId="450922E4" w14:textId="76C4050D" w:rsidR="00021C67" w:rsidRPr="00723DA9" w:rsidRDefault="00021C67" w:rsidP="00A67154">
      <w:pPr>
        <w:pStyle w:val="Heading2"/>
        <w:numPr>
          <w:ilvl w:val="1"/>
          <w:numId w:val="20"/>
        </w:numPr>
        <w:spacing w:line="480" w:lineRule="auto"/>
        <w:ind w:left="0" w:firstLine="0"/>
        <w:rPr>
          <w:rFonts w:ascii="Times New Roman" w:hAnsi="Times New Roman" w:cs="Times New Roman"/>
          <w:b/>
          <w:bCs/>
          <w:color w:val="auto"/>
          <w:sz w:val="24"/>
          <w:szCs w:val="24"/>
        </w:rPr>
      </w:pPr>
      <w:r w:rsidRPr="00723DA9">
        <w:rPr>
          <w:rFonts w:ascii="Times New Roman" w:hAnsi="Times New Roman" w:cs="Times New Roman"/>
          <w:b/>
          <w:bCs/>
          <w:color w:val="auto"/>
          <w:sz w:val="24"/>
          <w:szCs w:val="24"/>
        </w:rPr>
        <w:t xml:space="preserve"> </w:t>
      </w:r>
      <w:bookmarkStart w:id="115" w:name="_Toc21623991"/>
      <w:r w:rsidRPr="00723DA9">
        <w:rPr>
          <w:rFonts w:ascii="Times New Roman" w:hAnsi="Times New Roman" w:cs="Times New Roman"/>
          <w:b/>
          <w:bCs/>
          <w:color w:val="auto"/>
          <w:sz w:val="24"/>
          <w:szCs w:val="24"/>
        </w:rPr>
        <w:t>Introduction</w:t>
      </w:r>
      <w:bookmarkEnd w:id="115"/>
    </w:p>
    <w:p w14:paraId="02E5E823" w14:textId="02DD069B" w:rsidR="00C56823" w:rsidRPr="00723DA9" w:rsidRDefault="00C56823" w:rsidP="00771F99">
      <w:pPr>
        <w:pStyle w:val="ListParagraph"/>
        <w:spacing w:line="480" w:lineRule="auto"/>
        <w:ind w:left="0" w:firstLine="432"/>
        <w:rPr>
          <w:rFonts w:ascii="Times New Roman" w:hAnsi="Times New Roman"/>
        </w:rPr>
      </w:pPr>
      <w:r w:rsidRPr="00723DA9">
        <w:rPr>
          <w:rFonts w:ascii="Times New Roman" w:hAnsi="Times New Roman"/>
        </w:rPr>
        <w:t xml:space="preserve">An accurate depiction of the TC inner-core dynamic and thermodynamic structures is essential for the numerical prediction of TC intensity </w:t>
      </w:r>
      <w:r w:rsidRPr="00723DA9">
        <w:rPr>
          <w:rFonts w:ascii="Times New Roman" w:hAnsi="Times New Roman"/>
        </w:rPr>
        <w:fldChar w:fldCharType="begin" w:fldLock="1"/>
      </w:r>
      <w:r w:rsidR="0052713F" w:rsidRPr="00723DA9">
        <w:rPr>
          <w:rFonts w:ascii="Times New Roman" w:hAnsi="Times New Roman"/>
        </w:rPr>
        <w:instrText>ADDIN CSL_CITATION {"citationItems":[{"id":"ITEM-1","itemData":{"DOI":"10.1175/2009MWR2656.1","ISSN":"0027-0644","abstract":"An ensemble Kalman filter (EnKF) based on the Weather Research and Forecasting model is applied to generate ensemble analyses and forecasts of Hurricane Katrina (2005) and the surrounding area every six-hours over the lifetime of the storm on a nested domain. Analyses are derived from assimilating conventional in situ observations, reconnaissance dropsondes, including data taken during the Hurricane Rainband and Intensity Exchange Experiment (RAINEX), and tropical cyclone position estimates. Observation assimilation at individual times consistently reduces errors in tropical cyclone position, but not necessarily in intensity; however, withholding observations leads to significantly larger errors in both quantities. Analysis increments for observations near the tropical cyclone are dominated by changes in vortex position, and these increments increase the asymmetric structure of the storm.Data denial experiments indicate that dropsondes deployed in the synoptic environment provide minimal benefit to the outer domain; however, dropsondes deployed within the TC lead to significant reductions in position and intensity errors on the inner domain. Specifically, errors in the inner domain ensemble-mean six-hour forecasts of minimum pressure are 70&amp;#37; larger when dropsonde data is not assimilated. Precipitation fields are qualitatively similar to TRMM satellite estimates, although model values are double the values of the satellite estimate. Moreover, the &amp;#8220;spin up&amp;#8221; period and initial imbalance in EnKF-initialized WRF forecasts is less than starting the model from a GFS analysis. Ensemble-mean 48-hour forecasts initialized with EnKF analyses have track and intensity errors that are 50&amp;#37; smaller than GFS and NHC official forecasts.","author":[{"dropping-particle":"","family":"Torn","given":"Ryan D.","non-dropping-particle":"","parse-names":false,"suffix":""},{"dropping-particle":"","family":"Hakim","given":"Gregory J.","non-dropping-particle":"","parse-names":false,"suffix":""}],"container-title":"Monthly Weather Review","id":"ITEM-1","issue":"9","issued":{"date-parts":[["2009"]]},"page":"2817-2829","title":"Ensemble Data Assimilation Applied to RAINEX Observations of Hurricane Katrina (2005)","type":"article-journal","volume":"137"},"uris":["http://www.mendeley.com/documents/?uuid=6d1e0afd-4696-489c-91e1-133a62eae306"]},{"id":"ITEM-2","itemData":{"DOI":"10.1175/2009MWR2828.1","ISBN":"0027-0644","ISSN":"0027-0644","abstract":"Initialization of the hurricane vortex in weather prediction models is vital to intensity forecasts out to at least 48 h. Airborne Doppler radar (ADR) data have sufficiently high horizontal and vertical resolution to resolve the hurricane vortex and its imbedded structures but have not been extensively used in hurricane initialization. Using the Weather Research and Forecasting (WRF) three-dimensional variational data assimilation (3DVAR) system, the ADR data are assimilated to recover the hurricane vortex dynamic and thermodynamic structures at the WRF model initial time. The impact of the ADR data on three hurricanes, Jeanne (2004), Katrina (2005) and Rita (2005), are examined during their rapid intensification and subsequent weakening periods before landfall. With the ADR wind data assimilated, the three-dimensional winds in the hurricane vortex become stronger and the maximum 10-m winds agree better with independent estimates from best-track data than without ADR data assimilation. Through the multivariate incremental structure in WRF3DVAR analysis, the central sea level pressures (CSLPs) for the three hurricanes are lower in response to the stronger vortex at initialization. The size and inner-core structure of each vortex are adjusted closer to observations of these attributes. Addition of reflectivity data in assimilation produces cloud water and rainwater analyses in the initial vortex. The temperature and moisture are also better represented in the hurricane initialization. Forty-eight-hour forecasts are conducted to evaluate the impact of ADR data using the Advanced Research Hurricane WRF (AHW), a derivative of the Advanced Research WRF (ARW) model. Assimilation of ADR data improves the hurricane-intensity forecasts. Vortex asymmetries, size, and rainbands are also simulated better. Hurricane initialization with ADR data is quite promising toward reducing intensity forecast errors at modest computational expense.","author":[{"dropping-particle":"","family":"Xiao","given":"Qingnong","non-dropping-particle":"","parse-names":false,"suffix":""},{"dropping-particle":"","family":"Zhang","given":"Xiaoyan","non-dropping-particle":"","parse-names":false,"suffix":""},{"dropping-particle":"","family":"Davis","given":"Christopher","non-dropping-particle":"","parse-names":false,"suffix":""},{"dropping-particle":"","family":"Tuttle","given":"John","non-dropping-particle":"","parse-names":false,"suffix":""},{"dropping-particle":"","family":"Holland","given":"Greg","non-dropping-particle":"","parse-names":false,"suffix":""},{"dropping-particle":"","family":"Fitzpatrick","given":"Patrick J.","non-dropping-particle":"","parse-names":false,"suffix":""}],"container-title":"Monthly Weather Review","id":"ITEM-2","issue":"9","issued":{"date-parts":[["2009"]]},"page":"2758-2777","title":"Experiments of Hurricane Initialization with Airborne Doppler Radar Data for the Advanced Research Hurricane WRF (AHW) Model","type":"article-journal","volume":"137"},"uris":["http://www.mendeley.com/documents/?uuid=6a3e0a0a-6311-46b1-b06d-f5cb61d65930"]},{"id":"ITEM-3","itemData":{"DOI":"10.1175/2009MWR2645.1","ISBN":"0027-0644","ISSN":"0027-0644","abstract":"This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 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H.","non-dropping-particle":"","parse-names":false,"suffix":""}],"container-title":"Monthly Weather Review","id":"ITEM-3","issue":"7","issued":{"date-parts":[["2009"]]},"page":"2105-2125","title":"Cloud-Resolving Hurricane Initialization and Prediction through Assimilation of Doppler Radar Observations with an Ensemble Kalman Filter","type":"article-journal","volume":"137"},"uris":["http://www.mendeley.com/documents/?uuid=8ad10eaa-db6f-4beb-9c8d-77cec7153fa1"]},{"id":"ITEM-4","itemData":{"DOI":"10.1029/2011GL048469","ISBN":"00948276","ISSN":"00948276","abstract":"This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Letters","id":"ITEM-4","issue":"15","issued":{"date-parts":[["2011"]]},"page":"2-7","title":"Performance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id":"ITEM-5","itemData":{"DOI":"10.1175/MWR-D-12-00043.1","ISSN":"0027-0644","author":[{"dropping-particle":"","family":"Li","given":"Yongzuo","non-dropping-particle":"","parse-names":false,"suffix":""},{"dropping-particle":"","family":"Wang","given":"Xuguang","non-dropping-particle":"","parse-names":false,"suffix":""},{"dropping-particle":"","family":"Xue","given":"Ming","non-dropping-particle":"","parse-names":false,"suffix":""}],"container-title":"Monthly Weather Review","id":"ITEM-5","issued":{"date-parts":[["2012"]]},"page":"3507-3524","title":"Assimilation of Radar Radial Velocity Data with the WRF Hybrid Ensemble-3DVAR System for the Prediction of Hurricane Ike (2008)","type":"article-journal","volume":"140"},"uris":["http://www.mendeley.com/documents/?uuid=25af83c9-af9b-491a-9dcc-6d65193ee01f"]},{"id":"ITEM-6","itemData":{"DOI":"10.1175/2011MWR3602.1","ISBN":"0027-0644","ISSN":"0027-0644","abstract":"Through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Review","id":"ITEM-6","issue":"3","issued":{"date-parts":[["2012"]]},"page":"841-859","title":"Assimilating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-7","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Society","id":"ITEM-7","issue":"702","issued":{"date-parts":[["2017"]]},"page":"223-239","title":"GSI-based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id":"ITEM-8","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Rev.","id":"ITEM-8","issued":{"date-parts":[["2017"]]},"page":"4877-4898","title":"GSI-based,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with","type":"article-journal","volume":"145"},"uris":["http://www.mendeley.com/documents/?uuid=82ad08b1-34e7-3cff-837b-7355f1a8ba0d"]}],"mendeley":{"formattedCitation":"(Torn and Hakim 2009b; Xiao et al. 2009; Zhang et al. 2009a, 2011; Li et al. 2012; Weng and Zhang 2012; Lu et al. 2017a,b)","plainTextFormattedCitation":"(Torn and Hakim 2009b; Xiao et al. 2009; Zhang et al. 2009a, 2011; Li et al. 2012; Weng and Zhang 2012; Lu et al. 2017a,b)","previouslyFormattedCitation":"(Torn and Hakim 2009b; Xiao et al. 2009; Zhang et al. 2009a, 2011; Li et al. 2012; Weng and Zhang 2012; Lu et al. 2017a,b)"},"properties":{"noteIndex":0},"schema":"https://github.com/citation-style-language/schema/raw/master/csl-citation.json"}</w:instrText>
      </w:r>
      <w:r w:rsidRPr="00723DA9">
        <w:rPr>
          <w:rFonts w:ascii="Times New Roman" w:hAnsi="Times New Roman"/>
        </w:rPr>
        <w:fldChar w:fldCharType="separate"/>
      </w:r>
      <w:r w:rsidR="002E0A45" w:rsidRPr="00723DA9">
        <w:rPr>
          <w:rFonts w:ascii="Times New Roman" w:hAnsi="Times New Roman"/>
          <w:noProof/>
        </w:rPr>
        <w:t>(Torn and Hakim 2009b; Xiao et al. 2009; Zhang et al. 2009a, 2011; Li et al. 2012; Weng and Zhang 2012; Lu et al. 2017a,b)</w:t>
      </w:r>
      <w:r w:rsidRPr="00723DA9">
        <w:rPr>
          <w:rFonts w:ascii="Times New Roman" w:hAnsi="Times New Roman"/>
        </w:rPr>
        <w:fldChar w:fldCharType="end"/>
      </w:r>
      <w:r w:rsidRPr="00723DA9">
        <w:rPr>
          <w:rFonts w:ascii="Times New Roman" w:hAnsi="Times New Roman"/>
        </w:rPr>
        <w:t xml:space="preserve">. However, TCs spend most of their lifetime over the open ocean, where </w:t>
      </w:r>
      <w:bookmarkStart w:id="116" w:name="OLE_LINK16"/>
      <w:r w:rsidRPr="00723DA9">
        <w:rPr>
          <w:rFonts w:ascii="Times New Roman" w:hAnsi="Times New Roman"/>
        </w:rPr>
        <w:t>high-resolution</w:t>
      </w:r>
      <w:bookmarkEnd w:id="116"/>
      <w:r w:rsidRPr="00723DA9">
        <w:rPr>
          <w:rFonts w:ascii="Times New Roman" w:hAnsi="Times New Roman"/>
        </w:rPr>
        <w:t xml:space="preserve"> in-situ inner-core observations are often lacking.  Although satellites can cover vast areas over the ocean, effective utilization of all-sky satellite radiance observations in the cloudy and rainy regions, such as the eyewall and spiral rainbands, is still immature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{"citationItems":[{"id":"ITEM-1","itemData":{"DOI":"10.1002/qj.659","ISBN":"1477-870X","ISSN":"00359009","abstract":"This paper assesses the performance of an all-sky (i.e. clear, cloudy and precipitating) direct assimilation of microwave imagers that was introduced operationally in the four-dimensional variational (4D-Var) assimilation system of the European Centre for Medium-Range Weather Forecasts (ECMWF) in March 2009. Results are based on data-denial experiments and are quantified using forecast verification scores and comparisons to observations. The reliability of forecast verification scores is examined. Humidity-based scores can be misleading in the initial three days of forecasts, but scores based on pressure and wind fields are more reliable, because they are less sensitive to the choice of verifying analysis. The new approach is compared with the previous rain and cloud-affected assimilation, which used a 1D+4D-Var technique. One downside of the old technique is that it ‘recycles’ the first guess as new information, which causes misleading ‘improvements’ in forecast scores. The new approach avoids this problem. It also does not require any cloud detection, so unlike the old approach used in clear skies, it is not susceptible to biases caused by undetected cloud. However the new system is implemented with a cautious quality control and large observation errors. Hence, the analysed and forecast tropical humidity fields are constrained only about half as much in the new system as in the old. However, the new approach is comparable in terms of its positive impact on dynamical fields (pressure and vector wind) in the tropical lower troposphere.","author":[{"dropping-particle":"","family":"Bauer","given":"Peter","non-dropping-particle":"","parse-names":false,"suffix":""},{"dropping-particle":"","family":"Geer","given":"Alan J.","non-dropping-particle":"","parse-names":false,"suffix":""},{"dropping-particle":"","family":"Lopez","given":"Philippe","non-dropping-particle":"","parse-names":false,"suffix":""},{"dropping-particle":"","family":"Salmond","given":"Deborah","non-dropping-particle":"","parse-names":false,"suffix":""}],"container-title":"Quarterly Journal of the Royal Meteorological Society","id":"ITEM-1","issue":"652","issued":{"date-parts":[["2010"]]},"page":"1868-1885","title":"Direct 4D-Var assimilation of all-sky radiances. Part I: Implementation","type":"article-journal","volume":"136"},"uris":["http://www.mendeley.com/documents/?uuid=1bee54cc-89b1-4ea0-b474-3f316b43a256"]},{"id":"ITEM-2","itemData":{"DOI":"10.1002/qj.905","ISSN":"00359009","author":[{"dropping-particle":"","family":"Bauer","given":"Peter","non-dropping-particle":"","parse-names":false,"suffix":""},{"dropping-particle":"","family":"Auligné","given":"Thomas","non-dropping-particle":"","parse-names":false,"suffix":""},{"dropping-particle":"","family":"Bell","given":"William","non-dropping-particle":"","parse-names":false,"suffix":""},{"dropping-particle":"","family":"Geer","given":"Alan","non-dropping-particle":"","parse-names":false,"suffix":""},{"dropping-particle":"","family":"Guidard","given":"Vincent","non-dropping-particle":"","parse-names":false,"suffix":""},{"dropping-particle":"","family":"Heilliette","given":"Sylvain","non-dropping-particle":"","parse-names":false,"suffix":""},{"dropping-particle":"","family":"Kazumori","given":"Masahiro","non-dropping-particle":"","parse-names":false,"suffix":""},{"dropping-particle":"","family":"Kim","given":"Min Jeong","non-dropping-particle":"","parse-names":false,"suffix":""},{"dropping-particle":"","family":"Liu","given":"Emily H C","non-dropping-particle":"","parse-names":false,"suffix":""},{"dropping-particle":"","family":"Mcnally","given":"Anthony P.","non-dropping-particle":"","parse-names":false,"suffix":""},{"dropping-particle":"","family":"Macpherson","given":"Bruce","non-dropping-particle":"","parse-names":false,"suffix":""},{"dropping-particle":"","family":"Okamoto","given":"Kozo","non-dropping-particle":"","parse-names":false,"suffix":""},{"dropping-particle":"","family":"Renshaw","given":"Richard","non-dropping-particle":"","parse-names":false,"suffix":""},{"dropping-particle":"","family":"Riishøjgaard","given":"Lars Peter","non-dropping-particle":"","parse-names":false,"suffix":""}],"container-title":"Quarterly Journal of the Royal Meteorological Society","id":"ITEM-2","issue":"661","issued":{"date-parts":[["2011"]]},"page":"1934-1951","title":"Satellite cloud and precipitation assimilation at operational NWP centres","type":"article-journal","volume":"137"},"uris":["http://www.mendeley.com/documents/?uuid=d952a250-3fe4-48a7-83d5-b4721ba15021"]},{"id":"ITEM-3","itemData":{"DOI":"10.3402/tellusa.v68.30917","ISSN":"16000870","author":[{"dropping-particle":"","family":"Yang","given":"Chun","non-dropping-particle":"","parse-names":false,"suffix":""},{"dropping-particle":"","family":"Liu","given":"Zhiquan","non-dropping-particle":"","parse-names":false,"suffix":""},{"dropping-particle":"","family":"Bresch","given":"Jamie","non-dropping-particle":"","parse-names":false,"suffix":""},{"dropping-particle":"","family":"Rizvi","given":"Syed R.H.","non-dropping-particle":"","parse-names":false,"suffix":""},{"dropping-particle":"","family":"Huang","given":"Xiang-Yu","non-dropping-particle":"","parse-names":false,"suffix":""},{"dropping-particle":"","family":"Min","given":"Jinzhong","non-dropping-particle":"","parse-names":false,"suffix":""}],"container-title":"Tellus A","id":"ITEM-3","issue":"30917","issued":{"date-parts":[["2016"]]},"page":"1-19","title":"AMSR2 all-sky radiance assimilation and its impact on the analysis and forecast of Hurricane Sandy with a limited-area data assimilation system","type":"article-journal","volume":"68"},"uris":["http://www.mendeley.com/documents/?uuid=5caf5541-7acc-4cc4-a43c-bae47fb6fd31"]},{"id":"ITEM-4","itemData":{"DOI":"10.1002/2016GL068468","ISSN":"19448007","author":[{"dropping-particle":"","family":"Zhang","given":"Fuqing","non-dropping-particle":"","parse-names":false,"suffix":""},{"dropping-particle":"","family":"Minamide","given":"Masashi","non-dropping-particle":"","parse-names":false,"suffix":""},{"dropping-particle":"","family":"Clothiaux","given":"Eugene E.","non-dropping-particle":"","parse-names":false,"suffix":""}],"container-title":"Geophysical Research Letters","id":"ITEM-4","issued":{"date-parts":[["2016"]]},"page":"2954-2963","title":"Potential impacts of assimilating all-sky infrared satellite radiances from GOES-R on convection-permitting analysis and prediction of tropical cyclones","type":"article-journal","volume":"43"},"uris":["http://www.mendeley.com/documents/?uuid=b0ab02b4-5dc3-445c-b6cb-45b383c636cd"]},{"id":"ITEM-5","itemData":{"DOI":"10.1175/MWR-D-15-0445.1","abstract":"The capability of all-sky microwave radiance assimilation in the Gridpoint Statistical Interpolation (GSI) analysis system has been developed at the National Centers for Environmental Prediction (NCEP). This development effort required the adaptation of quality control, observation error assignment, bias correction, and background error covariance to all-sky conditions within the ensemble–variational (EnVar) framework. The assimilation of cloudy radiances from the Advanced Microwave Sounding Unit-A (AMSU-A) microwave radiometer for ocean fields of view (FOVs) is the primary emphasis of this study. In the original operational hybrid 3D EnVar Global Forecast System (GFS), the clear-sky approach for radiance data assimilation is applied. Changes to data thinning and quality control have allowed all-sky satellite radiances to be assimilated in the GSI. Along with the symmetric observation error assignment, additional situation-dependent observation error inflation is employed for all-sky conditions. Moreover, in addition to the current radiance bias correction, a new bias correction strategy has been applied to all-sky radiances. In this work, the static background error variance and the ensemble spread of cloud water are examined, and the levels of cloud variability from the ensemble forecast in single-and dual-resolution configurations are discussed. Overall, the all-sky approach provides more realistic simulated brightness temperatures and cloud water analysis increments, and improves analysis off the west coasts of the continents by reducing a known bias in stratus. An approximate 10% increase in the use of AMSU-A channels 1–5 and a 12% increase for channel 15 are also observed. The all-sky AMSU-A radiance as-similation became operational in the 4D EnVar GFS system upgrade of 12 May 2016.","author":[{"dropping-particle":"","family":"Zhu","given":"Yanqiu","non-dropping-particle":"","parse-names":false,"suffix":""},{"dropping-particle":"","family":"Liu","given":"Emily","non-dropping-particle":"","parse-names":false,"suffix":""},{"dropping-particle":"","family":"Mahajan","given":"Rahul","non-dropping-particle":"","parse-names":false,"suffix":""},{"dropping-particle":"","family":"Thomas","given":"Catherine","non-dropping-particle":"","parse-names":false,"suffix":""},{"dropping-particle":"","family":"Groff","given":"David","non-dropping-particle":"","parse-names":false,"suffix":""},{"dropping-particle":"Van","family":"Delst","given":"Paul","non-dropping-particle":"","parse-names":false,"suffix":""},{"dropping-particle":"","family":"Collard","given":"And Andrew","non-dropping-particle":"","parse-names":false,"suffix":""},{"dropping-particle":"","family":"Kleist","given":"Daryl","non-dropping-particle":"","parse-names":false,"suffix":""},{"dropping-particle":"","family":"Treadon","given":"Russ","non-dropping-particle":"","parse-names":false,"suffix":""},{"dropping-particle":"","family":"Derber","given":"John C","non-dropping-particle":"","parse-names":false,"suffix":""}],"container-title":"Mon. Wea. Rev.","id":"ITEM-5","issued":{"date-parts":[["2016"]]},"page":"4709-4735","title":"All-Sky Microwave Radiance Assimilation in NCEP's GSI Analysis System","type":"article-journal","volume":"144"},"uris":["http://www.mendeley.com/documents/?uuid=9586dc2c-9964-3e8d-ba98-e30a6bf25938"]},{"id":"ITEM-6","itemData":{"DOI":"10.1002/qj.3202","ISSN":"00359009","author":[{"dropping-particle":"","family":"Geer","given":"A.J.","non-dropping-particle":"","parse-names":false,"suffix":""},{"dropping-particle":"","family":"Lonitz","given":"K.","non-dropping-particle":"","parse-names":false,"suffix":""},{"dropping-particle":"","family":"Weston","given":"P.","non-dropping-particle":"","parse-names":false,"suffix":""},{"dropping-particle":"","family":"Kazumori","given":"M.","non-dropping-particle":"","parse-names":false,"suffix":""},{"dropping-particle":"","family":"Okamoto","given":"K.","non-dropping-particle":"","parse-names":false,"suffix":""},{"dropping-particle":"","family":"Zhu","given":"Y.","non-dropping-particle":"","parse-names":false,"suffix":""},{"dropping-particle":"","family":"Liu","given":"E.H.","non-dropping-particle":"","parse-names":false,"suffix":""},{"dropping-particle":"","family":"Collard","given":"A.","non-dropping-particle":"","parse-names":false,"suffix":""},{"dropping-particle":"","family":"Bell","given":"W.","non-dropping-particle":"","parse-names":false,"suffix":""},{"dropping-particle":"","family":"Migliorini","given":"S.","non-dropping-particle":"","parse-names":false,"suffix":""},{"dropping-particle":"","family":"Chambon","given":"P.","non-dropping-particle":"","parse-names":false,"suffix":""},{"dropping-particle":"","family":"Fourrié","given":"N.","non-dropping-particle":"","parse-names":false,"suffix":""},{"dropping-particle":"","family":"Kim","given":"M.-J.","non-dropping-particle":"","parse-names":false,"suffix":""},{"dropping-particle":"","family":"Köpken-Watts","given":"C.","non-dropping-particle":"","parse-names":false,"suffix":""},{"dropping-particle":"","family":"Schraff","given":"C.","non-dropping-particle":"","parse-names":false,"suffix":""}],"container-title":"Quarterly Journal of the Royal Meteorological Society","id":"ITEM-6","issued":{"date-parts":[["2017","11","14"]]},"publisher":"John Wiley &amp; Sons, Ltd","title":"All-sky satellite data assimilation at operational weather forecasting centres","type":"article-journal"},"uris":["http://www.mendeley.com/documents/?uuid=ff4abeb9-b868-3a00-9a39-905034032e57"]}],"mendeley":{"formattedCitation":"(Bauer et al. 2010, 2011; Yang et al. 2016; Zhang et al. 2016; Zhu et al. 2016b; Geer et al. 2017)","manualFormatting":"(Bauer et al. 2010, 2011; Yang et al. 2016; Zhang et al. 2016; Zhu et al. 2018; Geer et al. 2017)","plainTextFormattedCitation":"(Bauer et al. 2010, 2011; Yang et al. 2016; Zhang et al. 2016; Zhu et al. 2016b; Geer et al. 2017)","previouslyFormattedCitation":"(Bauer et al. 2010, 2011; Yang et al. 2016; Zhang et al. 2016; Zhu et al. 2016b; Geer et al. 2017)"},"properties":{"noteIndex":0},"schema":"https://github.com/citation-style-language/schema/raw/master/csl-citation.json"}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(Bauer et al. 2010, 2011; Yang et al. 2016; Zhang et al. 2016; Zhu et al. 2018; Geer et al. 2017)</w:t>
      </w:r>
      <w:r w:rsidRPr="00723DA9">
        <w:rPr>
          <w:rFonts w:ascii="Times New Roman" w:hAnsi="Times New Roman"/>
        </w:rPr>
        <w:fldChar w:fldCharType="end"/>
      </w:r>
      <w:r w:rsidRPr="00723DA9">
        <w:rPr>
          <w:rFonts w:ascii="Times New Roman" w:hAnsi="Times New Roman"/>
        </w:rPr>
        <w:t xml:space="preserve">. </w:t>
      </w:r>
    </w:p>
    <w:p w14:paraId="490749A0" w14:textId="4F6A1234" w:rsidR="00C56823" w:rsidRPr="00723DA9" w:rsidRDefault="00C56823" w:rsidP="00771F99">
      <w:pPr>
        <w:pStyle w:val="ListParagraph"/>
        <w:spacing w:line="480" w:lineRule="auto"/>
        <w:ind w:left="0" w:firstLine="432"/>
        <w:rPr>
          <w:rFonts w:ascii="Times New Roman" w:hAnsi="Times New Roman"/>
        </w:rPr>
      </w:pPr>
      <w:r w:rsidRPr="00723DA9">
        <w:rPr>
          <w:rFonts w:ascii="Times New Roman" w:hAnsi="Times New Roman"/>
        </w:rPr>
        <w:t>Due to the lack of high-resolution inner-core observations, early NWP studies usually initialized the TC predictions using a bogus vortex based on limited vortex information</w:t>
      </w:r>
      <w:r w:rsidR="001B1691">
        <w:rPr>
          <w:rFonts w:ascii="Times New Roman" w:hAnsi="Times New Roman"/>
        </w:rPr>
        <w:t xml:space="preserve">, such as </w:t>
      </w:r>
      <w:r w:rsidRPr="00723DA9">
        <w:rPr>
          <w:rFonts w:ascii="Times New Roman" w:hAnsi="Times New Roman"/>
        </w:rPr>
        <w:t>RMW</w:t>
      </w:r>
      <w:r w:rsidR="001C52B8">
        <w:rPr>
          <w:rFonts w:ascii="Times New Roman" w:hAnsi="Times New Roman"/>
        </w:rPr>
        <w:t>,</w:t>
      </w:r>
      <w:r w:rsidRPr="00723DA9">
        <w:rPr>
          <w:rFonts w:ascii="Times New Roman" w:hAnsi="Times New Roman"/>
        </w:rPr>
        <w:t xml:space="preserve"> Vmax</w:t>
      </w:r>
      <w:r w:rsidR="001C52B8">
        <w:rPr>
          <w:rFonts w:ascii="Times New Roman" w:hAnsi="Times New Roman"/>
        </w:rPr>
        <w:t xml:space="preserve"> and </w:t>
      </w:r>
      <w:r w:rsidRPr="00723DA9">
        <w:rPr>
          <w:rFonts w:ascii="Times New Roman" w:hAnsi="Times New Roman"/>
        </w:rPr>
        <w:t xml:space="preserve">MSLP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{"citationItems":[{"id":"ITEM-1","itemData":{"ISBN":"1436-5065","author":[{"dropping-particle":"Van","family":"Thu","given":"Trinh","non-dropping-particle":"","parse-names":false,"suffix":""},{"dropping-particle":"","family":"Krishnamurti","given":"T. N.","non-dropping-particle":"","parse-names":false,"suffix":""}],"container-title":"Meteorology and Atmospheric Physics","id":"ITEM-1","issued":{"date-parts":[["1992"]]},"page":"117-126","title":"Vortex Initialization for Typhoon Track Prediction","type":"article-journal","volume":"47"},"uris":["http://www.mendeley.com/documents/?uuid=cc245fc3-691d-4fff-8191-f3b7bf988305"]},{"id":"ITEM-2","itemData":{"DOI":"10.1175/1520-0493(1995)123&lt;2791:IITGHP&gt;2.0.CO;2","ISBN":"1520-0493","ISSN":"0027-0644","abstract":"Abstract The hurricane model initialization scheme developed at GFDL was modified to improve the representation of the environmental fields in the initial condition. The filter domain defining the extent of the tropical cyclone in the global analysis is determined from the distribution of the low-level disturbance winds. The shape of the domain is generally not circular in order to minimize the removal of important nonhurricane features near the storm region. An optimum interpolation technique is used to determine the environmental fields within the filter domain. Outside of the domain, the environmental fields are identical to the original global analysis. The generation process of the realistic and model-compatible vortex has also undergone some minor modifications so that reasonable vortices are produced for various data conditions. The upgraded hurricane prediction system was tested for a number of cases and compared against the previous version and yielded an overall improvement in the forecasts of s...","author":[{"dropping-particle":"","family":"Kurihara","given":"Yoshio","non-dropping-particle":"","parse-names":false,"suffix":""},{"dropping-particle":"","family":"Bender","given":"Morris a.","non-dropping-particle":"","parse-names":false,"suffix":""},{"dropping-particle":"","family":"Tuleya","given":"Robert E.","non-dropping-particle":"","parse-names":false,"suffix":""},{"dropping-particle":"","family":"Ross","given":"Rebecca J.","non-dropping-particle":"","parse-names":false,"suffix":""}],"container-title":"Monthly Weather Review","id":"ITEM-2","issue":"9","issued":{"date-parts":[["1995"]]},"page":"2791-2801","title":"Improvements in the GFDL Hurricane Prediction System","type":"article","volume":"123"},"uris":["http://www.mendeley.com/documents/?uuid=7bd7346e-c9c2-4779-b41b-fa126487ec8e"]},{"id":"ITEM-3","itemData":{"abstract":"The Geophysical Fluid Dynamics Laboratory (GFDL) Hurricane Prediction System was adopted by the U.S. National Weather Service as an operational hurricane prediction model in the 1995 hurricane season. The framework of the prediction model is described with emphasis on its unique features. The model uses a multiply nested movable mesh system to depict the interior structure of tropical cyclones. For cumulus parameterization, a soft moist convective adjustment scheme is used. The model initial condition is defined through a method of vortex replacement. It involves generation of a realistic hurricane vortex by a scheme of controlled spinup. Time integration of the model is carried out by a two-step iterative method that has a characteristic of frequency-selective damping. The outline of the prediction system is presented and the system performance in the 1995 hurricane season is briefly summarized. Both in the Atlantic and the eastern Pacific, the average track forecast errors are sub-stantially reduced by the GFDL model, compared with forecasts by other models, particularly for the forecast periods beyond 36 h. Forecasts of Hurricane Luis and Hurricane Marilyn were especially skillful. A forecast bias is noticed in cases of Hurricane Opal and other storms in the Gulf of Mexico. The importance of accurate initial conditions, in both the environmental flow and the storm structure, is argued.","author":[{"dropping-particle":"","family":"Kurihara","given":"Yoshio","non-dropping-particle":"","parse-names":false,"suffix":""},{"dropping-particle":"","family":"Tuleya","given":"Robert E","non-dropping-particle":"","parse-names":false,"suffix":""},{"dropping-particle":"","family":"Bender","given":"Morris A","non-dropping-particle":"","parse-names":false,"suffix":""}],"container-title":"Mon. Wea. Rev.","id":"ITEM-3","issue":"5","issued":{"date-parts":[["1998"]]},"page":"1306-1322","title":"The GFDL Hurricane Prediction System and Its Performance in the 1995 Hurricane Season","type":"article-journal","volume":"126"},"uris":["http://www.mendeley.com/documents/?uuid=9bd7438c-7086-37c1-a55d-0ba418c77cc8"]},{"id":"ITEM-4","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Note","id":"ITEM-4","issued":{"date-parts":[["2000"]]},"page":"472","title":"Improvements in Hurricane Initialization and Forecasting at NCEP with Global and Regional ( GFDL ) models","type":"paper-conference"},"uris":["http://www.mendeley.com/documents/?uuid=432c0949-751b-4f5a-b482-e8a093126d11"]},{"id":"ITEM-5","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Meteorology","id":"ITEM-5","issued":{"date-parts":[["2006"]]},"title":"Hurricane Relocation in Global Ensemble Forecast System","type":"paper-conference"},"uris":["http://www.mendeley.com/documents/?uuid=1a8cbd0a-b8d6-493d-9f17-38a64f3581ee"]},{"id":"ITEM-6","itemData":{"DOI":"10.1175/1520-0493(2001)129&lt;2023:EOBVTW&gt;2.0.CO;2","ISBN":"1520-0493","ISSN":"0027-0644","abstract":"The effectiveness of a four-dimensional variational data assimilation (4-DVAR) technique for creating \"bogus\" vortices in numerical simulations of hurricanes is evaluated in this study. A series of numerical experiments is conducted to generate initial vortices for Hurricane Georges and Bonnie (1998) in the Atlantic Ocean by assimilating bogus sea-level pressure and wind information into a mesoscale numerical model (MM5). Several different strategies are tested for investigating the sensitivity of the initial vortex representation to the type of bogus information.","author":[{"dropping-particle":"","family":"Pu","given":"Zhaoxia","non-dropping-particle":"","parse-names":false,"suffix":""},{"dropping-particle":"","family":"Braun","given":"Scott A.","non-dropping-particle":"","parse-names":false,"suffix":""}],"container-title":"Mon. Wea. Rev.","id":"ITEM-6","issued":{"date-parts":[["2001"]]},"page":"2023-2039","title":"Evaluation of Bogus Vortex Techniques Using Four-Dimensional Variational Data Assimilation","type":"article-journal","volume":"129"},"uris":["http://www.mendeley.com/documents/?uuid=a8dcc923-78a4-4d1a-a9c0-8c9def8556fc"]},{"id":"ITEM-7","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opalakrishnan","given":"Sundararaman","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ong","given":"Mingjing","non-dropping-particle":"","parse-names":false,"suffix":""},{"dropping-particle":"","family":"Trahan","given":"Samuel","non-dropping-particle":"","parse-names":false,"suffix":""},{"dropping-particle":"","family":"Tuleya","given":"Robert","non-dropping-particle":"","parse-names":false,"suffix":""},{"dropping-particle":"","family":"Yablonsky","given":"Richard","non-dropping-particle":"","parse-names":false,"suffix":""},{"dropping-particle":"","family":"Zhang","given":"Xuejin","non-dropping-particle":"","parse-names":false,"suffix":""}],"container-title":"Developmental Testbed Center","id":"ITEM-7","issued":{"date-parts":[["2014"]]},"number-of-pages":"1-81","title":"Hurricane Weather Research and Forecasting (HWRF) model: 2014 scientific documentation","type":"report"},"uris":["http://www.mendeley.com/documents/?uuid=f63fdf0a-d919-4d8f-8934-8c12eb353c91"]}],"mendeley":{"formattedCitation":"(Thu and Krishnamurti 1992; Kurihara et al. 1995, 1998; Liu et al. 2000, 2006; Pu and Braun 2001; Tallapragada et al. 2014)","plainTextFormattedCitation":"(Thu and Krishnamurti 1992; Kurihara et al. 1995, 1998; Liu et al. 2000, 2006; Pu and Braun 2001; Tallapragada et al. 2014)","previouslyFormattedCitation":"(Thu and Krishnamurti 1992; Kurihara et al. 1995, 1998; Liu et al. 2000, 2006; Pu and Braun 2001; Tallapragada et al. 2014)"},"properties":{"noteIndex":0},"schema":"https://github.com/citation-style-language/schema/raw/master/csl-citation.json"}</w:instrText>
      </w:r>
      <w:r w:rsidRPr="00723DA9">
        <w:rPr>
          <w:rFonts w:ascii="Times New Roman" w:hAnsi="Times New Roman"/>
        </w:rPr>
        <w:fldChar w:fldCharType="separate"/>
      </w:r>
      <w:r w:rsidR="002E0A45" w:rsidRPr="00723DA9">
        <w:rPr>
          <w:rFonts w:ascii="Times New Roman" w:hAnsi="Times New Roman"/>
          <w:noProof/>
        </w:rPr>
        <w:t>(Thu and Krishnamurti 1992; Kurihara et al. 1995, 1998; Liu et al. 2000, 2006; Pu and Braun 2001; Tallapragada et al. 2014)</w:t>
      </w:r>
      <w:r w:rsidRPr="00723DA9">
        <w:rPr>
          <w:rFonts w:ascii="Times New Roman" w:hAnsi="Times New Roman"/>
        </w:rPr>
        <w:fldChar w:fldCharType="end"/>
      </w:r>
      <w:r w:rsidRPr="00723DA9">
        <w:rPr>
          <w:rFonts w:ascii="Times New Roman" w:hAnsi="Times New Roman"/>
        </w:rPr>
        <w:t xml:space="preserve">.  </w:t>
      </w:r>
      <w:r w:rsidR="007B21F5">
        <w:rPr>
          <w:rFonts w:ascii="Times New Roman" w:hAnsi="Times New Roman"/>
        </w:rPr>
        <w:t xml:space="preserve">As </w:t>
      </w:r>
      <w:r w:rsidR="005A3EB6">
        <w:rPr>
          <w:rFonts w:ascii="Times New Roman" w:hAnsi="Times New Roman"/>
        </w:rPr>
        <w:t>described</w:t>
      </w:r>
      <w:r w:rsidR="007B21F5">
        <w:rPr>
          <w:rFonts w:ascii="Times New Roman" w:hAnsi="Times New Roman"/>
        </w:rPr>
        <w:t xml:space="preserve"> in Section 2.5, i</w:t>
      </w:r>
      <w:r w:rsidRPr="00723DA9">
        <w:rPr>
          <w:rFonts w:ascii="Times New Roman" w:hAnsi="Times New Roman"/>
        </w:rPr>
        <w:t xml:space="preserve">n the NOAA operational HWRF, VI contains two components: VR and VM, where VR corrects the storm location and VM modifies the storm intensity and size.  Details can be found in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Note","id":"ITEM-1","issued":{"date-parts":[["2000"]]},"page":"472","title":"Improvements in Hurricane Initialization and Forecasting at NCEP with Global and Regional ( GFDL ) models","type":"paper-conference"},"uris":["http://www.mendeley.com/documents/?uuid=432c0949-751b-4f5a-b482-e8a093126d11"]},{"id":"ITEM-2","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Meteorology","id":"ITEM-2","issued":{"date-parts":[["2006"]]},"title":"Hurricane Relocation in Global Ensemble Forecast System","type":"paper-conference"},"uris":["http://www.mendeley.com/documents/?uuid=1a8cbd0a-b8d6-493d-9f17-38a64f3581ee"]},{"id":"ITEM-3","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Center","id":"ITEM-3","issued":{"date-parts":[["2015"]]},"number-of-pages":"1-81","title":"Hurricane Weather Research and Forecasting (HWRF) model: 2015 scientific documentation","type":"report"},"uris":["http://www.mendeley.com/documents/?uuid=b87ea64a-4059-481a-8188-da6f904806c8"]}],"mendeley":{"formattedCitation":"(Liu et al. 2000, 2006; Tallapragada et al. 2015)","manualFormatting":"Liu et al. (2000, 2006) and Tallapragada et al. (2015)","plainTextFormattedCitation":"(Liu et al. 2000, 2006; Tallapragada et al. 2015)","previouslyFormattedCitation":"(Liu et al. 2000, 2006; Tallapragada et al. 2015)"},"properties":{"noteIndex":0},"schema":"https://github.com/citation-style-language/schema/raw/master/csl-citation.json"}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Liu et al. (2000, 2006) and Tallapragada et al. (2015)</w:t>
      </w:r>
      <w:r w:rsidRPr="00723DA9">
        <w:rPr>
          <w:rFonts w:ascii="Times New Roman" w:hAnsi="Times New Roman"/>
        </w:rPr>
        <w:fldChar w:fldCharType="end"/>
      </w:r>
      <w:r w:rsidRPr="00723DA9">
        <w:rPr>
          <w:rFonts w:ascii="Times New Roman" w:hAnsi="Times New Roman"/>
        </w:rPr>
        <w:t>.  Briefly, VR extracts the vortex from the background HWRF forecast.  VM is then performed on the extracted vortex before it is placed back.  During VM, the vortex size is first modified based on the RMW and the 34-kt wind radius.  Then, the axisymmetric component of the vortex is rebalanced, and a historic axisymmetric composite storm is added to the vortex to adjust the storm intensity.  The added composite storm is from a HWRF simulation of a real storm in 2007 (</w:t>
      </w:r>
      <w:proofErr w:type="spellStart"/>
      <w:r w:rsidRPr="00723DA9">
        <w:rPr>
          <w:rFonts w:ascii="Times New Roman" w:hAnsi="Times New Roman"/>
        </w:rPr>
        <w:fldChar w:fldCharType="begin" w:fldLock="1"/>
      </w:r>
      <w:r w:rsidRPr="00723DA9">
        <w:rPr>
          <w:rFonts w:ascii="Times New Roman" w:hAnsi="Times New Roman"/>
        </w:rPr>
        <w:instrText>ADDIN CSL_CITATION {"citationItems":[{"id":"ITEM-1","itemData":{"author":[{"dropping-particle":"","family":"Liu","given":"Qingfu","non-dropping-particle":"","parse-names":false,"suffix":""},{"dropping-particle":"","family":"Marchok","given":"Tim","non-dropping-particle":"","parse-names":false,"suffix":""},{"dropping-particle":"","family":"Pan","given":"Hua-lu","non-dropping-particle":"","parse-names":false,"suffix":""},{"dropping-particle":"","family":"Bender","given":"Morris","non-dropping-particle":"","parse-names":false,"suffix":""},{"dropping-particle":"","family":"Lord","given":"Stephen","non-dropping-particle":"","parse-names":false,"suffix":""}],"container-title":"NCEP Office Note","id":"ITEM-1","issued":{"date-parts":[["2000"]]},"page":"472","title":"Improvements in Hurricane Initialization and Forecasting at NCEP with Global and Regional ( GFDL ) models","type":"paper-conference"},"uris":["http://www.mendeley.com/documents/?uuid=432c0949-751b-4f5a-b482-e8a093126d11"]},{"id":"ITEM-2","itemData":{"author":[{"dropping-particle":"","family":"Liu","given":"Qingfu","non-dropping-particle":"","parse-names":false,"suffix":""},{"dropping-particle":"","family":"Lord","given":"Stephen","non-dropping-particle":"","parse-names":false,"suffix":""},{"dropping-particle":"","family":"Surgi","given":"Naomi","non-dropping-particle":"","parse-names":false,"suffix":""},{"dropping-particle":"","family":"Zhu","given":"Yuejian","non-dropping-particle":"","parse-names":false,"suffix":""},{"dropping-particle":"","family":"Wobus","given":"Richard","non-dropping-particle":"","parse-names":false,"suffix":""},{"dropping-particle":"","family":"Toth","given":"Zoltan","non-dropping-particle":"","parse-names":false,"suffix":""},{"dropping-particle":"","family":"Marchok","given":"Timothy","non-dropping-particle":"","parse-names":false,"suffix":""}],"container-title":"27th Conference on Hurricanes and Tropical Meteorology","id":"ITEM-2","issued":{"date-parts":[["2006"]]},"title":"Hurricane Relocation in Global Ensemble Forecast System","type":"paper-conference"},"uris":["http://www.mendeley.com/documents/?uuid=1a8cbd0a-b8d6-493d-9f17-38a64f3581ee"]},{"id":"ITEM-3","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Center","id":"ITEM-3","issued":{"date-parts":[["2015"]]},"number-of-pages":"1-81","title":"Hurricane Weather Research and Forecasting (HWRF) model: 2015 scientific documentation","type":"report"},"uris":["http://www.mendeley.com/documents/?uuid=b87ea64a-4059-481a-8188-da6f904806c8"]}],"mendeley":{"formattedCitation":"(Liu et al. 2000, 2006; Tallapragada et al. 2015)","manualFormatting":"Tallapragada et al. 2015","plainTextFormattedCitation":"(Liu et al. 2000, 2006; Tallapragada et al. 2015)","previouslyFormattedCitation":"(Liu et al. 2000, 2006; Tallapragada et al. 2015)"},"properties":{"noteIndex":0},"schema":"https://github.com/citation-style-language/schema/raw/master/csl-citation.json"}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Tallapragada</w:t>
      </w:r>
      <w:proofErr w:type="spellEnd"/>
      <w:r w:rsidRPr="00723DA9">
        <w:rPr>
          <w:rFonts w:ascii="Times New Roman" w:hAnsi="Times New Roman"/>
          <w:noProof/>
        </w:rPr>
        <w:t xml:space="preserve"> et al. 2015</w:t>
      </w:r>
      <w:r w:rsidRPr="00723DA9">
        <w:rPr>
          <w:rFonts w:ascii="Times New Roman" w:hAnsi="Times New Roman"/>
        </w:rPr>
        <w:fldChar w:fldCharType="end"/>
      </w:r>
      <w:r w:rsidRPr="00723DA9">
        <w:rPr>
          <w:rFonts w:ascii="Times New Roman" w:hAnsi="Times New Roman"/>
        </w:rPr>
        <w:t xml:space="preserve">).  </w:t>
      </w:r>
      <w:r w:rsidRPr="00723DA9">
        <w:rPr>
          <w:rFonts w:ascii="Times New Roman" w:hAnsi="Times New Roman"/>
        </w:rPr>
        <w:lastRenderedPageBreak/>
        <w:t xml:space="preserve">However, numerous observations and studies have suggested that asymmetric dynamics can play important roles in the TC intensity prediction, especially during the intensification phase </w:t>
      </w:r>
      <w:r w:rsidRPr="00723DA9">
        <w:rPr>
          <w:rFonts w:ascii="Times New Roman" w:hAnsi="Times New Roman"/>
        </w:rPr>
        <w:fldChar w:fldCharType="begin" w:fldLock="1"/>
      </w:r>
      <w:r w:rsidR="002E0A45" w:rsidRPr="00723DA9">
        <w:rPr>
          <w:rFonts w:ascii="Times New Roman" w:hAnsi="Times New Roman"/>
        </w:rPr>
        <w:instrText xml:space="preserve">ADDIN CSL_CITATION {"citationItems":[{"id":"ITEM-1","itemData":{"DOI":"10.1175/1520-0469(1999)056&lt;1197:PEAECA&gt;2.0.CO;2","ISBN":"0022-4928","ISSN":"0022-4928","abstract":"Hurricane eyewalls are often observed to be nearly circular structures, but they are occasionally observed to take on distinctly polygonal shapes. The shapes range from triangles to hexagons and, while they are often incomplete, straight line segments can be identified. Other observations implicate the existence of intense mesovortices within or near the eye region. Is there a relation between polygonal eyewalls and hurricane mesovortices? Are these phenomena just curiosities of the hurricane's inner-core circulation, or are they snapshots of an intrinsic mixing process within or near the eye that serves to determine the circulation and thermal structure of the {eye?As} a first step toward understanding the asymmetric vorticity dynamics of the hurricane's eye and eyewall region, these issues are examined within the framework of an unforced barotropic nondivergent model. Polygonal eyewalls are shown to form as a result of barotropic instability near the radius of maximum winds. After reviewing linear theory, simulations with a high-resolution pseudospectral numerical model are presented to follow the instabilities into their nonlinear regime. When the instabilities grow to finite amplitude, the vorticity of the eyewall region pools into discrete areas, creating the appearance of polygonal eyewalls. The circulations associated with these pools of vorticity suggest a connection to hurricane mesovortices. At later times the vorticity is ultimately rearranged into a nearly monopolar circular vortex. While the evolution of the finescale vorticity field is sensitive to the initial condition, the macroscopic end-states are found to be similar. In fact, the gross characteristics of the numerically simulated end-states are predicted analytically using a generalization of the minimum enstrophy hypothesis. In an effort to remove some of the weaknesses of the minimum enstrophy approach, a maximum entropy argument developed previously for rectilinear shear flows is extended to the vortex problem, and end-state solutions in the limiting case of tertiary mixing are {obtained.Implications} of these ideas for real hurricanes are discussed.","author":[{"dropping-particle":"","family":"Schubert","given":"Wayne H.","non-dropping-particle":"","parse-names":false,"suffix":""},{"dropping-particle":"","family":"Montgomery","given":"Michael T.","non-dropping-particle":"","parse-names":false,"suffix":""},{"dropping-particle":"","family":"Taft","given":"Richard K.","non-dropping-particle":"","parse-names":false,"suffix":""},{"dropping-particle":"","family":"Guinn","given":"Thomas A.","non-dropping-particle":"","parse-names":false,"suffix":""},{"dropping-particle":"","family":"Fulton","given":"Scott R.","non-dropping-particle":"","parse-names":false,"suffix":""},{"dropping-particle":"","family":"Kossin","given":"James P.","non-dropping-particle":"","parse-names":false,"suffix":""},{"dropping-particle":"","family":"Edwards","given":"James P.","non-dropping-particle":"","parse-names":false,"suffix":""}],"container-title":"Journal of the Atmospheric Sciences","id":"ITEM-1","issue":"9","issued":{"date-parts":[["1999"]]},"page":"1197-1223","title":"Polygonal Eyewalls, Asymmetric Eye Contraction, and Potential Vorticity Mixing in Hurricanes","type":"article-journal","volume":"56"},"uris":["http://www.mendeley.com/documents/?uuid=89a9ed9d-21bb-4ca5-a75b-8e1e48cff10b"]},{"id":"ITEM-2","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Review","id":"ITEM-2","issue":"6","issued":{"date-parts":[["2000"]]},"page":"1653-1680","title":"Low-Wavenumber Structure and Evolution of the Hurricane Inner Core Observed by Airborne Dual-Doppler Radar","type":"article-journal","volume":"128"},"uris":["http://www.mendeley.com/documents/?uuid=328d83df-7672-4fb9-8099-23b603173389"]},{"id":"ITEM-3","itemData":{"DOI":"10.1175/1520-0469(2004)061&lt;0003:ANLATP&gt;2.0.CO;2","ISSN":"0022-4928","abstract":"A new paradigm for the resiliency of tropical cyclone (TC) vortices in vertical shear flow is presented. To elucidate the basic dynamics, the authors follow previous work and consider initially barotropic vortices on an f plane. It is argued that the diabatically driven secondary circulation of the TC is not directly responsible for maintaining the vertical alignment of the vortex. Rather, an inviscid damping mechanism intrinsic to the dry adiabatic dynamics of the TC vortex suppresses departures from the upright state. Recent work has demonstrated that tilted quasigeostrophic vortices consisting of a core of positive vorticity surrounded by a skirt of lesser positive vorticity align through projection of the tilt asymmetry onto vortex Rossby waves (VRWs) and their subsequent damping (VRW damping). This work is extended here to the finite Rossby number (Ro) regime characteristic of real TCs. It is shown that the VRW damping mechanism provides a direct means of reducing the tilt of intense cyclonic vortices (Ro &amp;#62; 1) in unidirectional vertical shear. Moreover, intense TC-like, but initially barotropic, vortices are shown to be much more resilient to vertical shearing than previously believed. For initially upright, observationally based TC-like vortices in vertical shear, the existence of a &amp;#8220;downshear-left&amp;#8221; tilt equilibrium is demonstrated when the VRW damping is nonnegligible. On the basis of these findings, the axisymmetric component of the diabatically driven secondary circulation is argued to contribute indirectly to vortex resiliency against shear by increasing Ro and enhancing the radial gradient of azimuthal-mean potential vorticity. This, in addition to the reduction of static stability in moist ascent regions, increases the efficiency of the VRW damping mechanism.","author":[{"dropping-particle":"","family":"Reasor","given":"Paul D.","non-dropping-particle":"","parse-names":false,"suffix":""},{"dropping-particle":"","family":"Montgomery","given":"Michael T.","non-dropping-particle":"","parse-names":false,"suffix":""},{"dropping-particle":"","family":"Grasso","given":"Lewis D.","non-dropping-particle":"","parse-names":false,"suffix":""}],"container-title":"Journal of the Atmospheric Sciences","id":"ITEM-3","issued":{"date-parts":[["2004"]]},"page":"3-22","title":"A New Look at the Problem of Tropical Cyclones in Vertical Shear Flow: Vortex Resiliency","type":"article-journal","volume":"61"},"uris":["http://www.mendeley.com/documents/?uuid=209fe3f3-841c-4bfa-9f21-223e7feed6a7"]},{"id":"ITEM-4","itemData":{"DOI":"10.1017/S0022112002001647","abstract":"Mesovortices in the eyewall region of a hurricane are intriguing elements of the hurricane engine. In-situ measurements of them are sparse, however, and our under-standing of their overall role in the physics of a hurricane is incomplete. To further understand their dynamics an experimental apparatus using a homogeneous fluid (water) has been constructed to emulate the lower tropospheric flow of the hurricane eye/eyewall region. For experimental configurations possessing a central aspect ratio less than unity, a primary and secondary circulation similar to the inflow layer of an intense hurricane, and a similar radius-to-width ratio of the curvilinear shear layer bordering the eye and eyewall region, the flow supports two primary quasi-steady vortices and secondary intermittent vortices. The vortices form through Kelvin–Helmholtz instability of the curvilinear shear layer bordering the slowly upwelling fluid in the centre and the con-verging fluid from the periphery. The primary vortices are maintained by convergence of circulation from the periphery and merger of secondary vortices spawned along the shear layer. The horizontal flow field is measured using a particle image velocimeter. Despite the relatively strong secondary circulation through the parent vortex the horizontal flow is found to be approximately uniform in the direction parallel to the rotation axis. The peak tangential velocity is found to occur in the mesovortices and is roughly 50% greater than the parent vortex that supports them. The measurements provide insight into recent observations of excessive wind damage in landfalling storms and support the hypothesis that intense storms contain coherent vortex structures in the eyewall region with higher horizontal wind speeds locally than the parent hurricane.","author":[{"dropping-particle":"","family":"Montgomery","given":"Michael T.","non-dropping-particle":"","parse-names":false,"suffix":""},{"dropping-particle":"","family":"Vladimirov","given":"Vladimir A.","non-dropping-particle":"","parse-names":false,"suffix":""},{"dropping-particle":"V","family":"Denissenko","given":"Petr","non-dropping-particle":"","parse-names":false,"suffix":""}],"container-title":"J. Fluid Mech","id":"ITEM-4","issued":{"date-parts":[["2002"]]},"page":"1-32","publisher":"Cambridge University Press","title":"An experimental study on hurricane mesovortices","type":"article-journal","volume":"471"},"uris":["http://www.mendeley.com/documents/?uuid=f5235216-d9d0-32ff-9976-b515d70f2ed6"]},{"id":"ITEM-5","itemData":{"author":[{"dropping-particle":"","family":"Smith","given":"Roger K.","non-dropping-particle":"","parse-names":false,"suffix":""},{"dropping-particle":"","family":"Montgomery","given":"Michael T.","non-dropping-particle":"","parse-names":false,"suffix":""},{"dropping-particle":"","family":"Vogl","given":"Stefanie","non-dropping-particle":"","parse-names":false,"suffix":""}],"container-title":"QUARTERLY JOURNAL OF THE ROYAL METEOROLOGICAL SOCIETY","id":"ITEM-5","issued":{"date-parts":[["2008"]]},"page":"1-11","title":"A critique of Emanuel’s hurricane model and potential intensity theory","type":"article-journal","volume":"134"},"uris":["http://www.mendeley.com/documents/?uuid=342815a7-87c8-3408-a91f-e772b06dde3c"]},{"id":"ITEM-6","itemData":{"DOI":"10.1175/1520-0469(2003)060&lt;2349:HS&gt;2.0.CO;2","ISSN":"0022-4928","abstract":"High spatial and temporal resolution simulations using the Rotunno and Emanuel axisymmetric, cloud-resolving, hurricane model are found to greatly exceed Emanuel’s energetically based upper bound for maximum potential intensity (E-MPI). Using a control simulation similar to that of Rotunno and Emanuel with a sea surface temperature (SST) of 26.13°C, the E-MPI is exceeded after 15 simulation days, after the warming of the eye is able to extend down to the ocean surface. At still higher resolution, the modeled storm greatly exceeds E-MPI more quickly, during initial spinup, and the resulting intensity for the standard numerical and microphysical parameters is found to converge with, respectively, radial and vertical grid spacing of 3.75 km and 312.5 m with maximum tangential winds (Vmax) of ≈90 m s–1. This is notably greater than the energetically based upper bound of Vmax = 55 m s–1. This “superintensity” occurs only in the presence of an enhancement of low-level eye entropy. The high-entropy air is entrained into the eyewall primarily by a breakdown of an azimuthal vortex sheet at the inner edge of the eyewall. Among the many underlying assumptions of E-MPI, only the violation of the related assumptions that the eyewall is neutral to moist ascent and that no entropy is fluxed from the eye to the eyewall can explain the degree of superintensity observed; other assumptions may be individually violated but their impacts on the intensity estimates are much smaller. The impact of the entrainment of heat from the eye to the eyewall on E-MPI theory is estimated through an ad hoc increase in the effective SST as a way of accounting for a second source of heat. This procedure produces a close estimate of the modeled intensity, but the problem is not closed since the degree of eyewall heating is not known a priori. Published observations and recent three-dimensional, cloud-resolving modeling studies are reviewed that appear to present various aspects of the observed entropy structure and the eye–eyewall interaction of the superintensity mechanism.","author":[{"dropping-particle":"","family":"Persing","given":"John","non-dropping-particle":"","parse-names":false,"suffix":""},{"dropping-particle":"","family":"Montgomery","given":"Michael T.","non-dropping-particle":"","parse-names":false,"suffix":""}],"container-title":"Journal of the Atmospheric Sciences","id":"ITEM-6","issue":"19","issued":{"date-parts":[["2003"]]},"page":"2349-2371","title":"Hurricane Superintensity","type":"article-journal","volume":"60"},"uris":["http://www.mendeley.com/documents/?uuid=a3688c55-96aa-45e9-b9c7-c4a94014131d"]},{"id":"ITEM-7","itemData":{"DOI":"10.1175/JAS3598.1","ISBN":"0022-4928","ISSN":"0022-4928","abstract":"The fifth-generation Pennsylvania State University; National Center for Atmospheric Research (PSU&amp;#8211;NCAR)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 that required to maintain dynamic balance. Variations in the direction and magnitude of the tilt are consistent with the presence of a vortex Rossby wave quasi mode, which is characterized by a damped precession of the upper vortex relative to the lower vortex. While the time-averaged vertical motion is characterized by ascent in a shear-induced wavenumber-1 asymmetry, the instantaneous vertical motion is typically associated with deep updraft towers that generally form on the downtilt-right side of the eyewall and dissipate on the downtilt-left side. The updrafts towers are typically associated with eyewall mesovortices rotating cyclonically around the eyewall and result from an interaction between the shear-induced relative asymmetric flow and the cyclonic circulations of the mesovortices. The eyewall mesovortices may persist for more than one orbit around the eyewall and, in these cases, can initiate multiple episodes of upward motion.","author":[{"dropping-particle":"","family":"Braun","given":"S A","non-dropping-particle":"","parse-names":false,"suffix":""},{"dropping-particle":"","family":"Montgomery","given":"Michael T","non-dropping-particle":"","parse-names":false,"suffix":""},{"dropping-particle":"","family":"Pu","given":"Zhaoxia","non-dropping-particle":"","parse-names":false,"suffix":""}],"container-title":"J. Atmos. Sci.","id":"ITEM-7","issue":"1998","issued":{"date-parts":[["2006"]]},"page":"19-42","title":"High-Resolution Simulation of Hurricane Bonnie (1998). Part I: The Organization of Eyewall Vertical Motion","type":"article-journal","volume":"63"},"uris":["http://www.mendeley.com/documents/?uuid=c3ea7d16-96db-42a1-9e17-80fce6f29821"]},{"id":"ITEM-8","itemData":{"DOI":"10.1175/JAS3921.1","ISSN":"0022-4928","abstract":"The transport and mixing characteristics of a large sample of air parcels within a mature and vertically sheared hurricane vortex are examined. Data from a high-resolution (2-km horizontal grid spacing) numerical simulation of real-case Hurricane Bonnie (1998) are used to calculate Lagrangian trajectories of air parcels in various subdomains of the hurricane (namely, the eye, eyewall, and near environment) to study the degree of interaction (transport and mixing) between these subdomains. It is found that 1) there is transport and mixing from the low-level eye to the eyewall that carries air possessing relatively high values of equivalent potential temperature (&amp;#952;e), which can enhance the efficiency of the hurricane heat engine; 2) a portion of the low-level inflow of the hurricane bypasses the eyewall to enter the eye, and this air both replaces the mass of the low-level eye and lingers for a sufficient time (order 1 h) to acquire enhanced entropy characteristics through interaction with the ocean beneath the eye; 3) air in the mid- to upper-level eye is exchanged with the eyewall such that more than half the air of the eye is exchanged in 5 h in this case of a sheared hurricane; and 4) that one-fifth of the mass in the eyewall at a height of 5 km has an origin in the mid- to upper-level environment where &amp;#952;e is much less than in the eyewall, which ventilates the ensemble average eyewall &amp;#952;e by about 1 K. Implications of these findings for the problem of hurricane intensity forecasting are briefly discussed.","author":[{"dropping-particle":"","family":"Cram","given":"Thomas a.","non-dropping-particle":"","parse-names":false,"suffix":""},{"dropping-particle":"","family":"Persing","given":"John","non-dropping-particle":"","parse-names":false,"suffix":""},{"dropping-particle":"","family":"Montgomery","given":"Michael T.","non-dropping-particle":"","parse-names":false,"suffix":""},{"dropping-particle":"","family":"Braun","given":"Scott a.","non-dropping-particle":"","parse-names":false,"suffix":""}],"container-title":"Journal of the Atmospheric Sciences","id":"ITEM-8","issue":"6","issued":{"date-parts":[["2007"]]},"page":"1835-1856","title":"A Lagrangian Trajectory View on Transport and Mixing Processes between the Eye, Eyewall, and Environment Using a High-Resolution Simulation of Hurricane Bonnie (1998)","type":"article-journal","volume":"64"},"uris":["http://www.mendeley.com/documents/?uuid=4d2d40df-b145-431f-bfba-ddb502d48d81"]},{"id":"ITEM-9","itemData":{"DOI":"10.1002/qj","ISBN":"0035-9009","ISSN":"00359009","PMID":"19706430","abstract":"We present numerical-model experiments to investigate the dynamics of tropical-cyclone amplification and its predictability in three dimensions. For the prototype amplification problem beginning with a weak-tropical-storm-strength vortex, the emergent flow becomes highly asymmetric and dominated by deep convective vortex structures, even though the problem as posed is essentially axisymmetric. The asymmetries that develop are highly sensitive to the boundary- layer moisture distribution. When a small random moisture perturbation is added in the boundary layer at the initial time, the pattern of evolution of the flow asymmetries is changed dramatically, and a non-negligible spread in the local and azimuthally-averaged intensity results. We conclude, first, that the flow on the convective scales exhibits a degree of randomness, and only those asymmetric features that survive in an ensemble average of many realizations can be regarded as robust; and secondly, that there is an intrinsic uncertainty in the prediction of maximum intensity using either maximum- wind or minimum-surface-pressure metrics. There are clear implications for the possibility of deterministic forecasts of the mesoscale structure of tropical cyclones, which may have a major impact on the intensity and on rapid intensity changes. Some other aspects of vortex structure are addressed also, including vortex-size parameters, and sensitivity to the inclusion of different physical processes or higher spatial resolution. We investigate also the analogous problem on a β-plane, a prototype problem for tropical-cyclone motion. A new perspective on the putative role of the wind–evaporation feedback process for tropical-cyclone intensification is offered also. The results provide new insight into the fluid dynamics of the intensification process in three dimensions, and at the same time suggest limitations of deterministic prediction for the mesoscale structure. Larger-scale characteristics, such as the radius of gale-force winds and β-gyres, are found to be less variable than their mesoscale counterparts.","author":[{"dropping-particle":"Van","family":"Sang","given":"Nguyen","non-dropping-particle":"","parse-names":false,"suffix":""},{"dropping-particle":"","family":"Smith","given":"Roger K.","non-dropping-particle":"","parse-names":false,"suffix":""},{"dropping-particle":"","family":"Montgomery","given":"Michael T.","non-dropping-particle":"","parse-names":false,"suffix":""}],"container-title":"Quarterly Journal of the Royal Meteorological Society","id":"ITEM-9","issued":{"date-parts":[["2008"]]},"page":"563-582","title":"Tropical-cyclone intensification and predictability in three dimensions","type":"article-journal","volume":"134"},"uris":["http://www.mendeley.com/documents/?uuid=01da6135-aa61-4444-beec-05c0aaad3b36"]},{"id":"ITEM-10","itemData":{"DOI":"10.1002/qj.823","ISBN":"0035-9009","ISSN":"00359009","abstract":"A simulation of Hurricane Katrina (2005) using the Australian Bureau of Meteorology's operational model for tropical-cyclone prediction (TCLAPS) shows that the simulated vortex vacillates between almost symmetric and highly asymmetric phases. During the symmetric phase, the eyewall comprises elongated convective bands and both the low-level potential vorticity (PV) and pseudo-equivalent potential temperature </w:instrText>
      </w:r>
      <w:r w:rsidR="002E0A45" w:rsidRPr="00723DA9">
        <w:rPr>
          <w:rFonts w:ascii="Tahoma" w:hAnsi="Tahoma" w:cs="Tahoma"/>
        </w:rPr>
        <w:instrText>��</w:instrText>
      </w:r>
      <w:r w:rsidR="002E0A45" w:rsidRPr="00723DA9">
        <w:rPr>
          <w:rFonts w:ascii="Times New Roman" w:hAnsi="Times New Roman"/>
        </w:rPr>
        <w:instrText xml:space="preserve">e fields exhibit a ring structure, with the maximum at some radius from the vortex centre. During this phase the mean flow intensifies comparatively rapidly, as the maximum acceleration of the mean tangential wind occurs near the radius of maximum mean tangential wind (RMW). In contrast, during the asymmetric phase the eyewall is more polygonal, with vortical hot towers (VHTs) located at the vertices. The low-level PV and </w:instrText>
      </w:r>
      <w:r w:rsidR="002E0A45" w:rsidRPr="00723DA9">
        <w:rPr>
          <w:rFonts w:ascii="Tahoma" w:hAnsi="Tahoma" w:cs="Tahoma"/>
        </w:rPr>
        <w:instrText>��</w:instrText>
      </w:r>
      <w:r w:rsidR="002E0A45" w:rsidRPr="00723DA9">
        <w:rPr>
          <w:rFonts w:ascii="Times New Roman" w:hAnsi="Times New Roman"/>
        </w:rPr>
        <w:instrText>e fields have monopole structures with the maximum at the centre. The intensification rate is lower than during the symmetric phase because the mean tangential wind accelerates most rapidly well within the RMW. The symmetric-to-asymmetric transition is accompanied by the development of VHTs within the eyewall. The VHTs are shown to be initiated by barotropic-convective instability associated with the ring-like structure of PV in the eyewall where the convective instability is large. During the reverse asymmetric-to-symmetric transition, the VHTs weaken as the local vertical wind shear increases and the convective available potential energy is consumed by convection. The weakened VHTs move outwards, similar to vortex Rossby waves, and are stretched by the angular shear of the mean vortex. Simultaneously, the rapid filamentation zone outside the RMW weakens, becoming more favourable for the development of convection. The next symmetric phase emerges as the convection reorganizes into a more symmetric eyewall. It is proposed that vacillation cycles occur in young tropical cyclones and are distinct from the eyewall replacement cycles that tend to occur in strong and mature tropical cyclones.","author":[{"dropping-particle":"","family":"Nguyen","given":"Mai C.","non-dropping-particle":"","parse-names":false,"suffix":""},{"dropping-particle":"","family":"Reeder","given":"Michael J.","non-dropping-particle":"","parse-names":false,"suffix":""},{"dropping-particle":"","family":"Davidson","given":"Noel E.","non-dropping-particle":"","parse-names":false,"suffix":""},{"dropping-particle":"","family":"Smith","given":"Roger K.","non-dropping-particle":"","parse-names":false,"suffix":""},{"dropping-particle":"","family":"Montgomery","given":"Michael T.","non-dropping-particle":"","parse-names":false,"suffix":""}],"container-title":"Quarterly Journal of the Royal Meteorological Society","id":"ITEM-10","issue":"657","issued":{"date-parts":[["2011"]]},"page":"829-844","title":"Inner-core vacillation cycles during the intensification of Hurricane Katrina","type":"article-journal","volume":"137"},"uris":["http://www.mendeley.com/documents/?uuid=95343d2c-34ef-473c-8144-831b62355037"]},{"id":"ITEM-11","itemData":{"author":[{"dropping-particle":"","family":"Montgomery","given":"Michael T","non-dropping-particle":"","parse-names":false,"suffix":""},{"dropping-particle":"","family":"Smith","given":"Roger K","non-dropping-particle":"","parse-names":false,"suffix":""}],"container-title":"Aust. Meteor. Oceanogr. J.","id":"ITEM-11","issued":{"date-parts":[["2014"]]},"page":"37-66","title":"Paradigms for tropical-cyclone intensification","type":"article-journal","volume":"64"},"uris":["http://www.mendeley.com/documents/?uuid=4c579885-fe03-45ab-b5f4-b2b652a52809"]},{"id":"ITEM-12","itemData":{"DOI":"10.5194/acp-13-12299-2013","ISSN":"16807316","abstract":"We present the results of idealized numerical ex-periments to examine the difference between tropical cyclone evolution in three-dimensional (3-D) and axisymmetric (AX) model configurations. We focus on the prototype problem for intensification, which considers the evolution of an ini-tially unsaturated AX vortex in gradient-wind balance on an f plane. Consistent with findings of previous work, the ma-ture intensity in the 3-D model is reduced relative to that in the AX model. In contrast with previous interpretations in-voking barotropic instability and related horizontal mixing processes as a mechanism detrimental to the spin-up pro-cess, the results indicate that 3-D eddy processes associated with vortical plume structures can assist the intensification process by contributing to a radial contraction of the maxi-mum tangential velocity and to a vertical extension of tan-gential winds through the depth of the troposphere. These plumes contribute significantly also to the azimuthally av-eraged heating rate and the corresponding azimuthal-mean overturning circulation. The comparisons show that the resolved 3-D eddy momen-tum fluxes above the boundary layer exhibit counter-gradient characteristics during a key spin-up period, and more gen-erally are not solely diffusive. The effects of these eddies are thus not properly represented by the subgrid-scale pa-rameterizations in the AX configuration. The resolved eddy fluxes act to support the contraction and intensification of the maximum tangential winds. The comparisons indicate funda-mental differences between convective organization in the 3-D and AX configurations for meteorologically relevant fore-cast timescales. While the radial and vertical gradients of the system-scale angular rotation provide a hostile environment for deep convection in the 3-D model, with a corresponding tendency to strain the convective elements in the tangential direction, deep convection in the AX model does not suf-fer this tendency. Also, since during the 3-D intensification process the convection has not yet organized into annular rings, the azimuthally averaged heating rate and radial gra-dient thereof is considerably less than that in the AX model. This lack of organization results broadly in a slower intensifi-cation rate in the 3-D model and leads ultimately to a weaker mature vortex after 12 days of model integration. While az-imuthal mean heating rates in the 3-D model are weaker than those in the AX model, local heat…","author":[{"dropping-particle":"","family":"Persing","given":"J.","non-dropping-particle":"","parse-names":false,"suffix":""},{"dropping-particle":"","family":"Montgomery","given":"M. T.","non-dropping-particle":"","parse-names":false,"suffix":""},{"dropping-particle":"","family":"McWilliams","given":"J. C.","non-dropping-particle":"","parse-names":false,"suffix":""},{"dropping-particle":"","family":"Smith","given":"R. K.","non-dropping-particle":"","parse-names":false,"suffix":""}],"container-title":"Atmospheric Chemistry and Physics","id":"ITEM-12","issue":"24","issued":{"date-parts":[["2013"]]},"page":"12299-12341","title":"Asymmetric and axisymmetric dynamics of tropical cyclones","type":"article-journal","volume":"13"},"uris":["http://www.mendeley.com/documents/?uuid=36b1f40d-8da2-47d0-8277-9245152e3492"]}],"mendeley":{"formattedCitation":"(Schubert et al. 1999; Reasor et al. 2000, 2004; Montgomery et al. 2002; Smith et al. 2008; Persing and Montgomery 2003; Braun et al. 2006; Cram et al. 2007; Sang et al. 2008; Nguyen et al. 2011; Montgomery and Smith 2014; Persing et al. 2013)","plainTextFormattedCitation":"(Schubert et al. 1999; Reasor et al. 2000, 2004; Montgomery et al. 2002; Smith et al. 2008; Persing and Montgomery 2003; Braun et al. 2006; Cram et al. 2007; Sang et al. 2008; Nguyen et al. 2011; Montgomery and Smith 2014; Persing et al. 2013)","previouslyFormattedCitation":"(Schubert et al. 1999; Reasor et al. 2000, 2004; Montgomery et al. 2002; Smith et al. 2008; Persing and Montgomery 2003; Braun et al. 2006; Cram et al. 2007; Sang et al. 2008; Nguyen et al. 2011; Montgomery and Smith 2014; Persing et al. 2013)"},"properties":{"noteIndex":0},"schema":"https://github.com/citation-style-language/schema/raw/master/csl-citation.json"}</w:instrText>
      </w:r>
      <w:r w:rsidRPr="00723DA9">
        <w:rPr>
          <w:rFonts w:ascii="Times New Roman" w:hAnsi="Times New Roman"/>
        </w:rPr>
        <w:fldChar w:fldCharType="separate"/>
      </w:r>
      <w:r w:rsidR="002E0A45" w:rsidRPr="00723DA9">
        <w:rPr>
          <w:rFonts w:ascii="Times New Roman" w:hAnsi="Times New Roman"/>
          <w:noProof/>
        </w:rPr>
        <w:t>(Schubert et al. 1999; Reasor et al. 2000, 2004; Montgomery et al. 2002; Smith et al. 2008; Persing and Montgomery 2003; Braun et al. 2006; Cram et al. 2007; Sang et al. 2008; Nguyen et al. 2011; Montgomery and Smith 2014; Persing et al. 2013)</w:t>
      </w:r>
      <w:r w:rsidRPr="00723DA9">
        <w:rPr>
          <w:rFonts w:ascii="Times New Roman" w:hAnsi="Times New Roman"/>
        </w:rPr>
        <w:fldChar w:fldCharType="end"/>
      </w:r>
      <w:r w:rsidRPr="00723DA9">
        <w:rPr>
          <w:rFonts w:ascii="Times New Roman" w:hAnsi="Times New Roman"/>
        </w:rPr>
        <w:t xml:space="preserve">.  For example, the rapidly-intensifying TCs are usually accompanied with asymmetric convective bursts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{"citationItems":[{"id":"ITEM-1","itemData":{"DOI":"10.1175/JAS3604.1","ISSN":"0022-4928","abstract":"Abstract A nonhydrostatic cloud model is used to examine the thermomechanics of tropical cyclogenesis under realistic meteorological conditions. Observations motivate the focus on the problem of how a midtropospheric cyclonic vortex, a frequent by-product of mesoscale convective systems during summertime conditions over tropical oceans, may be transformed into a surface-concentrated (warm core) tropical depression. As a first step, the vortex transformation is studied in the absence of vertical wind shear or zonal flow. Within the cyclonic vorticity-rich environment of the mesoscale convective vortex (MCV) embryo, the simulations demonstrate that small-scale cumulonimbus towers possessing intense cyclonic vorticity in their cores [vortical hot towers (VHTs)] emerge as the preferred coherent structures. The VHTs acquire their vertical vorticity through a combination of tilting of MCV horizontal vorticity and stretching of MCV and VHT-generated vertical vorticity. Horizontally localized and exhibiting conve...","author":[{"dropping-particle":"","family":"Montgomery","given":"M. T.","non-dropping-particle":"","parse-names":false,"suffix":""},{"dropping-particle":"","family":"Nicholls","given":"M. E.","non-dropping-particle":"","parse-names":false,"suffix":""},{"dropping-particle":"","family":"Cram","given":"T. a.","non-dropping-particle":"","parse-names":false,"suffix":""},{"dropping-particle":"","family":"Saunders","given":"a. B.","non-dropping-particle":"","parse-names":false,"suffix":""}],"container-title":"Journal of the Atmospheric Sciences","id":"ITEM-1","issue":"1997","issued":{"date-parts":[["2006"]]},"page":"355-386","title":"A Vortical Hot Tower Route to Tropical Cyclogenesis","type":"article-journal","volume":"63"},"uris":["http://www.mendeley.com/documents/?uuid=b9fe3318-8a4b-4988-9e7f-02c6f62b260a"]},{"id":"ITEM-2","itemData":{"DOI":"10.1175/2010JAS3659.1","ISSN":"0022-4928","author":[{"dropping-particle":"","family":"Fierro","given":"Alexandre O.","non-dropping-particle":"","parse-names":false,"suffix":""},{"dropping-particle":"","family":"Reisner","given":"Jon M.","non-dropping-particle":"","parse-names":false,"suffix":""}],"container-title":"Journal of the Atmospheric Sciences","id":"ITEM-2","issue":"3","issued":{"date-parts":[["2011"]]},"page":"477-494","title":"High-Resolution Simulation of the Electrification and Lightning of Hurricane Rita during the Period of Rapid Intensification","type":"article-journal","volume":"68"},"uris":["http://www.mendeley.com/documents/?uuid=91a714a2-e76e-4e46-8987-a3488ac67e97"]},{"id":"ITEM-3","itemData":{"DOI":"10.1175/JAS-D-12-062.1","ISSN":"0022-4928","abstract":"Previous studies have focused mostly on the roles of environmental factors in the rapid intensification (RI) of tropical cyclones (TCs) because of the lack of high-resolution data in inner-core regions. In this study, the RI of TCs is examined by analyzing the relationship between an upper-level warm core, convective bursts (CBs), sea surface temperature (SST), and surface pressure falls from 72-h cloud-permitting predictions of Hurricane Wilma (2005) with the finest grid size of 1 km. Results show that both the upper-level inertial stability increases and static stability decreases sharply 2–3 h prior to RI, and that the formation of an upper-level warm core, from the subsidence of stratospheric air associated with the detrainment of CBs, coincides with the onset of RI. It is found that the development of CBs precedes RI, but most subsidence warming radiates away by gravity waves and storm-relative flows. In contrast, many fewer CBs occur during RI, but more subsidence warming contributes to the balanced upper-level cyclonic circulation in the warm-core (as intense as 20°C) region. Furthermore, considerable CB activity can still take place in the outer eyewall as the storm weakens during its eyewall replacement. A sensitivity simulation, in which SSTs are reduced by 1°C, shows pronounced reductions in the upper-level warm-core intensity and CB activity. It is concluded that significant CB activity in the inner-core regions is an important ingredient in generating the upper-level warm core that is hydrostatically more efficient for the RI of TCs, given all of the other favorable environmental conditions.","author":[{"dropping-particle":"","family":"Chen","given":"Hua","non-dropping-particle":"","parse-names":false,"suffix":""},{"dropping-particle":"","family":"Zhang","given":"Da-Lin","non-dropping-particle":"","parse-names":false,"suffix":""}],"container-title":"Journal of the Atmospheric Sciences","id":"ITEM-3","issue":"1","issued":{"date-parts":[["2013"]]},"page":"146-162","title":"On the Rapid Intensification of Hurricane Wilma (2005). Part II: Convective bursts and the upper-level warm core","type":"article-journal","volume":"70"},"uris":["http://www.mendeley.com/documents/?uuid=bbe0f356-8dcf-4f92-909e-7e7b64730fa2"]},{"id":"ITEM-4","itemData":{"DOI":"10.1175/MWR-D-14-00175.1","ISBN":"0027-0644\\r1520-0493","ISSN":"0027-0644","abstract":"The structure and evolution of Hurricane Earl (2010) during its rapid intensification as sampled by aircraft is studied here. Rapid intensification occurs in two stages. During the early stage, covering ~24h, Earl was a tropical stormexperiencingmoderate northeasterly shear with an asymmetric distribution of convection, and the symmetric structure was shallow, broad, and diffuse. The upper-level circulation center was significantly displaced from the lower-level circulation at the beginning of this stage. Deep, vigorous convection—termed convective bursts—was located on the east side of the storm and appeared to play a role in positioning the upper-level cyclonic circulation center above the low-level center.By the endof this stage the vortexwas aligned and extended over a deep layer, and rapid intensification began. During the late stage, rapid intensification continued as Earl intensified ~20 m/s during the next 24h. The vortex remained aligned in the presence of weaker vertical shear, although azimuthal asymmetries persisted that were characteristic of vortices in shear. Convective bursts concentrated near the radius ofmaximumwinds,with themajority located insidethe radius of maximum winds. Each of the two stages described here raises questions about the role of convective- and vortex-scale processes inrapid intensification.During the early stage, the focus isonthe role of convective bursts and their associated mesoscale convective system on vortex alignment and the onset of rapid intensification. During the late stage, the focus is on the processes that explain the observed radial distribution of convective bursts that peak inside the radius of maximum winds.","author":[{"dropping-particle":"","family":"Rogers","given":"Robert F.","non-dropping-particle":"","parse-names":false,"suffix":""},{"dropping-particle":"","family":"Reasor","given":"Paul D.","non-dropping-particle":"","parse-names":false,"suffix":""},{"dropping-particle":"","family":"Zhang","given":"Jun a.","non-dropping-particle":"","parse-names":false,"suffix":""}],"container-title":"Monthly Weather Review","id":"ITEM-4","issue":"2","issued":{"date-parts":[["2015"]]},"page":"536-562","title":"Multiscale Structure and Evolution of Hurricane Earl (2010) during Rapid Intensification","type":"article-journal","volume":"143"},"uris":["http://www.mendeley.com/documents/?uuid=021a62a3-06d9-4244-8530-cff2e1f5fcdd"]},{"id":"ITEM-5","itemData":{"DOI":"10.1175/MWR-D-14-00283.1","ISSN":"0027-0644","abstract":"An investigation into the possible causes of the rapid intensification (RI) of Hurricane Earl (2010) is carried out using a combination of global analyses, aircraft Doppler radar data, and observations from passive microwave satellites and a long-range lightning network. Results point to an important series of events leading to, and just after, the onset of RI, all of which occur despite moderate (7–12 m s−1) vertical wind shear present. Beginning with an initially vertically misaligned vortex, observations indicate that asymmetric deep convection, initially left of shear but not distinctly up- or downshear, rotates into more decisively upshear regions. Following this convective rotation, the vortex becomes aligned and precipitation symmetry increases. The potential contributions to intensification from each of these structural changes are discussed. The radial distribution of intense convection relative to the radius of maximum wind (RMW; determined from Doppler wind retrievals) is estimated from microwave and lightning data. Results indicate that intense convection is preferentially located within the upper-level (8 km) RMW during RI, lending further support to the notion that intense convection within the RMW promotes tropical cyclone intensification. The distribution relative to the low-level RMW is more ambiguous, with intense convection preferentially located just outside of the low-level RMW at times when the upper-level RMW is much greater than the low-level RMW.","author":[{"dropping-particle":"","family":"Susca-Lopata","given":"Gabriel","non-dropping-particle":"","parse-names":false,"suffix":""},{"dropping-particle":"","family":"Zawislak","given":"Jonathan","non-dropping-particle":"","parse-names":false,"suffix":""},{"dropping-particle":"","family":"Zipser","given":"Edward J.","non-dropping-particle":"","parse-names":false,"suffix":""},{"dropping-particle":"","family":"Rogers","given":"Robert F.","non-dropping-particle":"","parse-names":false,"suffix":""}],"container-title":"Monthly Weather Review","id":"ITEM-5","issue":"6","issued":{"date-parts":[["2015"]]},"page":"2207-2223","title":"The Role of Observed Environmental Conditions and Precipitation Evolution in the Rapid Intensification of Hurricane Earl (2010)","type":"article-journal","volume":"143"},"uris":["http://www.mendeley.com/documents/?uuid=7263ae46-2788-487a-880d-ad149dab5356"]},{"id":"ITEM-6","itemData":{"DOI":"10.1175/JAS-D-16-0026.1","ISSN":"0022-4928","abstract":"The evolution of rapidly intensifying Hurricane Karl (2010) is examined from a suite of remote sensing observations during the NASA Genesis and Rapid Intensification Processes (GRIP) field experiment. The novelties of this study are in the analysis of data from the airborne Doppler radar High-Altitude Imaging Wind and Rain Airborne Profiler (HIWRAP) and the new Global Hawk airborne platform that allows long endurance sampling of hurricanes. Supporting data from the High-Altitude Monolithic Microwave Integrated Circuit (MMIC) Sounding Radiometer (HAMSR) microwave sounder coincident with HIWRAP and coordinated flights with the NOAA WP-3D aircraft help to provide a comprehensive understanding of the storm. The focus of the analysis is on documenting and understanding the structure, evolution, and role of small-scale deep convective forcing in the storm intensification process. Deep convective bursts are sporadically initiated in the downshear quadrants of the storm and rotate into the upshear quadrants for a period of ;12 h during the rapid intensification. The aircraft data analysis indicates that the bursts are being formed and maintained through a combination of two main processes: 1) convergence generated from counterrotating mesovortex circulations and the larger vortex-scale flow and 2) the turbulent (scales of ;25 km) transport of anomalously warm, buoyant air from the eye to the eyewall at low levels. The turbulent mixing across the eyewall interface and forced convective descent adjacent to the bursts assists in carving out the eye of Karl, which leads to an asymmetric enhancement of the warm core. The mesovortices play a key role in the evolution of the features described above. The Global Hawk aircraft allowed an examination of the vortex response and axisymmetrization period in addition to the burst pulsing phase. A pronounced axisymmetric development of the vortex is observed following the pulsing phase that includes a sloped eyewall structure and formation of a clear, wide eye.","author":[{"dropping-particle":"","family":"Guimond","given":"Stephen R.","non-dropping-particle":"","parse-names":false,"suffix":""},{"dropping-particle":"","family":"Heymsfield","given":"Gerald M.","non-dropping-particle":"","parse-names":false,"suffix":""},{"dropping-particle":"","family":"Reasor","given":"Paul D.","non-dropping-particle":"","parse-names":false,"suffix":""},{"dropping-particle":"","family":"Didlake","given":"Anthony C.","non-dropping-particle":"","parse-names":false,"suffix":""}],"container-title":"Journal of the Atmospheric Sciences","id":"ITEM-6","issue":"2010","issued":{"date-parts":[["2016"]]},"page":"3617-3639","title":"The Rapid Intensification of Hurricane Karl ( 2010 ): New Remote Sensing Observations of Convective Bursts from the Global Hawk Platform","type":"article-journal","volume":"73"},"uris":["http://www.mendeley.com/documents/?uuid=176a5769-f6c0-4b92-aa87-9f8b4a14b83a"]}],"mendeley":{"formattedCitation":"(Montgomery et al. 2006; Fierro and Reisner 2011; Chen and Zhang 2013; Rogers et al. 2015; Susca-Lopata et al. 2015; Guimond et al. 2016)","plainTextFormattedCitation":"(Montgomery et al. 2006; Fierro and Reisner 2011; Chen and Zhang 2013; Rogers et al. 2015; Susca-Lopata et al. 2015; Guimond et al. 2016)","previouslyFormattedCitation":"(Montgomery et al. 2006; Fierro and Reisner 2011; Chen and Zhang 2013; Rogers et al. 2015; Susca-Lopata et al. 2015; Guimond et al. 2016)"},"properties":{"noteIndex":0},"schema":"https://github.com/citation-style-language/schema/raw/master/csl-citation.json"}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(Montgomery et al. 2006; Fierro and Reisner 2011; Chen and Zhang 2013; Rogers et al. 2015; Susca-Lopata et al. 2015; Guimond et al. 2016)</w:t>
      </w:r>
      <w:r w:rsidRPr="00723DA9">
        <w:rPr>
          <w:rFonts w:ascii="Times New Roman" w:hAnsi="Times New Roman"/>
        </w:rPr>
        <w:fldChar w:fldCharType="end"/>
      </w:r>
      <w:r w:rsidRPr="00723DA9">
        <w:rPr>
          <w:rFonts w:ascii="Times New Roman" w:hAnsi="Times New Roman"/>
        </w:rPr>
        <w:t xml:space="preserve">.  Therefore, more realistic inner-core initial conditions are required for TC predictions rather than the </w:t>
      </w:r>
      <w:bookmarkStart w:id="117" w:name="OLE_LINK94"/>
      <w:bookmarkStart w:id="118" w:name="OLE_LINK90"/>
      <w:bookmarkStart w:id="119" w:name="OLE_LINK89"/>
      <w:r w:rsidRPr="00723DA9">
        <w:rPr>
          <w:rFonts w:ascii="Times New Roman" w:hAnsi="Times New Roman"/>
        </w:rPr>
        <w:t>axisymmetric storms generated through VM</w:t>
      </w:r>
      <w:bookmarkEnd w:id="117"/>
      <w:bookmarkEnd w:id="118"/>
      <w:bookmarkEnd w:id="119"/>
      <w:r w:rsidRPr="00723DA9">
        <w:rPr>
          <w:rFonts w:ascii="Times New Roman" w:hAnsi="Times New Roman"/>
        </w:rPr>
        <w:t xml:space="preserve">.  More recent studies suggested that efficient inner-core DA can be a better initialization approach than VM when inner-core observations are available </w:t>
      </w:r>
      <w:r w:rsidRPr="00723DA9">
        <w:rPr>
          <w:rFonts w:ascii="Times New Roman" w:hAnsi="Times New Roman"/>
        </w:rPr>
        <w:fldChar w:fldCharType="begin" w:fldLock="1"/>
      </w:r>
      <w:r w:rsidR="0052713F" w:rsidRPr="00723DA9">
        <w:rPr>
          <w:rFonts w:ascii="Times New Roman" w:hAnsi="Times New Roman"/>
        </w:rPr>
        <w:instrText>ADDIN CSL_CITATION {"citationItems":[{"id":"ITEM-1","itemData":{"DOI":"10.1175/2009MWR2656.1","ISSN":"0027-0644","abstract":"An ensemble Kalman filter (EnKF) based on the Weather Research and Forecasting model is applied to generate ensemble analyses and forecasts of Hurricane Katrina (2005) and the surrounding area every six-hours over the lifetime of the storm on a nested domain. Analyses are derived from assimilating conventional in situ observations, reconnaissance dropsondes, including data taken during the Hurricane Rainband and Intensity Exchange Experiment (RAINEX), and tropical cyclone position estimates. Observation assimilation at individual times consistently reduces errors in tropical cyclone position, but not necessarily in intensity; however, withholding observations leads to significantly larger errors in both quantities. Analysis increments for observations near the tropical cyclone are dominated by changes in vortex position, and these increments increase the asymmetric structure of the storm.Data denial experiments indicate that dropsondes deployed in the synoptic environment provide minimal benefit to the outer domain; however, dropsondes deployed within the TC lead to significant reductions in position and intensity errors on the inner domain. Specifically, errors in the inner domain ensemble-mean six-hour forecasts of minimum pressure are 70&amp;#37; larger when dropsonde data is not assimilated. Precipitation fields are qualitatively similar to TRMM satellite estimates, although model values are double the values of the satellite estimate. Moreover, the &amp;#8220;spin up&amp;#8221; period and initial imbalance in EnKF-initialized WRF forecasts is less than starting the model from a GFS analysis. Ensemble-mean 48-hour forecasts initialized with EnKF analyses have track and intensity errors that are 50&amp;#37; smaller than GFS and NHC official forecasts.","author":[{"dropping-particle":"","family":"Torn","given":"Ryan D.","non-dropping-particle":"","parse-names":false,"suffix":""},{"dropping-particle":"","family":"Hakim","given":"Gregory J.","non-dropping-particle":"","parse-names":false,"suffix":""}],"container-title":"Monthly Weather Review","id":"ITEM-1","issue":"9","issued":{"date-parts":[["2009"]]},"page":"2817-2829","title":"Ensemble Data Assimilation Applied to RAINEX Observations of Hurricane Katrina (2005)","type":"article-journal","volume":"137"},"uris":["http://www.mendeley.com/documents/?uuid=6d1e0afd-4696-489c-91e1-133a62eae306"]},{"id":"ITEM-2","itemData":{"DOI":"10.1175/2009MWR2828.1","ISBN":"0027-0644","ISSN":"0027-0644","abstract":"Initialization of the hurricane vortex in weather prediction models is vital to intensity forecasts out to at least 48 h. Airborne Doppler radar (ADR) data have sufficiently high horizontal and vertical resolution to resolve the hurricane vortex and its imbedded structures but have not been extensively used in hurricane initialization. Using the Weather Research and Forecasting (WRF) three-dimensional variational data assimilation (3DVAR) system, the ADR data are assimilated to recover the hurricane vortex dynamic and thermodynamic structures at the WRF model initial time. The impact of the ADR data on three hurricanes, Jeanne (2004), Katrina (2005) and Rita (2005), are examined during their rapid intensification and subsequent weakening periods before landfall. With the ADR wind data assimilated, the three-dimensional winds in the hurricane vortex become stronger and the maximum 10-m winds agree better with independent estimates from best-track data than without ADR data assimilation. Through the multivariate incremental structure in WRF3DVAR analysis, the central sea level pressures (CSLPs) for the three hurricanes are lower in response to the stronger vortex at initialization. The size and inner-core structure of each vortex are adjusted closer to observations of these attributes. Addition of reflectivity data in assimilation produces cloud water and rainwater analyses in the initial vortex. The temperature and moisture are also better represented in the hurricane initialization. Forty-eight-hour forecasts are conducted to evaluate the impact of ADR data using the Advanced Research Hurricane WRF (AHW), a derivative of the Advanced Research WRF (ARW) model. Assimilation of ADR data improves the hurricane-intensity forecasts. Vortex asymmetries, size, and rainbands are also simulated better. Hurricane initialization with ADR data is quite promising toward reducing intensity forecast errors at modest computational expense.","author":[{"dropping-particle":"","family":"Xiao","given":"Qingnong","non-dropping-particle":"","parse-names":false,"suffix":""},{"dropping-particle":"","family":"Zhang","given":"Xiaoyan","non-dropping-particle":"","parse-names":false,"suffix":""},{"dropping-particle":"","family":"Davis","given":"Christopher","non-dropping-particle":"","parse-names":false,"suffix":""},{"dropping-particle":"","family":"Tuttle","given":"John","non-dropping-particle":"","parse-names":false,"suffix":""},{"dropping-particle":"","family":"Holland","given":"Greg","non-dropping-particle":"","parse-names":false,"suffix":""},{"dropping-particle":"","family":"Fitzpatrick","given":"Patrick J.","non-dropping-particle":"","parse-names":false,"suffix":""}],"container-title":"Monthly Weather Review","id":"ITEM-2","issue":"9","issued":{"date-parts":[["2009"]]},"page":"2758-2777","title":"Experiments of Hurricane Initialization with Airborne Doppler Radar Data for the Advanced Research Hurricane WRF (AHW) Model","type":"article-journal","volume":"137"},"uris":["http://www.mendeley.com/documents/?uuid=6a3e0a0a-6311-46b1-b06d-f5cb61d65930"]},{"id":"ITEM-3","itemData":{"DOI":"10.1175/2009MWR2645.1","ISBN":"0027-0644","ISSN":"0027-0644","abstract":"This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 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H.","non-dropping-particle":"","parse-names":false,"suffix":""}],"container-title":"Monthly Weather Review","id":"ITEM-3","issue":"7","issued":{"date-parts":[["2009"]]},"page":"2105-2125","title":"Cloud-Resolving Hurricane Initialization and Prediction through Assimilation of Doppler Radar Observations with an Ensemble Kalman Filter","type":"article-journal","volume":"137"},"uris":["http://www.mendeley.com/documents/?uuid=8ad10eaa-db6f-4beb-9c8d-77cec7153fa1"]},{"id":"ITEM-4","itemData":{"DOI":"10.1029/2011GL048469","ISBN":"00948276","ISSN":"00948276","abstract":"This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Letters","id":"ITEM-4","issue":"15","issued":{"date-parts":[["2011"]]},"page":"2-7","title":"Performance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id":"ITEM-5","itemData":{"DOI":"10.1175/MWR-D-12-00043.1","ISSN":"0027-0644","author":[{"dropping-particle":"","family":"Li","given":"Yongzuo","non-dropping-particle":"","parse-names":false,"suffix":""},{"dropping-particle":"","family":"Wang","given":"Xuguang","non-dropping-particle":"","parse-names":false,"suffix":""},{"dropping-particle":"","family":"Xue","given":"Ming","non-dropping-particle":"","parse-names":false,"suffix":""}],"container-title":"Monthly Weather Review","id":"ITEM-5","issued":{"date-parts":[["2012"]]},"page":"3507-3524","title":"Assimilation of Radar Radial Velocity Data with the WRF Hybrid Ensemble-3DVAR System for the Prediction of Hurricane Ike (2008)","type":"article-journal","volume":"140"},"uris":["http://www.mendeley.com/documents/?uuid=25af83c9-af9b-491a-9dcc-6d65193ee01f"]},{"id":"ITEM-6","itemData":{"DOI":"10.1175/2011MWR3602.1","ISBN":"0027-0644","ISSN":"0027-0644","abstract":"Through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Review","id":"ITEM-6","issue":"3","issued":{"date-parts":[["2012"]]},"page":"841-859","title":"Assimilating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(2005)","type":"article-journal","volume":"140"},"uris":["http://www.mendeley.com/documents/?uuid=9c276441-a30a-4c8f-a760-f5a89a55b497"]},{"id":"ITEM-7","itemData":{"DOI":"Doi 10.1175/Mwr-D-12-00194.1","ISBN":"0027-0644","ISSN":"0027-0644","abstract":"The Hurricane Weather Research and Forecasting (HWRF) Ensemble Data Assimilation System (HEDAS) is developed to assimilate tropical cyclone inner-core observations for high-resolution vortex initialization. It is based on a serial implementation of the square root ensemble Kalman filter (EnKF). In this study, HWRF is used in an experimental configuration with horizontal grid spacing of 9 (3) km on the outer (inner) domain. HEDAS is applied to 83 cases from years 2008 to 2011. With the exception of two Hurricane Hilary (2011) cases in the eastern North Pacific basin, all cases are observed in the Atlantic basin. Observed storm intensity for these cases ranges from tropical depression to category-4 hurricane. Overall, it is found that high-resolution tropical cyclone observations, when assimilated with an advanced data assimilation technique such as the EnKF, result in analyses of the primary circulation that are realistic in terms of intensity, wavenumber-0 radial structure, as well as wavenumber-1 azimuthal structure. Representing the secondary circulation in the analyses is found to be more challenging with systematic errors in the magnitude and depth of the low-level radial inflow. This is believed to result from a model bias in the experimental HWRF caused by the overdiffusive nature of the planetary boundary layer parameterization utilized. Thermodynamic deviations from the observed structure are believed to be caused by both an imbalance between the number of the kinematic and thermodynamic observations in general and the suboptimal ensemble covariances between kinematic and thermodynamic fields. Future plans are discussed to address these challenges.","author":[{"dropping-particle":"","family":"Aksoy","given":"a","non-dropping-particle":"","parse-names":false,"suffix":""},{"dropping-particle":"","family":"Aberson","given":"S D","non-dropping-particle":"","parse-names":false,"suffix":""},{"dropping-particle":"","family":"Vukicevic","given":"T","non-dropping-particle":"","parse-names":false,"suffix":""},{"dropping-particle":"","family":"Sellwood","given":"K J","non-dropping-particle":"","parse-names":false,"suffix":""},{"dropping-particle":"","family":"Lorsolo","given":"S","non-dropping-particle":"","parse-names":false,"suffix":""},{"dropping-particle":"","family":"Zhang","given":"X J","non-dropping-particle":"","parse-names":false,"suffix":""}],"container-title":"Monthly Weather Review","id":"ITEM-7","issue":"6","issued":{"date-parts":[["2013"]]},"page":"1842-1865","title":"Assimilation of High-Resolution Tropical Cyclone Observations with an Ensemble Kalman Filter Using NOAA/AOML/HRD's HEDAS: Evaluation of the 2008-11 Vortex-Scale Analyses","type":"article-journal","volume":"141"},"uris":["http://www.mendeley.com/documents/?uuid=dadd0527-a3c7-4bfb-9481-e1798e142e70"]},{"id":"ITEM-8","itemData":{"DOI":"10.1175/MWR-D-13-00028.1","ISSN":"0027-0644","author":[{"dropping-particle":"","family":"Schwartz","given":"Craig S.","non-dropping-particle":"","parse-names":false,"suffix":""},{"dropping-particle":"","family":"Liu","given":"Zhiquan","non-dropping-particle":"","parse-names":false,"suffix":""},{"dropping-particle":"","family":"Huang","given":"Xiang-Yu","non-dropping-particle":"","parse-names":false,"suffix":""},{"dropping-particle":"","family":"Kuo","given":"Ying-Hwa","non-dropping-particle":"","parse-names":false,"suffix":""},{"dropping-particle":"","family":"Fong","given":"Chin-Tzu","non-dropping-particle":"","parse-names":false,"suffix":""}],"container-title":"Monthly Weather Review","id":"ITEM-8","issue":"12","issued":{"date-parts":[["2013"]]},"page":"4350-4372","title":"Comparing Limited-Area 3DVAR and Hybrid Variational-Ensemble Data Assimilation Methods for Typhoon Track Forecasts: Sensitivity to Outer Loops and Vortex Relocation","type":"article-journal","volume":"141"},"uris":["http://www.mendeley.com/documents/?uuid=fa751570-18c1-4905-9093-c6007a890181"]},{"id":"ITEM-9","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Society","id":"ITEM-9","issue":"702","issued":{"date-parts":[["2017"]]},"page":"223-239","title":"GSI-based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id":"ITEM-10","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Rev.","id":"ITEM-10","issued":{"date-parts":[["2017"]]},"page":"4877-4898","title":"GSI-based,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with","type":"article-journal","volume":"145"},"uris":["http://www.mendeley.com/documents/?uuid=82ad08b1-34e7-3cff-837b-7355f1a8ba0d"]}],"mendeley":{"formattedCitation":"(Torn and Hakim 2009b; Xiao et al. 2009; Zhang et al. 2009a, 2011; Li et al. 2012; Weng and Zhang 2012; Aksoy et al. 2013; Schwartz et al. 2013; Lu et al. 2017a,b)","plainTextFormattedCitation":"(Torn and Hakim 2009b; Xiao et al. 2009; Zhang et al. 2009a, 2011; Li et al. 2012; Weng and Zhang 2012; Aksoy et al. 2013; Schwartz et al. 2013; Lu et al. 2017a,b)","previouslyFormattedCitation":"(Torn and Hakim 2009b; Xiao et al. 2009; Zhang et al. 2009a, 2011; Li et al. 2012; Weng and Zhang 2012; Aksoy et al. 2013; Schwartz et al. 2013; Lu et al. 2017a,b)"},"properties":{"noteIndex":0},"schema":"https://github.com/citation-style-language/schema/raw/master/csl-citation.json"}</w:instrText>
      </w:r>
      <w:r w:rsidRPr="00723DA9">
        <w:rPr>
          <w:rFonts w:ascii="Times New Roman" w:hAnsi="Times New Roman"/>
        </w:rPr>
        <w:fldChar w:fldCharType="separate"/>
      </w:r>
      <w:r w:rsidR="002E0A45" w:rsidRPr="00723DA9">
        <w:rPr>
          <w:rFonts w:ascii="Times New Roman" w:hAnsi="Times New Roman"/>
          <w:noProof/>
        </w:rPr>
        <w:t>(Torn and Hakim 2009b; Xiao et al. 2009; Zhang et al. 2009a, 2011; Li et al. 2012; Weng and Zhang 2012; Aksoy et al. 2013; Schwartz et al. 2013; Lu et al. 2017a,b)</w:t>
      </w:r>
      <w:r w:rsidRPr="00723DA9">
        <w:rPr>
          <w:rFonts w:ascii="Times New Roman" w:hAnsi="Times New Roman"/>
        </w:rPr>
        <w:fldChar w:fldCharType="end"/>
      </w:r>
      <w:r w:rsidRPr="00723DA9">
        <w:rPr>
          <w:rFonts w:ascii="Times New Roman" w:hAnsi="Times New Roman"/>
        </w:rPr>
        <w:t>.</w:t>
      </w:r>
    </w:p>
    <w:p w14:paraId="37A060D6" w14:textId="64240F17" w:rsidR="00C56823" w:rsidRPr="00723DA9" w:rsidRDefault="00C56823" w:rsidP="00771F99">
      <w:pPr>
        <w:pStyle w:val="ListParagraph"/>
        <w:spacing w:line="480" w:lineRule="auto"/>
        <w:ind w:left="0" w:firstLine="432"/>
        <w:rPr>
          <w:rFonts w:ascii="Times New Roman" w:hAnsi="Times New Roman"/>
        </w:rPr>
      </w:pPr>
      <w:r w:rsidRPr="00723DA9">
        <w:rPr>
          <w:rFonts w:ascii="Times New Roman" w:hAnsi="Times New Roman"/>
        </w:rPr>
        <w:t xml:space="preserve">In recent years, unique opportunities to sample TC inner-core structures and near-core environments have been provided by different field campaigns such as </w:t>
      </w:r>
      <w:bookmarkStart w:id="120" w:name="OLE_LINK86"/>
      <w:r w:rsidRPr="00723DA9">
        <w:rPr>
          <w:rFonts w:ascii="Times New Roman" w:hAnsi="Times New Roman"/>
        </w:rPr>
        <w:t>the IFEX</w:t>
      </w:r>
      <w:r w:rsidRPr="00723DA9">
        <w:rPr>
          <w:rFonts w:ascii="Times New Roman" w:hAnsi="Times New Roman"/>
          <w:b/>
        </w:rPr>
        <w:t xml:space="preserve"> </w:t>
      </w:r>
      <w:r w:rsidRPr="00723DA9">
        <w:rPr>
          <w:rFonts w:ascii="Times New Roman" w:hAnsi="Times New Roman"/>
        </w:rPr>
        <w:t xml:space="preserve">supported by NOAA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BAMS-D-12-00089.1","ISSN":"00030007","author":[{"dropping-particle":"","family":"Rogers","given":"Robert","non-dropping-particle":"","parse-names":false,"suffix":""},{"dropping-particle":"","family":"Aberson","given":"Sim","non-dropping-particle":"","parse-names":false,"suffix":""},{"dropping-particle":"","family":"Aksoy","given":"Altug","non-dropping-particle":"","parse-names":false,"suffix":""},{"dropping-particle":"","family":"Annane","given":"Bachir","non-dropping-particle":"","parse-names":false,"suffix":""},{"dropping-particle":"","family":"Black","given":"Michael","non-dropping-particle":"","parse-names":false,"suffix":""},{"dropping-particle":"","family":"Cione","given":"Joseph","non-dropping-particle":"","parse-names":false,"suffix":""},{"dropping-particle":"","family":"Dorst","given":"Neal","non-dropping-particle":"","parse-names":false,"suffix":""},{"dropping-particle":"","family":"Dunion","given":"Jason","non-dropping-particle":"","parse-names":false,"suffix":""},{"dropping-particle":"","family":"Gamache","given":"John","non-dropping-particle":"","parse-names":false,"suffix":""},{"dropping-particle":"","family":"Goldenberg","given":"Stan","non-dropping-particle":"","parse-names":false,"suffix":""},{"dropping-particle":"","family":"Gopalakrishnan","given":"Sundararaman","non-dropping-particle":"","parse-names":false,"suffix":""},{"dropping-particle":"","family":"Kaplan","given":"John","non-dropping-particle":"","parse-names":false,"suffix":""},{"dropping-particle":"","family":"Klotz","given":"Bradley","non-dropping-particle":"","parse-names":false,"suffix":""},{"dropping-particle":"","family":"Lorsolo","given":"Sylvie","non-dropping-particle":"","parse-names":false,"suffix":""},{"dropping-particle":"","family":"Marks","given":"Frank","non-dropping-particle":"","parse-names":false,"suffix":""},{"dropping-particle":"","family":"Murillo","given":"Shirley","non-dropping-particle":"","parse-names":false,"suffix":""},{"dropping-particle":"","family":"Powell","given":"Mark","non-dropping-particle":"","parse-names":false,"suffix":""},{"dropping-particle":"","family":"Reasor","given":"Paul","non-dropping-particle":"","parse-names":false,"suffix":""},{"dropping-particle":"","family":"Sellwood","given":"Kathryn","non-dropping-particle":"","parse-names":false,"suffix":""},{"dropping-particle":"","family":"Uhlhorn","given":"Eric","non-dropping-particle":"","parse-names":false,"suffix":""},{"dropping-particle":"","family":"Vukicevic","given":"Tomislava","non-dropping-particle":"","parse-names":false,"suffix":""},{"dropping-particle":"","family":"Zhang","given":"Jun","non-dropping-particle":"","parse-names":false,"suffix":""},{"dropping-particle":"","family":"Zhang","given":"Xuejin","non-dropping-particle":"","parse-names":false,"suffix":""}],"container-title":"Bulletin of the American Meteorological Society","id":"ITEM-1","issue":"6","issued":{"date-parts":[["2013"]]},"page":"859-882","title":"NOAA'S hurricane intensity forecasting experiment: A progress report","type":"article-journal","volume":"94"},"uris":["http://www.mendeley.com/documents/?uuid=7781a0e9-8f89-404c-a717-d583ffcc10e2"]}],"mendeley":{"formattedCitation":"(Rogers et al. 2013a)","plainTextFormattedCitation":"(Rogers et al. 2013a)","previouslyFormattedCitation":"(Rogers et al. 2013a)"},"properties":{"noteIndex":0},"schema":"https://github.com/citation-style-language/schema/raw/master/csl-citation.json"}</w:instrText>
      </w:r>
      <w:r w:rsidRPr="00723DA9">
        <w:rPr>
          <w:rFonts w:ascii="Times New Roman" w:hAnsi="Times New Roman"/>
        </w:rPr>
        <w:fldChar w:fldCharType="separate"/>
      </w:r>
      <w:r w:rsidR="002E0A45" w:rsidRPr="00723DA9">
        <w:rPr>
          <w:rFonts w:ascii="Times New Roman" w:hAnsi="Times New Roman"/>
          <w:noProof/>
        </w:rPr>
        <w:t>(Rogers et al. 2013a)</w:t>
      </w:r>
      <w:r w:rsidRPr="00723DA9">
        <w:rPr>
          <w:rFonts w:ascii="Times New Roman" w:hAnsi="Times New Roman"/>
        </w:rPr>
        <w:fldChar w:fldCharType="end"/>
      </w:r>
      <w:r w:rsidRPr="00723DA9">
        <w:rPr>
          <w:rFonts w:ascii="Times New Roman" w:hAnsi="Times New Roman"/>
        </w:rPr>
        <w:t xml:space="preserve"> and the TCI Experiment supported by ONR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{"citationItems":[{"id":"ITEM-1","itemData":{"DOI":"10.1175/BAMS-D-16-0055.1","ISSN":"0003-0007","author":[{"dropping-particle":"","family":"Doyle","given":"James D.","non-dropping-particle":"","parse-names":false,"suffix":""},{"dropping-particle":"","family":"Moskaitis","given":"Jon","non-dropping-particle":"","parse-names":false,"suffix":""},{"dropping-particle":"","family":"Feldmeier","given":"Joel","non-dropping-particle":"","parse-names":false,"suffix":""},{"dropping-particle":"","family":"Ferek","given":"Ronald","non-dropping-particle":"","parse-names":false,"suffix":""},{"dropping-particle":"","family":"Beaubien","given":"Mark","non-dropping-particle":"","parse-names":false,"suffix":""},{"dropping-particle":"","family":"Bell","given":"Michael","non-dropping-particle":"","parse-names":false,"suffix":""},{"dropping-particle":"","family":"Cecil","given":"Daniel","non-dropping-particle":"","parse-names":false,"suffix":""},{"dropping-particle":"","family":"Creasey","given":"Robert","non-dropping-particle":"","parse-names":false,"suffix":""},{"dropping-particle":"","family":"Duran","given":"Patrick","non-dropping-particle":"","parse-names":false,"suffix":""},{"dropping-particle":"","family":"Elsberry","given":"Russ","non-dropping-particle":"","parse-names":false,"suffix":""},{"dropping-particle":"","family":"Komaromi","given":"Will","non-dropping-particle":"","parse-names":false,"suffix":""},{"dropping-particle":"","family":"Molinari","given":"John","non-dropping-particle":"","parse-names":false,"suffix":""},{"dropping-particle":"","family":"Ryglicki","given":"David","non-dropping-particle":"","parse-names":false,"suffix":""},{"dropping-particle":"","family":"Stern","given":"Daniel","non-dropping-particle":"","parse-names":false,"suffix":""},{"dropping-particle":"","family":"Velden","given":"Chris","non-dropping-particle":"","parse-names":false,"suffix":""},{"dropping-particle":"","family":"Wang","given":"Xuguang","non-dropping-particle":"","parse-names":false,"suffix":""},{"dropping-particle":"","family":"Allen","given":"Todd","non-dropping-particle":"","parse-names":false,"suffix":""},{"dropping-particle":"","family":"Barrett","given":"Bradford","non-dropping-particle":"","parse-names":false,"suffix":""},{"dropping-particle":"","family":"Black","given":"Peter","non-dropping-particle":"","parse-names":false,"suffix":""},{"dropping-particle":"","family":"Dunion","given":"Jason","non-dropping-particle":"","parse-names":false,"suffix":""},{"dropping-particle":"","family":"Emanuel","given":"Kerry","non-dropping-particle":"","parse-names":false,"suffix":""},{"dropping-particle":"","family":"Harr","given":"Pat","non-dropping-particle":"","parse-names":false,"suffix":""},{"dropping-particle":"","family":"Harrison","given":"Lee","non-dropping-particle":"","parse-names":false,"suffix":""},{"dropping-particle":"","family":"Hendricks","given":"Eric","non-dropping-particle":"","parse-names":false,"suffix":""},{"dropping-particle":"","family":"Herndon","given":"Derrick","non-dropping-particle":"","parse-names":false,"suffix":""},{"dropping-particle":"","family":"Jeffries","given":"William","non-dropping-particle":"","parse-names":false,"suffix":""},{"dropping-particle":"","family":"Majumdar","given":"Sharanya J.","non-dropping-particle":"","parse-names":false,"suffix":""},{"dropping-particle":"","family":"Moore","given":"James","non-dropping-particle":"","parse-names":false,"suffix":""},{"dropping-particle":"","family":"Pu","given":"Zhaoxia","non-dropping-particle":"","parse-names":false,"suffix":""},{"dropping-particle":"","family":"Rogers","given":"Robert","non-dropping-particle":"","parse-names":false,"suffix":""},{"dropping-particle":"","family":"Sanabia","given":"Elizabeth","non-dropping-particle":"","parse-names":false,"suffix":""},{"dropping-particle":"","family":"Tripoli","given":"Gregory","non-dropping-particle":"","parse-names":false,"suffix":""},{"dropping-particle":"","family":"Zhang","given":"Da-Lin","non-dropping-particle":"","parse-names":false,"suffix":""}],"container-title":"Bulletin of the American Meteorological Society","id":"ITEM-1","issued":{"date-parts":[["2017"]]},"page":"2113-2134","title":"A View of Tropical Cyclones from Above: The Tropical Cyclone Intensity (TCI) Experiment","type":"article-journal","volume":"98"},"uris":["http://www.mendeley.com/documents/?uuid=60c3c0a0-836e-40e1-9511-4e4e563a9101"]}],"mendeley":{"formattedCitation":"(Doyle et al. 2017)","plainTextFormattedCitation":"(Doyle et al. 2017)","previouslyFormattedCitation":"(Doyle et al. 2017)"},"properties":{"noteIndex":0},"schema":"https://github.com/citation-style-language/schema/raw/master/csl-citation.json"}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(Doyle et al. 2017)</w:t>
      </w:r>
      <w:r w:rsidRPr="00723DA9">
        <w:rPr>
          <w:rFonts w:ascii="Times New Roman" w:hAnsi="Times New Roman"/>
        </w:rPr>
        <w:fldChar w:fldCharType="end"/>
      </w:r>
      <w:r w:rsidRPr="00723DA9">
        <w:rPr>
          <w:rFonts w:ascii="Times New Roman" w:hAnsi="Times New Roman"/>
        </w:rPr>
        <w:t xml:space="preserve"> </w:t>
      </w:r>
      <w:bookmarkEnd w:id="120"/>
      <w:r w:rsidRPr="00723DA9">
        <w:rPr>
          <w:rFonts w:ascii="Times New Roman" w:hAnsi="Times New Roman"/>
        </w:rPr>
        <w:t>programs.  Airborne instruments from aircraft from these field campaigns can provide valuable high-resolution inner- and near-core information for TCs.  Examples include Doppler radar observations collected by the NOAA WP-3D/G-IV aircraft during the IFEX</w:t>
      </w:r>
      <w:r w:rsidRPr="00723DA9">
        <w:rPr>
          <w:rFonts w:ascii="Times New Roman" w:eastAsia="宋体" w:hAnsi="Times New Roman"/>
        </w:rPr>
        <w:t xml:space="preserve"> field campaign</w:t>
      </w:r>
      <w:r w:rsidRPr="00723DA9">
        <w:rPr>
          <w:rFonts w:ascii="Times New Roman" w:hAnsi="Times New Roman"/>
        </w:rPr>
        <w:t xml:space="preserve">; and dropsondes released by the WB-57 aircraft during the TCI </w:t>
      </w:r>
      <w:r w:rsidRPr="00723DA9">
        <w:rPr>
          <w:rFonts w:ascii="Times New Roman" w:eastAsia="宋体" w:hAnsi="Times New Roman"/>
        </w:rPr>
        <w:t>field campaign</w:t>
      </w:r>
      <w:r w:rsidRPr="00723DA9">
        <w:rPr>
          <w:rFonts w:ascii="Times New Roman" w:hAnsi="Times New Roman"/>
        </w:rPr>
        <w:t xml:space="preserve">.  Together with the enhanced high-resolution atmospheric motion vector (AMV) wind observations provided by the Cooperative Institute for Meteorological Satellite Studies (CIMSS,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{"citationItems":[{"id":"ITEM-1","itemData":{"DOI":"10.1175/MWR-D-16-0229.1","abstract":"It is well known that global numerical model analyses and forecasts benefit from the routine assimilation of atmospheric motion vectors (AMVs) derived from meteorological satellites. Recent studies have also shown that the assimilation of enhanced (spatial and temporal) AMVs can benefit research-mode regional model forecasts of tropical cyclone track and intensity. In this study, the impact of direct assimilation of enhanced (higher resolution) AMV datasets in the NCEP operational Hurricane Weather Research and Forecasting Model (HWRF) system is investigated. Forecasts of Atlantic tropical cyclone track and intensity are exam-ined for impact by inclusion of enhanced AMVs via direct data assimilation. Experiments are conducted for AMVs derived using two methodologies (''HERITAGE'' and ''GOES-R''), and also for varying levels of quality control in order to assess and inform the optimization of the AMV assimilation process. Results are presented for three selected Atlantic tropical cyclone events and compared to Control forecasts without the enhanced AMVs as well as the corresponding operational HWRF forecasts. The findings indicate that the direct assimilation of high-resolution AMVs has an overall modest positive impact on HWRF forecasts, but the impact magnitudes are dependent on the 1) availability of rapid scan imagery used to produce the AMVs, 2) AMV derivation approach, 3) level of quality control employed in the assimilation, and 4) vortex initial-ization procedure (including the degree to which unbalanced states are allowed to enter the model analyses).","author":[{"dropping-particle":"","family":"Velden","given":"Christopher","non-dropping-particle":"","parse-names":false,"suffix":""},{"dropping-particle":"","family":"Lewis","given":"William E","non-dropping-particle":"","parse-names":false,"suffix":""},{"dropping-particle":"","family":"Bresky","given":"Wayne","non-dropping-particle":"","parse-names":false,"suffix":""},{"dropping-particle":"","family":"Stettner","given":"David","non-dropping-particle":"","parse-names":false,"suffix":""},{"dropping-particle":"","family":"Daniels","given":"Jaime","non-dropping-particle":"","parse-names":false,"suffix":""},{"dropping-particle":"","family":"Wanzong","given":"Steven","non-dropping-particle":"","parse-names":false,"suffix":""}],"container-title":"monthly weather review","id":"ITEM-1","issued":{"date-parts":[["2017"]]},"page":"1107-1125","title":"Assimilation of High-Resolution Satellite-Derived Atmospheric Motion Vectors: Impact on HWRF Forecasts of Tropical Cyclone Track and Intensity","type":"article-journal","volume":"145"},"uris":["http://www.mendeley.com/documents/?uuid=2632d591-676d-3624-95f6-675e26dd6048"]}],"mendeley":{"formattedCitation":"(Velden et al. 2017)","manualFormatting":"Velden et al. 2017","plainTextFormattedCitation":"(Velden et al. 2017)","previouslyFormattedCitation":"(Velden et al. 2017)"},"properties":{"noteIndex":0},"schema":"https://github.com/citation-style-language/schema/raw/master/csl-citation.json"}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Velden et al. 2017</w:t>
      </w:r>
      <w:r w:rsidRPr="00723DA9">
        <w:rPr>
          <w:rFonts w:ascii="Times New Roman" w:hAnsi="Times New Roman"/>
        </w:rPr>
        <w:fldChar w:fldCharType="end"/>
      </w:r>
      <w:r w:rsidRPr="00723DA9">
        <w:rPr>
          <w:rFonts w:ascii="Times New Roman" w:hAnsi="Times New Roman"/>
        </w:rPr>
        <w:t xml:space="preserve">), an unprecedentedly </w:t>
      </w:r>
      <w:bookmarkStart w:id="121" w:name="OLE_LINK10"/>
      <w:r w:rsidRPr="00723DA9">
        <w:rPr>
          <w:rFonts w:ascii="Times New Roman" w:hAnsi="Times New Roman"/>
        </w:rPr>
        <w:t xml:space="preserve">thorough </w:t>
      </w:r>
      <w:bookmarkEnd w:id="121"/>
      <w:r w:rsidRPr="00723DA9">
        <w:rPr>
          <w:rFonts w:ascii="Times New Roman" w:hAnsi="Times New Roman"/>
        </w:rPr>
        <w:t xml:space="preserve">three-dimensional picture of TCs can be depicted including </w:t>
      </w:r>
      <w:r w:rsidRPr="00723DA9">
        <w:rPr>
          <w:rFonts w:ascii="Times New Roman" w:eastAsia="Times New Roman" w:hAnsi="Times New Roman"/>
          <w:color w:val="000000"/>
        </w:rPr>
        <w:t>the inner-</w:t>
      </w:r>
      <w:r w:rsidRPr="00723DA9">
        <w:rPr>
          <w:rFonts w:ascii="Times New Roman" w:eastAsia="Times New Roman" w:hAnsi="Times New Roman"/>
          <w:color w:val="000000"/>
        </w:rPr>
        <w:lastRenderedPageBreak/>
        <w:t>core, the environment, the outflow layer and the low-level inflow regions.  More specific information regarding these observations will be presented in</w:t>
      </w:r>
      <w:r w:rsidR="00403CAF" w:rsidRPr="00723DA9">
        <w:rPr>
          <w:rFonts w:ascii="Times New Roman" w:eastAsia="Times New Roman" w:hAnsi="Times New Roman"/>
          <w:color w:val="000000"/>
        </w:rPr>
        <w:t xml:space="preserve"> the next </w:t>
      </w:r>
      <w:r w:rsidR="00E22E12" w:rsidRPr="00723DA9">
        <w:rPr>
          <w:rFonts w:ascii="Times New Roman" w:eastAsia="Times New Roman" w:hAnsi="Times New Roman"/>
          <w:color w:val="000000"/>
        </w:rPr>
        <w:t>Chapter</w:t>
      </w:r>
      <w:r w:rsidR="00403CAF" w:rsidRPr="00723DA9">
        <w:rPr>
          <w:rFonts w:ascii="Times New Roman" w:eastAsia="Times New Roman" w:hAnsi="Times New Roman"/>
          <w:color w:val="000000"/>
        </w:rPr>
        <w:t xml:space="preserve"> 5.</w:t>
      </w:r>
      <w:r w:rsidRPr="00723DA9">
        <w:rPr>
          <w:rFonts w:ascii="Times New Roman" w:hAnsi="Times New Roman"/>
        </w:rPr>
        <w:t xml:space="preserve">  </w:t>
      </w:r>
    </w:p>
    <w:p w14:paraId="1EAFB6D4" w14:textId="5E43282A" w:rsidR="00C56823" w:rsidRPr="00723DA9" w:rsidRDefault="00C56823" w:rsidP="00771F99">
      <w:pPr>
        <w:pStyle w:val="ListParagraph"/>
        <w:spacing w:line="480" w:lineRule="auto"/>
        <w:ind w:left="0" w:firstLine="432"/>
        <w:rPr>
          <w:rFonts w:ascii="Times New Roman" w:eastAsiaTheme="minorEastAsia" w:hAnsi="Times New Roman"/>
        </w:rPr>
      </w:pPr>
      <w:r w:rsidRPr="00723DA9">
        <w:rPr>
          <w:rFonts w:ascii="Times New Roman" w:hAnsi="Times New Roman"/>
        </w:rPr>
        <w:t xml:space="preserve">A cycled, dual-resolution hybrid </w:t>
      </w:r>
      <w:proofErr w:type="spellStart"/>
      <w:r w:rsidRPr="00723DA9">
        <w:rPr>
          <w:rFonts w:ascii="Times New Roman" w:hAnsi="Times New Roman"/>
        </w:rPr>
        <w:t>EnKF</w:t>
      </w:r>
      <w:proofErr w:type="spellEnd"/>
      <w:r w:rsidRPr="00723DA9">
        <w:rPr>
          <w:rFonts w:ascii="Times New Roman" w:hAnsi="Times New Roman"/>
        </w:rPr>
        <w:t xml:space="preserve">-Var DA system based on the National Weather Service operational DA system: GSI was recently operationally implemented since 2017.  The approach adopted by this system is based on </w:t>
      </w:r>
      <w:r w:rsidRPr="00723DA9">
        <w:rPr>
          <w:rFonts w:ascii="Times New Roman" w:hAnsi="Times New Roman"/>
        </w:rPr>
        <w:fldChar w:fldCharType="begin" w:fldLock="1"/>
      </w:r>
      <w:r w:rsidR="0052713F" w:rsidRPr="00723DA9">
        <w:rPr>
          <w:rFonts w:ascii="Times New Roman" w:hAnsi="Times New Roman"/>
        </w:rPr>
        <w:instrText>ADDIN CSL_CITATION {"citationItems":[{"id":"ITEM-1","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id":"ITEM-2","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Rev.","id":"ITEM-2","issued":{"date-parts":[["2017"]]},"page":"4877-4898","title":"GSI-based,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with","type":"article-journal","volume":"145"},"uris":["http://www.mendeley.com/documents/?uuid=82ad08b1-34e7-3cff-837b-7355f1a8ba0d"]}],"mendeley":{"formattedCitation":"(Lu et al. 2017a,b)","manualFormatting":"Lu et al. (2017a,b)","plainTextFormattedCitation":"(Lu et al. 2017a,b)","previouslyFormattedCitation":"(Lu et al. 2017a,b)"},"properties":{"noteIndex":0},"schema":"https://github.com/citation-style-language/schema/raw/master/csl-citation.json"}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Lu et al. (2017a,b)</w:t>
      </w:r>
      <w:r w:rsidRPr="00723DA9">
        <w:rPr>
          <w:rFonts w:ascii="Times New Roman" w:hAnsi="Times New Roman"/>
        </w:rPr>
        <w:fldChar w:fldCharType="end"/>
      </w:r>
      <w:r w:rsidRPr="00723DA9">
        <w:rPr>
          <w:rFonts w:ascii="Times New Roman" w:hAnsi="Times New Roman"/>
        </w:rPr>
        <w:t xml:space="preserve">.  </w:t>
      </w:r>
      <w:r w:rsidRPr="00723DA9">
        <w:rPr>
          <w:rFonts w:ascii="Times New Roman" w:hAnsi="Times New Roman"/>
        </w:rPr>
        <w:fldChar w:fldCharType="begin" w:fldLock="1"/>
      </w:r>
      <w:r w:rsidR="0052713F" w:rsidRPr="00723DA9">
        <w:rPr>
          <w:rFonts w:ascii="Times New Roman" w:hAnsi="Times New Roman"/>
        </w:rPr>
        <w:instrText>ADDIN CSL_CITATION {"citationItems":[{"id":"ITEM-1","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id":"ITEM-2","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Rev.","id":"ITEM-2","issued":{"date-parts":[["2017"]]},"page":"4877-4898","title":"GSI-based,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with","type":"article-journal","volume":"145"},"uris":["http://www.mendeley.com/documents/?uuid=82ad08b1-34e7-3cff-837b-7355f1a8ba0d"]}],"mendeley":{"formattedCitation":"(Lu et al. 2017a,b)","manualFormatting":"Lu et al. (2017a,b)","plainTextFormattedCitation":"(Lu et al. 2017a,b)","previouslyFormattedCitation":"(Lu et al. 2017a,b)"},"properties":{"noteIndex":0},"schema":"https://github.com/citation-style-language/schema/raw/master/csl-citation.json"}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Lu et al. (2017a,b)</w:t>
      </w:r>
      <w:r w:rsidRPr="00723DA9">
        <w:rPr>
          <w:rFonts w:ascii="Times New Roman" w:hAnsi="Times New Roman"/>
        </w:rPr>
        <w:fldChar w:fldCharType="end"/>
      </w:r>
      <w:r w:rsidRPr="00723DA9">
        <w:rPr>
          <w:rFonts w:ascii="Times New Roman" w:hAnsi="Times New Roman"/>
        </w:rPr>
        <w:t xml:space="preserve"> demonstrated that the self-consistent ensemble covariance in this DA system was able to properly assimilate inner-core observations, which contributed to the improved intensity forecast.  It is therefore expected that the 3D analysis produced by this DA system ingesting the abundant observations provided by IFEX, TCI and CIMMS AMVs mentioned above would be more realistic than the VM analysis.</w:t>
      </w:r>
    </w:p>
    <w:p w14:paraId="5605A89F" w14:textId="5EAF179A" w:rsidR="00C56823" w:rsidRPr="00723DA9" w:rsidRDefault="00C56823" w:rsidP="00771F99">
      <w:pPr>
        <w:pStyle w:val="ListParagraph"/>
        <w:spacing w:line="480" w:lineRule="auto"/>
        <w:ind w:left="0" w:firstLine="432"/>
        <w:rPr>
          <w:rFonts w:ascii="Times New Roman" w:eastAsia="宋体" w:hAnsi="Times New Roman"/>
        </w:rPr>
      </w:pPr>
      <w:r w:rsidRPr="00723DA9">
        <w:rPr>
          <w:rFonts w:ascii="Times New Roman" w:hAnsi="Times New Roman"/>
        </w:rPr>
        <w:t xml:space="preserve">One challenge associated with the intensity forecast by HWRF is the “spin-down” issue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URL":"http://www.rsmas.miami.edu/assets/pdfs/mpo/seminars/2011fall/Sellwood_Abstract.pdf","accessed":{"date-parts":[["2017","11","19"]]},"author":[{"dropping-particle":"","family":"Sellwood","given":"Kathryn","non-dropping-particle":"","parse-names":false,"suffix":""}],"id":"ITEM-1","issued":{"date-parts":[["2011"]]},"title":"Investigating the Spin Down Problem in the HWRF model initialized from HEDAS initial condition","type":"webpage"},"uris":["http://www.mendeley.com/documents/?uuid=bfdb1495-bc18-3d9e-96e2-2593ccb1a2c9"]},{"id":"ITEM-2","itemData":{"author":[{"dropping-particle":"","family":"Bernardet","given":"Ligia","non-dropping-particle":"","parse-names":false,"suffix":""},{"dropping-particle":"","family":"Tallapragada","given":"","non-dropping-particle":"V.","parse-names":false,"suffix":""},{"dropping-particle":"","family":"C. Holt","given":"","non-dropping-particle":"","parse-names":false,"suffix":""},{"dropping-particle":"","family":"S. Trahan","given":"","non-dropping-particle":"","parse-names":false,"suffix":""},{"dropping-particle":"","family":"M. Biswas","given":"","non-dropping-particle":"","parse-names":false,"suffix":""},{"dropping-particle":"","family":"L. Carson","given":"","non-dropping-particle":"","parse-names":false,"suffix":""},{"dropping-particle":"","family":"H. Shao","given":"","non-dropping-particle":"","parse-names":false,"suffix":""},{"dropping-particle":"","family":"C. Zhou","given":"","non-dropping-particle":"","parse-names":false,"suffix":""}],"container-title":"6th NOAA Testbeds and Proving Grounds Workshop","id":"ITEM-2","issued":{"date-parts":[["2015"]]},"publisher-place":"Boulder, CO","title":"Transition of Research to the Operational Hurricane WRF model: the Role of the Developmental Testbed Center","type":"paper-conference"},"uris":["http://www.mendeley.com/documents/?uuid=2256ac2e-4fb8-3508-89ae-796fd9670344"]},{"id":"ITEM-3","itemData":{"author":[{"dropping-particle":"","family":"Tong","given":"Mingjing","non-dropping-particle":"","parse-names":false,"suffix":""},{"dropping-particle":"","family":"Tallapragada","given":"Vijay","non-dropping-particle":"","parse-names":false,"suffix":""},{"dropping-particle":"","family":"Liu","given":"Emily","non-dropping-particle":"","parse-names":false,"suffix":""},{"dropping-particle":"","family":"Wang","given":"Weiguo","non-dropping-particle":"","parse-names":false,"suffix":""},{"dropping-particle":"","family":"Kieu","given":"Chanh","non-dropping-particle":"","parse-names":false,"suffix":""},{"dropping-particle":"","family":"Liu","given":"Qingfu","non-dropping-particle":"","parse-names":false,"suffix":""},{"dropping-particle":"","family":"Zhan","given":"Banglin","non-dropping-particle":"","parse-names":false,"suffix":""}],"container-title":"2014 HFIP annual meeting","id":"ITEM-3","issued":{"date-parts":[["2014"]]},"title":"Impact of Assimilating Aircraft Reconnaissance Observations in Operational HWRF","type":"paper-conference"},"uris":["http://www.mendeley.com/documents/?uuid=0f52dd70-2e22-3712-aa59-e5d3850e6a5a"]},{"id":"ITEM-4","itemData":{"abstract":"In collabora7on with research and opera7onal centers , the Developmental Testbed Center (DTC) workstowardtheimprovementofDataAssimila7on(DA)andini7aliza7onofnumericalmodelsfortropicalcycloneforecas7ng.Recentworkhasbeenperformedintheframeworkofthe2014opera7onalHurricaneWeatherResearchandForecast(HWRF)model,whichappliedsomecri7calupdatestovariousaspectsofthesystemcomparedtothe2013HWRFsystem,including,butnotlimitedto,theupgradedvortexini7aliza7onscheme,andsomeimportantchangestothehybridvaria7onal-­‐ensembleconfigura7onoftheGridpointSta7s7calInterpola7on(GSI)system.Basedondiagnos7csofthetropicalstormintensityforecastsfromtheNa7onalCenterforEnvironmentalPredic7on(NCEP)/EnvironmentalModelingcenter(EMC)2014HWRFpre-­‐implementa7onruns,mul7pletropicalstormcaseshavebeenselectedforextensiveinves7ga7onsinthiswork,whoseintensityforecastschangerapidlyfromtoostrongtotooweakcomparedtotheobservedattheini7alforecasthours.Mul7plerunshavebeenconductedfortheselectedcasestostudytheimpactofnumerousconfigura7onsonhurricaneforecasts,withthemainfocusontacklingthetropicalstormintensityspin-­‐downissueswithinthe2014HWRFruns.Acknowledgments:ThisworkissponsoredbytheHurricaneForecastImprovementProgram(HFIP).","author":[{"dropping-particle":"","family":"Zhou","given":"Chunhua","non-dropping-particle":"","parse-names":false,"suffix":""},{"dropping-particle":"","family":"Shao","given":"Hui","non-dropping-particle":"","parse-names":false,"suffix":""},{"dropping-particle":"","family":"Bernardet","given":"Ligia","non-dropping-particle":"","parse-names":false,"suffix":""}],"container-title":"16th WRF users Workshop","id":"ITEM-4","issued":{"date-parts":[["2015"]]},"title":"Applications of the GSI‐Hybrid Data Assimilation for High‐Resolution Tropical Storm Forecasts: tackling the intensity spin-­down issue in 2014 HWRF","type":"paper-conference"},"uris":["http://www.mendeley.com/documents/?uuid=d4360853-3d14-3757-ac54-0ca97e08e787"]},{"id":"ITEM-5","itemData":{"URL":"https://ams.confex.com/ams/95Annual/webprogram/Paper269008.html","accessed":{"date-parts":[["2017","11","19"]]},"author":[{"dropping-particle":"","family":"Zhou","given":"Chunhua","non-dropping-particle":"","parse-names":false,"suffix":""},{"dropping-particle":"","family":"Shao","given":"H.","non-dropping-particle":"","parse-names":false,"suffix":""},{"dropping-particle":"","family":"Bernardet","given":"L. R.","non-dropping-particle":"","parse-names":false,"suffix":""},{"dropping-particle":"","family":"M. Tong","given":"","non-dropping-particle":"","parse-names":false,"suffix":""},{"dropping-particle":"","family":"Tallapragada","given":"","non-dropping-particle":"V.","parse-names":false,"suffix":""}],"container-title":"95th AMS Annual","id":"ITEM-5","issued":{"date-parts":[["2015"]]},"title":"Regional Applications of the GSI-Hybrid Data Assimilation for High-Resolution Tropical Storm Forecasts (95th American Meteorological Society Annual Meeting)","type":"webpage"},"uris":["http://www.mendeley.com/documents/?uuid=d950c86f-cf87-3969-ac28-e4ed7b50776b"]},{"id":"ITEM-6","itemData":{"DOI":"10.1175/JAS-D-16-0017.1","ISSN":"15200469","abstract":"AbstractAn initial vortex spindown, or strong adjustment to the structure and intensity of a hurricane’s initial vortex, presents a significant problem in hurricane forecasting, as with the NCEP Hurricane Weather Research and Forecasting Model (HWRF), because it can cause significantly degraded intensity forecasts. In this study, the influence of the self-consistent regional ensemble background error covariance on assimilating hurricane inner-core tail Doppler radar (TDR) observations in HWRF is examined with the NCEP gridpoint statistical interpolation (GSI)-based ensemble–three-dimensional variational (3DVAR) hybrid data assimilation system. It is found that the resolution of the background error covariance term, coming from the ensemble forecasts, has notable influence on the assimilation of hurricane inner-core observations and subsequent forecasting results. Specifically, the use of ensemble forecasting at high-resolution native grids results in significant reduction of the vortex spindown problem an...","author":[{"dropping-particle":"","family":"Pu","given":"Zhaoxia","non-dropping-particle":"","parse-names":false,"suffix":""},{"dropping-particle":"","family":"Zhang","given":"Shixuan","non-dropping-particle":"","parse-names":false,"suffix":""},{"dropping-particle":"","family":"Tong","given":"Mingjing","non-dropping-particle":"","parse-names":false,"suffix":""},{"dropping-particle":"","family":"Tallapragada","given":"Vijay","non-dropping-particle":"","parse-names":false,"suffix":""}],"container-title":"Journal of the Atmospheric Sciences","id":"ITEM-6","issue":"12","issued":{"date-parts":[["2016"]]},"page":"4911-4925","title":"Influence of the Self-Consistent Regional Ensemble Background Error Covariance on Hurricane Inner-Core Data Assimilation with the GSI-Based Hybrid System for HWRF","type":"article-journal","volume":"73"},"uris":["http://www.mendeley.com/documents/?uuid=dd4b5d30-3ca3-4d01-9a81-7ca30d07b7f4"]}],"mendeley":{"formattedCitation":"(Sellwood 2011; Bernardet et al. 2015; Tong et al. 2014; Zhou et al. 2015a,b; Pu et al. 2016)","manualFormatting":"(Sellwood 2011; Bernardet et al. 2015; Zhou et al. 2015a,b; Pu et al. 2016; Tong et al. 2018)","plainTextFormattedCitation":"(Sellwood 2011; Bernardet et al. 2015; Tong et al. 2014; Zhou et al. 2015a,b; Pu et al. 2016)","previouslyFormattedCitation":"(Sellwood 2011; Bernardet et al. 2015; Tong et al. 2014; Zhou et al. 2015a,b; Pu et al. 2016)"},"properties":{"noteIndex":0},"schema":"https://github.com/citation-style-language/schema/raw/master/csl-citation.json"}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(Bernardet et al. 2015; Zhou et al. 2015a,b; Pu et al. 2016; Tong et al. 2018)</w:t>
      </w:r>
      <w:r w:rsidRPr="00723DA9">
        <w:rPr>
          <w:rFonts w:ascii="Times New Roman" w:hAnsi="Times New Roman"/>
        </w:rPr>
        <w:fldChar w:fldCharType="end"/>
      </w:r>
      <w:r w:rsidRPr="00723DA9">
        <w:rPr>
          <w:rFonts w:ascii="Times New Roman" w:hAnsi="Times New Roman"/>
        </w:rPr>
        <w:t xml:space="preserve">. Following these early studies, </w:t>
      </w:r>
      <w:r w:rsidRPr="00723DA9">
        <w:rPr>
          <w:rFonts w:ascii="Times New Roman" w:eastAsia="宋体" w:hAnsi="Times New Roman"/>
        </w:rPr>
        <w:t>spin-down is defined as a significant vortex weakening (e.g.: Vmax drop greater than 5 ms</w:t>
      </w:r>
      <w:r w:rsidRPr="00723DA9">
        <w:rPr>
          <w:rFonts w:ascii="Times New Roman" w:eastAsia="宋体" w:hAnsi="Times New Roman"/>
          <w:vertAlign w:val="superscript"/>
        </w:rPr>
        <w:t>-1</w:t>
      </w:r>
      <w:r w:rsidRPr="00723DA9">
        <w:rPr>
          <w:rFonts w:ascii="Times New Roman" w:eastAsia="宋体" w:hAnsi="Times New Roman"/>
        </w:rPr>
        <w:t xml:space="preserve"> per 6 hours) during the first 6~12 hours of the model forecast </w:t>
      </w:r>
      <w:r w:rsidRPr="00723DA9">
        <w:rPr>
          <w:rFonts w:ascii="Times New Roman" w:eastAsia="宋体" w:hAnsi="Times New Roman"/>
        </w:rPr>
        <w:fldChar w:fldCharType="begin" w:fldLock="1"/>
      </w:r>
      <w:r w:rsidR="002E0A45" w:rsidRPr="00723DA9">
        <w:rPr>
          <w:rFonts w:ascii="Times New Roman" w:eastAsia="宋体" w:hAnsi="Times New Roman"/>
        </w:rPr>
        <w:instrText>ADDIN CSL_CITATION {"citationItems":[{"id":"ITEM-1","itemData":{"author":[{"dropping-particle":"","family":"Bernardet","given":"Ligia","non-dropping-particle":"","parse-names":false,"suffix":""},{"dropping-particle":"","family":"Tallapragada","given":"","non-dropping-particle":"V.","parse-names":false,"suffix":""},{"dropping-particle":"","family":"C. Holt","given":"","non-dropping-particle":"","parse-names":false,"suffix":""},{"dropping-particle":"","family":"S. Trahan","given":"","non-dropping-particle":"","parse-names":false,"suffix":""},{"dropping-particle":"","family":"M. Biswas","given":"","non-dropping-particle":"","parse-names":false,"suffix":""},{"dropping-particle":"","family":"L. Carson","given":"","non-dropping-particle":"","parse-names":false,"suffix":""},{"dropping-particle":"","family":"H. Shao","given":"","non-dropping-particle":"","parse-names":false,"suffix":""},{"dropping-particle":"","family":"C. Zhou","given":"","non-dropping-particle":"","parse-names":false,"suffix":""}],"container-title":"6th NOAA Testbeds and Proving Grounds Workshop","id":"ITEM-1","issued":{"date-parts":[["2015"]]},"publisher-place":"Boulder, CO","title":"Transition of Research to the Operational Hurricane WRF model: the Role of the Developmental Testbed Center","type":"paper-conference"},"uris":["http://www.mendeley.com/documents/?uuid=2256ac2e-4fb8-3508-89ae-796fd9670344"]},{"id":"ITEM-2","itemData":{"author":[{"dropping-particle":"","family":"Tong","given":"Mingjing","non-dropping-particle":"","parse-names":false,"suffix":""},{"dropping-particle":"","family":"Tallapragada","given":"Vijay","non-dropping-particle":"","parse-names":false,"suffix":""},{"dropping-particle":"","family":"Liu","given":"Emily","non-dropping-particle":"","parse-names":false,"suffix":""},{"dropping-particle":"","family":"Wang","given":"Weiguo","non-dropping-particle":"","parse-names":false,"suffix":""},{"dropping-particle":"","family":"Kieu","given":"Chanh","non-dropping-particle":"","parse-names":false,"suffix":""},{"dropping-particle":"","family":"Liu","given":"Qingfu","non-dropping-particle":"","parse-names":false,"suffix":""},{"dropping-particle":"","family":"Zhan","given":"Banglin","non-dropping-particle":"","parse-names":false,"suffix":""}],"container-title":"2014 HFIP annual meeting","id":"ITEM-2","issued":{"date-parts":[["2014"]]},"title":"Impact of Assimilating Aircraft Reconnaissance Observations in Operational HWRF","type":"paper-conference"},"uris":["http://www.mendeley.com/documents/?uuid=0f52dd70-2e22-3712-aa59-e5d3850e6a5a"]},{"id":"ITEM-3","itemData":{"abstract":"In collabora7on with research and opera7onal centers , the Developmental Testbed Center (DTC) workstowardtheimprovementofDataAssimila7on(DA)andini7aliza7onofnumericalmodelsfortropicalcycloneforecas7ng.Recentworkhasbeenperformedintheframeworkofthe2014opera7onalHurricaneWeatherResearchandForecast(HWRF)model,whichappliedsomecri7calupdatestovariousaspectsofthesystemcomparedtothe2013HWRFsystem,including,butnotlimitedto,theupgradedvortexini7aliza7onscheme,andsomeimportantchangestothehybridvaria7onal-­‐ensembleconfigura7onoftheGridpointSta7s7calInterpola7on(GSI)system.Basedondiagnos7csofthetropicalstormintensityforecastsfromtheNa7onalCenterforEnvironmentalPredic7on(NCEP)/EnvironmentalModelingcenter(EMC)2014HWRFpre-­‐implementa7onruns,mul7pletropicalstormcaseshavebeenselectedforextensiveinves7ga7onsinthiswork,whoseintensityforecastschangerapidlyfromtoostrongtotooweakcomparedtotheobservedattheini7alforecasthours.Mul7plerunshavebeenconductedfortheselectedcasestostudytheimpactofnumerousconfigura7onsonhurricaneforecasts,withthemainfocusontacklingthetropicalstormintensityspin-­‐downissueswithinthe2014HWRFruns.Acknowledgments:ThisworkissponsoredbytheHurricaneForecastImprovementProgram(HFIP).","author":[{"dropping-particle":"","family":"Zhou","given":"Chunhua","non-dropping-particle":"","parse-names":false,"suffix":""},{"dropping-particle":"","family":"Shao","given":"Hui","non-dropping-particle":"","parse-names":false,"suffix":""},{"dropping-particle":"","family":"Bernardet","given":"Ligia","non-dropping-particle":"","parse-names":false,"suffix":""}],"container-title":"16th WRF users Workshop","id":"ITEM-3","issued":{"date-parts":[["2015"]]},"title":"Applications of the GSI‐Hybrid Data Assimilation for High‐Resolution Tropical Storm Forecasts: tackling the intensity spin-­down issue in 2014 HWRF","type":"paper-conference"},"uris":["http://www.mendeley.com/documents/?uuid=d4360853-3d14-3757-ac54-0ca97e08e787"]},{"id":"ITEM-4","itemData":{"URL":"https://ams.confex.com/ams/95Annual/webprogram/Paper269008.html","accessed":{"date-parts":[["2017","11","19"]]},"author":[{"dropping-particle":"","family":"Zhou","given":"Chunhua","non-dropping-particle":"","parse-names":false,"suffix":""},{"dropping-particle":"","family":"Shao","given":"H.","non-dropping-particle":"","parse-names":false,"suffix":""},{"dropping-particle":"","family":"Bernardet","given":"L. R.","non-dropping-particle":"","parse-names":false,"suffix":""},{"dropping-particle":"","family":"M. Tong","given":"","non-dropping-particle":"","parse-names":false,"suffix":""},{"dropping-particle":"","family":"Tallapragada","given":"","non-dropping-particle":"V.","parse-names":false,"suffix":""}],"container-title":"95th AMS Annual","id":"ITEM-4","issued":{"date-parts":[["2015"]]},"title":"Regional Applications of the GSI-Hybrid Data Assimilation for High-Resolution Tropical Storm Forecasts (95th American Meteorological Society Annual Meeting)","type":"webpage"},"uris":["http://www.mendeley.com/documents/?uuid=d950c86f-cf87-3969-ac28-e4ed7b50776b"]}],"mendeley":{"formattedCitation":"(Bernardet et al. 2015; Tong et al. 2014; Zhou et al. 2015a,b)","manualFormatting":"(Bernardet et al. 2015; Zhou et al. 2015a,b; Tong et al. 2018)","plainTextFormattedCitation":"(Bernardet et al. 2015; Tong et al. 2014; Zhou et al. 2015a,b)","previouslyFormattedCitation":"(Bernardet et al. 2015; Tong et al. 2014; Zhou et al. 2015a,b)"},"properties":{"noteIndex":0},"schema":"https://github.com/citation-style-language/schema/raw/master/csl-citation.json"}</w:instrText>
      </w:r>
      <w:r w:rsidRPr="00723DA9">
        <w:rPr>
          <w:rFonts w:ascii="Times New Roman" w:eastAsia="宋体" w:hAnsi="Times New Roman"/>
        </w:rPr>
        <w:fldChar w:fldCharType="separate"/>
      </w:r>
      <w:r w:rsidRPr="00723DA9">
        <w:rPr>
          <w:rFonts w:ascii="Times New Roman" w:eastAsia="宋体" w:hAnsi="Times New Roman"/>
          <w:noProof/>
        </w:rPr>
        <w:t>(Bernardet et al. 2015; Zhou et al. 2015a,b; Tong et al. 2018)</w:t>
      </w:r>
      <w:r w:rsidRPr="00723DA9">
        <w:rPr>
          <w:rFonts w:ascii="Times New Roman" w:eastAsia="宋体" w:hAnsi="Times New Roman"/>
        </w:rPr>
        <w:fldChar w:fldCharType="end"/>
      </w:r>
      <w:r w:rsidRPr="00723DA9">
        <w:rPr>
          <w:rFonts w:ascii="Times New Roman" w:eastAsia="宋体" w:hAnsi="Times New Roman"/>
        </w:rPr>
        <w:t xml:space="preserve">.  This definition of spin-down is used for the rest of the paper.  Such a spin-down issue sometimes </w:t>
      </w:r>
      <w:r w:rsidRPr="00723DA9">
        <w:rPr>
          <w:rFonts w:ascii="Times New Roman" w:hAnsi="Times New Roman"/>
        </w:rPr>
        <w:t>jeopardizes the intensity forecasts especially for strong hurricanes during the intensification period</w:t>
      </w:r>
      <w:r w:rsidRPr="00723DA9">
        <w:rPr>
          <w:rFonts w:ascii="Times New Roman" w:eastAsia="宋体" w:hAnsi="Times New Roman"/>
        </w:rPr>
        <w:t>.  Most e</w:t>
      </w:r>
      <w:r w:rsidRPr="00723DA9">
        <w:rPr>
          <w:rFonts w:ascii="Times New Roman" w:hAnsi="Times New Roman"/>
        </w:rPr>
        <w:t xml:space="preserve">arly studies attributed the spin-down issue to the imbalanced, incomplete or unrealistic initial analysis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URL":"http://www.rsmas.miami.edu/assets/pdfs/mpo/seminars/2011fall/Sellwood_Abstract.pdf","accessed":{"date-parts":[["2017","11","19"]]},"author":[{"dropping-particle":"","family":"Sellwood","given":"Kathryn","non-dropping-particle":"","parse-names":false,"suffix":""}],"id":"ITEM-1","issued":{"date-parts":[["2011"]]},"title":"Investigating the Spin Down Problem in the HWRF model initialized from HEDAS initial condition","type":"webpage"},"uris":["http://www.mendeley.com/documents/?uuid=bfdb1495-bc18-3d9e-96e2-2593ccb1a2c9"]},{"id":"ITEM-2","itemData":{"author":[{"dropping-particle":"","family":"Bernardet","given":"Ligia","non-dropping-particle":"","parse-names":false,"suffix":""},{"dropping-particle":"","family":"Tallapragada","given":"","non-dropping-particle":"V.","parse-names":false,"suffix":""},{"dropping-particle":"","family":"C. Holt","given":"","non-dropping-particle":"","parse-names":false,"suffix":""},{"dropping-particle":"","family":"S. Trahan","given":"","non-dropping-particle":"","parse-names":false,"suffix":""},{"dropping-particle":"","family":"M. Biswas","given":"","non-dropping-particle":"","parse-names":false,"suffix":""},{"dropping-particle":"","family":"L. Carson","given":"","non-dropping-particle":"","parse-names":false,"suffix":""},{"dropping-particle":"","family":"H. Shao","given":"","non-dropping-particle":"","parse-names":false,"suffix":""},{"dropping-particle":"","family":"C. Zhou","given":"","non-dropping-particle":"","parse-names":false,"suffix":""}],"container-title":"6th NOAA Testbeds and Proving Grounds Workshop","id":"ITEM-2","issued":{"date-parts":[["2015"]]},"publisher-place":"Boulder, CO","title":"Transition of Research to the Operational Hurricane WRF model: the Role of the Developmental Testbed Center","type":"paper-conference"},"uris":["http://www.mendeley.com/documents/?uuid=2256ac2e-4fb8-3508-89ae-796fd9670344"]},{"id":"ITEM-3","itemData":{"URL":"https://ams.confex.com/ams/95Annual/webprogram/Paper269008.html","accessed":{"date-parts":[["2017","11","19"]]},"author":[{"dropping-particle":"","family":"Zhou","given":"Chunhua","non-dropping-particle":"","parse-names":false,"suffix":""},{"dropping-particle":"","family":"Shao","given":"H.","non-dropping-particle":"","parse-names":false,"suffix":""},{"dropping-particle":"","family":"Bernardet","given":"L. R.","non-dropping-particle":"","parse-names":false,"suffix":""},{"dropping-particle":"","family":"M. Tong","given":"","non-dropping-particle":"","parse-names":false,"suffix":""},{"dropping-particle":"","family":"Tallapragada","given":"","non-dropping-particle":"V.","parse-names":false,"suffix":""}],"container-title":"95th AMS Annual","id":"ITEM-3","issued":{"date-parts":[["2015"]]},"title":"Regional Applications of the GSI-Hybrid Data Assimilation for High-Resolution Tropical Storm Forecasts (95th American Meteorological Society Annual Meeting)","type":"webpage"},"uris":["http://www.mendeley.com/documents/?uuid=d950c86f-cf87-3969-ac28-e4ed7b50776b"]},{"id":"ITEM-4","itemData":{"DOI":"10.1175/JAS-D-16-0017.1","ISSN":"15200469","abstract":"AbstractAn initial vortex spindown, or strong adjustment to the structure and intensity of a hurricane’s initial vortex, presents a significant problem in hurricane forecasting, as with the NCEP Hurricane Weather Research and Forecasting Model (HWRF), because it can cause significantly degraded intensity forecasts. In this study, the influence of the self-consistent regional ensemble background error covariance on assimilating hurricane inner-core tail Doppler radar (TDR) observations in HWRF is examined with the NCEP gridpoint statistical interpolation (GSI)-based ensemble–three-dimensional variational (3DVAR) hybrid data assimilation system. It is found that the resolution of the background error covariance term, coming from the ensemble forecasts, has notable influence on the assimilation of hurricane inner-core observations and subsequent forecasting results. Specifically, the use of ensemble forecasting at high-resolution native grids results in significant reduction of the vortex spindown problem an...","author":[{"dropping-particle":"","family":"Pu","given":"Zhaoxia","non-dropping-particle":"","parse-names":false,"suffix":""},{"dropping-particle":"","family":"Zhang","given":"Shixuan","non-dropping-particle":"","parse-names":false,"suffix":""},{"dropping-particle":"","family":"Tong","given":"Mingjing","non-dropping-particle":"","parse-names":false,"suffix":""},{"dropping-particle":"","family":"Tallapragada","given":"Vijay","non-dropping-particle":"","parse-names":false,"suffix":""}],"container-title":"Journal of the Atmospheric Sciences","id":"ITEM-4","issue":"12","issued":{"date-parts":[["2016"]]},"page":"4911-4925","title":"Influence of the Self-Consistent Regional Ensemble Background Error Covariance on Hurricane Inner-Core Data Assimilation with the GSI-Based Hybrid System for HWRF","type":"article-journal","volume":"73"},"uris":["http://www.mendeley.com/documents/?uuid=dd4b5d30-3ca3-4d01-9a81-7ca30d07b7f4"]}],"mendeley":{"formattedCitation":"(Sellwood 2011; Bernardet et al. 2015; Zhou et al. 2015b; Pu et al. 2016)","plainTextFormattedCitation":"(Sellwood 2011; Bernardet et al. 2015; Zhou et al. 2015b; Pu et al. 2016)","previouslyFormattedCitation":"(Sellwood 2011; Bernardet et al. 2015; Zhou et al. 2015b; Pu et al. 2016)"},"properties":{"noteIndex":0},"schema":"https://github.com/citation-style-language/schema/raw/master/csl-citation.json"}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(Bernardet et al. 2015; Zhou et al. 2015b; Pu et al. 2016)</w:t>
      </w:r>
      <w:r w:rsidRPr="00723DA9">
        <w:rPr>
          <w:rFonts w:ascii="Times New Roman" w:hAnsi="Times New Roman"/>
        </w:rPr>
        <w:fldChar w:fldCharType="end"/>
      </w:r>
      <w:r w:rsidRPr="00723DA9">
        <w:rPr>
          <w:rFonts w:ascii="Times New Roman" w:hAnsi="Times New Roman"/>
        </w:rPr>
        <w:t xml:space="preserve">.  However, as discussed in this paper, although a more realistic initial condition was generated for hurricane Patricia (2015) using the field campaign observations and the GSI hybrid DA system compared to the VM analysis, more significant spin-down occurs during the subsequent prediction initialized by the DA analysis than the VM analysis.  This more significant spin-down issue with a better DA analysis was also consistently found in Tong et al. </w:t>
      </w:r>
      <w:r w:rsidRPr="00723DA9">
        <w:rPr>
          <w:rFonts w:ascii="Times New Roman" w:hAnsi="Times New Roman"/>
        </w:rPr>
        <w:lastRenderedPageBreak/>
        <w:t xml:space="preserve">(2018) with a larger sample size.  The primary objective of this study is to investigate the reason behind it.  </w:t>
      </w:r>
    </w:p>
    <w:p w14:paraId="3222D226" w14:textId="2D1CEDC8" w:rsidR="00C56823" w:rsidRPr="00723DA9" w:rsidRDefault="00C56823" w:rsidP="00771F99">
      <w:pPr>
        <w:pStyle w:val="ListParagraph"/>
        <w:spacing w:line="480" w:lineRule="auto"/>
        <w:ind w:left="0" w:firstLine="432"/>
        <w:rPr>
          <w:rFonts w:ascii="Times New Roman" w:hAnsi="Times New Roman"/>
        </w:rPr>
      </w:pPr>
      <w:r w:rsidRPr="00723DA9">
        <w:rPr>
          <w:rFonts w:ascii="Times New Roman" w:hAnsi="Times New Roman"/>
        </w:rPr>
        <w:t xml:space="preserve">Some other studies </w:t>
      </w:r>
      <w:r w:rsidR="00626606">
        <w:rPr>
          <w:rFonts w:ascii="Times New Roman" w:hAnsi="Times New Roman"/>
        </w:rPr>
        <w:fldChar w:fldCharType="begin" w:fldLock="1"/>
      </w:r>
      <w:r w:rsidR="0065000F">
        <w:rPr>
          <w:rFonts w:ascii="Times New Roman" w:hAnsi="Times New Roman"/>
        </w:rPr>
        <w:instrText>ADDIN CSL_CITATION {"citationItems":[{"id":"ITEM-1","itemData":{"DOI":"10.1175/MWR-D-12-00211.1","abstract":"In this study the properties and causes of systematic errors in high-resolution data assimilation of inner-core tropical cyclone (TC) observations were investigated using the Hurricane Weather Research and Forecasting (HWRF) Ensemble Data Assimilation System (HEDAS). Although a recent study by Aksoy et al. demonstrated overall good performance of HEDAS for 83 cases from 2008 to 2011 using airborne observations from research and operational aircraft, some systematic errors were identified in the analyses with respect to independent observation-based estimates. The axisymmetric primary circulation intensity was underestimated for hurricane cases and the secondary circulation was systematically weaker for all cases. The diagnostic analysis in this study shows that the underestimate of primary circulation was caused by the systematic spindown of the vortex core in the short-term forecasts during the cycling with observations. This tendency bias was associated with the systematic errors in the secondary circulation, temperature, and humidity. The biases were reoccurring in each cycle during the assimilation because of the inconsistency between the strength of primary and secondary circulation during the short-term forecasts, the impact of model error in planetary boundary layer dynamics, and the effect of forecast tendency bias on the background error correlations. Although limited to the current analysis the findings in this study point to a generic problem of mutual dependence of short-term forecast tendency and state estimate errors in the data assimilation of TC core observations. The results indicate that such coupling of errors in the assimilation would also lead to short-term intensity forecast bias after the assimilation for the same reasons.","author":[{"dropping-particle":"","family":"Vukicevic","given":"Tomislava","non-dropping-particle":"","parse-names":false,"suffix":""},{"dropping-particle":"","family":"Reasor","given":"Paul","non-dropping-particle":"","parse-names":false,"suffix":""},{"dropping-particle":"","family":"Aberson","given":"Sim D","non-dropping-particle":"","parse-names":false,"suffix":""},{"dropping-particle":"","family":"Sellwood","given":"Kathryn J","non-dropping-particle":"","parse-names":false,"suffix":""}],"container-title":"Monthly Weather Review","id":"ITEM-1","issued":{"date-parts":[["2013"]]},"page":"2992-3006","title":"Joint Impact of Forecast Tendency and State Error Biases in Ensemble Kalman Filter Data Assimilation of Inner-Core Tropical Cyclone Observations","type":"article-journal","volume":"141"},"uris":["http://www.mendeley.com/documents/?uuid=cf314093-df7a-35ae-b22d-899799955bae"]},{"id":"ITEM-2","itemData":{"DOI":"10.1175/MWR-D-17-0380.1","author":[{"dropping-particle":"","family":"Tong","given":"M","non-dropping-particle":"","parse-names":false,"suffix":""},{"dropping-particle":"","family":"Sippel","given":"J","non-dropping-particle":"","parse-names":false,"suffix":""},{"dropping-particle":"","family":"Tallapragada","given":"V","non-dropping-particle":"","parse-names":false,"suffix":""},{"dropping-particle":"","family":"Liu","given":"E","non-dropping-particle":"","parse-names":false,"suffix":""},{"dropping-particle":"","family":"Kieu","given":"C","non-dropping-particle":"","parse-names":false,"suffix":""},{"dropping-particle":"","family":"Kwon","given":"I","non-dropping-particle":"","parse-names":false,"suffix":""},{"dropping-particle":"","family":"Wang","given":"W","non-dropping-particle":"","parse-names":false,"suffix":""},{"dropping-particle":"","family":"Liu","given":"Q","non-dropping-particle":"","parse-names":false,"suffix":""},{"dropping-particle":"","family":"Ling","given":"Y","non-dropping-particle":"","parse-names":false,"suffix":""},{"dropping-particle":"","family":"Zhang","given":"B","non-dropping-particle":"","parse-names":false,"suffix":""}],"container-title":"Mon. Wea. Rev","id":"ITEM-2","issued":{"date-parts":[["2018"]]},"title":"Impact of Assimilating Aircraft Reconnaissance Observations on Tropical Cyclone Initialization and Prediction using Operational HWRF and GSI Ensemble-Variational Hybrid Data Assimilation","type":"article-journal"},"uris":["http://www.mendeley.com/documents/?uuid=a89a3ac3-1663-30dc-a6dc-ce9fa5f9e93e"]}],"mendeley":{"formattedCitation":"(Vukicevic et al. 2013; Tong et al. 2018)","plainTextFormattedCitation":"(Vukicevic et al. 2013; Tong et al. 2018)","previouslyFormattedCitation":"(Vukicevic et al. 2013; Tong et al. 2018)"},"properties":{"noteIndex":0},"schema":"https://github.com/citation-style-language/schema/raw/master/csl-citation.json"}</w:instrText>
      </w:r>
      <w:r w:rsidR="00626606">
        <w:rPr>
          <w:rFonts w:ascii="Times New Roman" w:hAnsi="Times New Roman"/>
        </w:rPr>
        <w:fldChar w:fldCharType="separate"/>
      </w:r>
      <w:r w:rsidR="00626606" w:rsidRPr="00626606">
        <w:rPr>
          <w:rFonts w:ascii="Times New Roman" w:hAnsi="Times New Roman"/>
          <w:noProof/>
        </w:rPr>
        <w:t>(Vukicevic et al. 2013; Tong et al. 2018)</w:t>
      </w:r>
      <w:r w:rsidR="00626606">
        <w:rPr>
          <w:rFonts w:ascii="Times New Roman" w:hAnsi="Times New Roman"/>
        </w:rPr>
        <w:fldChar w:fldCharType="end"/>
      </w:r>
      <w:r w:rsidRPr="00723DA9">
        <w:rPr>
          <w:rFonts w:ascii="Times New Roman" w:hAnsi="Times New Roman"/>
        </w:rPr>
        <w:t xml:space="preserve"> indicated that the spin-down issue is also likely be caused by the insufficient model physics, especially for the boundary layer physics.  But no prominent evidence was found to support this hypothesis.  As discussed later in the paper, our experiments suggest that the spin-down is largely due to the deficiency associated with the HWRF model physics schemes.  Previous studies suggested that simulated TCs can be highly influenced by the turbulent diffusion processes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{"citationItems":[{"id":"ITEM-1","itemData":{"DOI":"10.1175/1520-0469(1997)054&lt;1014:SAOHIC&gt;2.0.CO;2","ISSN":"0022-4928","abstract":"The energy cycle of the mature hurricane resides in the secondary circulation that passes through the storm's eyewall. By equating the generation of energy in this cycle to boundary layer dissipation, an upper bound on wind speed is derived. This bound depends on the degree of thermodynamic disequilibrium between the tropical ocean and atmosphere, on the difference between sea surface and outflow absolute temperatures, and also on the ratio between the enthalpy exchange and surface drag coefficients. Such a bound proves to be an excellent predictor of maximum wind speeds in two different axisymmetric numerical models and does not appear to depend on the existence of the hurricane eye. But further consideration of the detailed dynamics of the eye and eyewall show that the intensification of hurricanes is accelerated by feedbacks associated with a component of eye subsidence forced by radial turbulent diffusion of momentum. This radial momentum diffusion is an inevitable by-product of the strong frontogenesis that the author here shows to be a fundamental characteristic of flow in the eyewall. Thus, while the upper bound on hurricane wind speed is independent of the eye dynamics, the intensification of hurricanes is indirectly accelerated by turbulent stresses that occur in the eye and eyewall.","author":[{"dropping-particle":"","family":"Emanuel","given":"Kerry a.","non-dropping-particle":"","parse-names":false,"suffix":""}],"container-title":"Journal of the Atmospheric Sciences","id":"ITEM-1","issue":"8","issued":{"date-parts":[["1997"]]},"page":"1014-1026","title":"Some Aspects of Hurricane Inner-Core Dynamics and Energetics","type":"article-journal","volume":"54"},"uris":["http://www.mendeley.com/documents/?uuid=028810e8-3b17-463b-9329-38d401ff5194"]},{"id":"ITEM-2","itemData":{"DOI":"10.1175/2009JAS3038.1","abstract":"Several studies have shown that the intensity of numerically simulated tropical cyclones can exceed (by 50%) a theoretical upper limit. To investigate the cause, this study evaluates the underlying components of Emanuel's commonly cited analytic theory for potential intensity (herein referred to as E-PI). A review of the derivation of E-PI highlights three primary components: a dynamical component (gradient-wind and hydrostatic balance); a thermodynamical component (reversible or pseudoadiabatic thermodynamics, al-though the pseudoadiabatic assumption yields greater intensity); and a planetary boundary layer (PBL) closure (which relates the horizontal gradients of entropy and angular momentum at the top of the PBL to fluxes and stresses at the ocean surface). These three components are evaluated using output from an axi-symmetric numerical model. The present analysis finds the thermodynamical component and the PBL closure to be sufficiently accurate for several different simulations. In contrast, the dynamical component is clearly violated. Although the balanced portion of the flow (y g , to which E-PI applies) appears to also exceed E-PI, it is shown that this difference is attributable to the method used to calculate y g from the model output. Evi-dence is shown that y g for a truly balanced cyclone does not exceed E-PI. To clearly quantify the impact of unbalanced flow, a more complete analytic model is presented. The model is not expressed in terms of ex-ternal conditions and thus cannot be used to predict maximum intensity for a given environment; however, it does allow for evaluation of the relative contributions to maximum intensity from balanced and unbalanced (i.e., inertial) terms in the governing equations. Using numerical model output, this more complete model is shown to accurately model maximum intensity. Analysis against observations further confirms that the effects of unbalanced flow on maximum intensity are not always negligible. The contribution to intensity from un-balanced flow can become negligible in axisymmetric models as radial turbulence (i.e., viscosity) increases, and this explains why some previous studies concluded that E-PI was an accurate upper bound for their simulations. Conclusions of this study are also compared and contrasted to those from previous studies.","author":[{"dropping-particle":"","family":"Bryan","given":"George H","non-dropping-particle":"","parse-names":false,"suffix":""},{"dropping-particle":"","family":"Rotunno","given":"Richard","non-dropping-particle":"","parse-names":false,"suffix":""}],"container-title":"Journal of the Atmospheric Sciences","id":"ITEM-2","issued":{"date-parts":[["2009"]]},"page":"3042-3060","title":"Evaluation of an Analytical Model for the Maximum Intensity of Tropical Cyclones","type":"article-journal","volume":"66"},"uris":["http://www.mendeley.com/documents/?uuid=652a5db5-72f6-36f6-b5d1-5faadca97017"]},{"id":"ITEM-3","itemData":{"DOI":"10.1175/2009JAS3038.1","ISSN":"0022-4928","abstract":"An axisymmetric numerical model is used to evaluate the maximum possible intensity of tropical cyclones. As compared with traditionally formulated nonhydrostatic models, this new model has improved mass and energy conservation in saturated conditions. In comparison with the axisymmetric model developed by Rotunno and Emanuel, the new model produces weaker cyclones (by &amp;#8764;10&amp;#37;, in terms of maximum azimuthal velocity); the difference is attributable to several approximations in the Rotunno&amp;#8211;Emanuel model. Then, using a single specification for initial conditions (with a sea surface temperature of 26&amp;#176;C), the authors conduct model sensitivity tests to determine the sensitivity of maximum azimuthal velocity (&amp;#965;max) to uncertain aspects of the modeling system. For fixed mixing lengths in the turbulence parameterization, a converged value of &amp;#965;max is achieved for radial grid spacing of order 1 km and vertical grid spacing of order 250 m. The fall velocity of condensate (Vt) changes &amp;#965;max by up to 60&amp;#37;, and the largest &amp;#965;max occurs for pseudoadiabatic thermodynamics (i.e., for Vt &amp;#62; 10 m s&amp;#8722;1). The sensitivity of &amp;#965;max to the ratio of surface exchange coefficients for entropy and momentum (CE/CD) matches the theoretical result, &amp;#965;max &amp;#8764; (CE/CD)1/2, for nearly inviscid flow, but simulations with increasing turbulence intensity show less dependence on CE/CD; this result suggests that the effect of CE/CD is less important than has been argued previously. The authors find that &amp;#965;max is most sensitive to the intensity of turbulence in the radial direction. However, some settings, such as inviscid flow, yield clearly unnatural structures; for example, &amp;#965;max exceeds 110 m s&amp;#8722;1, despite a maximum observed intensity of &amp;#8764;70 m s&amp;#8722;1 for this environment. The authors show that turbulence in the radial direction limits maximum axisymmetric intensity by weakening the radial gradients of angular momentum (which prevents environmental air from being drawn to small radius) and of entropy (which is consistent with weaker intensity by consideration of thermal wind balance). It is also argued that future studies should consider parameterized turbulence as an important factor in simulated tropical cyclone intensity.","author":[{"dropping-particle":"","family":"Bryan","given":"George H","non-dropping-particle":"","parse-names":false,"suffix":""},{"dropping-particle":"","family":"Rotunno","given":"Richard","non-dropping-particle":"","parse-names":false,"suffix":""}],"container-title":"Monthly Weather Review","id":"ITEM-3","issue":"6","issued":{"date-parts":[["2009"]]},"page":"1770-1789","title":"The Maximum Intensity of Tropical Cyclones in Axisymmetric Numerical Model Simulations","type":"article-journal","volume":"137"},"uris":["http://www.mendeley.com/documents/?uuid=61cb5d03-674c-4131-81c7-7756d14c7ce2"]},{"id":"ITEM-4","itemData":{"DOI":"10.1175/MWR-D-11-00231.1","ISSN":"0027-0644","abstract":"AbstractUsing numerical simulations, this study examines the sensitivity of hurricane intensity and structure to changes in the surface exchange coefficients and to changes in the length scales of a turbulence parameterization. Compared to other recent articles on the topic, this study uses higher vertical resolution, more values for the turbulence length scales, a different initial environment (including higher sea surface temperature), a broader specification of surface exchange coefficients, a more realistic microphysics scheme, and a set of three-dimensional simulations. The primary conclusions from a recent study by Bryan and Rotunno are all upheld: maximum intensity is strongly affected by the horizontal turbulence length scale lh but not by the vertical turbulence length scale lυ, and the ratio of surface exchange coefficients for enthalpy and momentum, Ck/Cd, has less effect on maximum wind speed than suggested by an often-cited theoretical model. The model output is further evaluated against vari...","author":[{"dropping-particle":"","family":"Bryan","given":"George H.","non-dropping-particle":"","parse-names":false,"suffix":""}],"container-title":"Monthly Weather Review","id":"ITEM-4","issue":"4","issued":{"date-parts":[["2012"]]},"page":"1125-1143","title":"Effects of Surface Exchange Coefficients and Turbulence Length Scales on the Intensity and Structure of Numerically Simulated Hurricanes","type":"article-journal","volume":"140"},"uris":["http://www.mendeley.com/documents/?uuid=b77ba18f-9fa0-4f5b-981d-54d1a22eb7f7"]},{"id":"ITEM-5","itemData":{"DOI":"10.1175/JAS-D-11-0204.1","abstract":"In this study the authors analyze and interpret the effects of parameterized diffusion on the nearly steady axisymmetric numerical simulations of hurricanes presented in a recent study. In that study it was concluded that horizontal diffusion was the most important control factor for the maximum simulated hurricane in-tensity. Through budget analysis it is shown here that horizontal diffusion is a major contributor to the angular momentum budget in the boundary layer of the numerically simulated storms. Moreover, a new scale analysis recognizing the anisotropic nature of the parameterized model diffusion shows why the horizontal diffusion plays such a dominant role. A simple analytical model is developed that captures the essence of the effect. The role of vertical diffusion in the boundary layer in the aforementioned numerical simulations is more closely examined here. It is shown that the boundary layer in these simulations is consistent with known analytical solutions in that boundary layer depth increases and the amount of ''overshoot'' (maximum wind in excess of the gradient wind) decreases with increasing vertical diffusion. However, the maximum wind itself depends mainly on horizontal diffusion and is relatively insensitive to vertical diffusion; the overshoot variation with vertical viscosity mainly comes from changes in the gradient wind with vertical viscosity. The present con-siderations of parameterized diffusion allow a new contribution to the dialog in the literature on the meaning and interpretation of the Emanuel potential intensity theory.","author":[{"dropping-particle":"","family":"Rotunno","given":"Richard","non-dropping-particle":"","parse-names":false,"suffix":""},{"dropping-particle":"","family":"Bryan","given":"George H","non-dropping-particle":"","parse-names":false,"suffix":""}],"container-title":"Journal of the Atmospheric Sciences","id":"ITEM-5","issued":{"date-parts":[["2012"]]},"page":"2284-2299","title":"Effects of Parameterized Diffusion on Simulated Hurricanes","type":"article-journal","volume":"69"},"uris":["http://www.mendeley.com/documents/?uuid=c3e04962-724f-3b0d-905a-7c8e5e3b0806"]},{"id":"ITEM-6","itemData":{"DOI":"10.1175/JAS-D-11-0180.1","ISSN":"0022-4928","abstract":"This study examines further the characteristics of turbulent flow\\nin the low-level region of intense hurricanes using in situ aircraft\\nobservations. The data analyzed here are the flight-level data collected\\nby research aircraft that penetrated the eyewalls of category-5 Hurricane\\nHugo (1989), category-4 Hurricane Allen (1980), and category-5 Hurricane\\nDavid (1979) between 1 km and the sea surface. Estimates of horizontal\\neddy momentum flux, horizontal eddy diffusivity, and horizontal mixing\\nlength are obtained. It is found that the horizontal momentum flux\\nand horizontal diffusivity increase with increasing wind speed. The\\nhorizontal mixing length increases slightly with wind speed also,\\nbut the mixing length is not significantly dependent on the wind\\nspeed. The magnitude of the horizontal momentum flux is found to\\nbe comparable to that of the vertical momentum flux, indicating that\\nhorizontal mixing by turbulence becomes nonnegligible in the hurricane\\nboundary layer, especially in the eyewall region.\\n\\n\\nWithin the context of simple K theory, the results suggest that the\\naverage horizontal eddy diffusivity and mixing length are approximately\\n1500 m2 s</w:instrText>
      </w:r>
      <w:r w:rsidR="002E0A45" w:rsidRPr="00723DA9">
        <w:rPr>
          <w:rFonts w:ascii="Tahoma" w:hAnsi="Tahoma" w:cs="Tahoma"/>
        </w:rPr>
        <w:instrText>�</w:instrText>
      </w:r>
      <w:r w:rsidR="002E0A45" w:rsidRPr="00723DA9">
        <w:rPr>
          <w:rFonts w:ascii="Times New Roman" w:hAnsi="Times New Roman"/>
        </w:rPr>
        <w:instrText>|1 and 750 m, respectively, at about 500 m in the eyewall\\nregion corresponding to the mean wind speed of approximately 52 m\\ns</w:instrText>
      </w:r>
      <w:r w:rsidR="002E0A45" w:rsidRPr="00723DA9">
        <w:rPr>
          <w:rFonts w:ascii="Tahoma" w:hAnsi="Tahoma" w:cs="Tahoma"/>
        </w:rPr>
        <w:instrText>�</w:instrText>
      </w:r>
      <w:r w:rsidR="002E0A45" w:rsidRPr="00723DA9">
        <w:rPr>
          <w:rFonts w:ascii="Times New Roman" w:hAnsi="Times New Roman"/>
        </w:rPr>
        <w:instrText>|1. It is recalled also that the mixing length is a virtual scale\\nin numerical models and is quantitatively smaller than the energy-containing\\nscale of turbulent eddies. The distinction between these two scales\\nis a useful reminder for the modeling community on the representation\\nof small-scale turbulence in hurricanes.","author":[{"dropping-particle":"","family":"Zhang","given":"Jun A","non-dropping-particle":"","parse-names":false,"suffix":""},{"dropping-particle":"","family":"Montgomery","given":"Michael T","non-dropping-particle":"","parse-names":false,"suffix":""}],"container-title":"J. Atmos. Sci.","id":"ITEM-6","issued":{"date-parts":[["2012"]]},"page":"1306-1316","title":"Observational Estimates of the Horizontal Eddy Diffusivity and Mixing Length in the Low-Level Region of Intense Hurricanes","type":"article-journal","volume":"69"},"uris":["http://www.mendeley.com/documents/?uuid=847a8349-f520-4fdb-ba1a-b2893d8ed9b0"]},{"id":"ITEM-7","itemData":{"DOI":"10.1175/JAS-D-11-0340.1","ISSN":"0022-4928","abstract":"The Hurricane Weather Research and Forecasting (HWRF) system was used in an idealized framework to gain a fundamental understanding of the variability in tropical cyclone (TC) structure and intensity prediction that may arise due to vertical diffusion. The modeling system uses the Medium-Range Forecast parameterization scheme. Flight-level data collected by a NOAA WP-3D research aircraft during the eyewall penetration of category 5 Hurricane Hugo (1989) at an altitude of about 450–500 m and Hurricane Allen (1980) were used as the basis to best match the modeled eddy diffusivities with wind speed. While reduction of the eddy diffusivity to a quarter of its original value produced the best match with the observations, such a reduction revealed a significant decrease in the height of the inflow layer as well which, in turn, drastically affected the size and intensity changes in the modeled TC. The cross-isobaric flow (inflow) was observed to be stronger with the decrease in the inflow depth. Stronger inflow not only increased the spin of the storm, enhancing the generalized Coriolis term in the equations of motion for tangential velocity, but also resulted in enhanced equivalent potential temperature in the boundary layer, a stronger and warmer core, and, subsequently, a stronger storm. More importantly, rapid acceleration of the inflow not only produced a stronger outflow at the top of the inflow layer, more consistent with observations, but also a smaller inner core that was less than half the size of the original.","author":[{"dropping-particle":"","family":"Gopalakrishnan","given":"Sundararaman G.","non-dropping-particle":"","parse-names":false,"suffix":""},{"dropping-particle":"","family":"Marks","given":"Frank","non-dropping-particle":"","parse-names":false,"suffix":""},{"dropping-particle":"","family":"Zhang","given":"Jun a.","non-dropping-particle":"","parse-names":false,"suffix":""},{"dropping-particle":"","family":"Zhang","given":"Xuejin","non-dropping-particle":"","parse-names":false,"suffix":""},{"dropping-particle":"","family":"Bao","given":"Jian-Wen","non-dropping-particle":"","parse-names":false,"suffix":""},{"dropping-particle":"","family":"Tallapragada","given":"Vijay","non-dropping-particle":"","parse-names":false,"suffix":""}],"container-title":"Journal of the Atmospheric Sciences","id":"ITEM-7","issued":{"date-parts":[["2013"]]},"page":"524-541","title":"A Study of the Impacts of Vertical Diffusion on the Structure and Intensity of the Tropical Cyclones Using the High Resolution HWRF system","type":"article-journal","volume":"70"},"uris":["http://www.mendeley.com/documents/?uuid=b2168a62-d40f-4cf6-bd1b-3b3e124cd994"]},{"id":"ITEM-8","itemData":{"author":[{"dropping-particle":"","family":"Montgomery","given":"Michael T","non-dropping-particle":"","parse-names":false,"suffix":""},{"dropping-particle":"","family":"Smith","given":"Roger K","non-dropping-particle":"","parse-names":false,"suffix":""}],"container-title":"Aust. Meteor. Oceanogr. J.","id":"ITEM-8","issued":{"date-parts":[["2014"]]},"page":"37-66","title":"Paradigms for tropical-cyclone intensification","type":"article-journal","volume":"64"},"uris":["http://www.mendeley.com/documents/?uuid=4c579885-fe03-45ab-b5f4-b2b652a52809"]},{"id":"ITEM-9","itemData":{"DOI":"10.1175/MWR-D-14-00341.1","ISSN":"0027-0644","abstract":"AbstractThis study examines the effects of horizontal diffusion on tropical cyclone (TC) intensity change and structure using idealized simulations of the Hurricane Weather Research and Forecasting Model (HWRF). A series of sensitivity experiments were conducted with varying horizontal mixing lengths (Lh), but kept the vertical diffusion coefficient and other physical parameterizations unchanged. The results show that both simulated maximum intensity and intensity change are sensitive to the Lh used in the parameterization of the horizontal turbulent flux, in particular, for Lh less than the model’s horizontal resolution. The results also show that simulated storm structures such as storm size, kinematic boundary layer height, and eyewall slope are sensitive to Lh as well. However, Lh has little impact on the magnitude of the surface inflow angle and thermodynamic mixed layer height. Angular momentum budget analyses indicate that the effect of Lh is to mainly spin down a TC vortex. Both mean and eddy adve...","author":[{"dropping-particle":"","family":"Zhang","given":"Jun A.","non-dropping-particle":"","parse-names":false,"suffix":""},{"dropping-particle":"","family":"Marks","given":"Frank D.","non-dropping-particle":"","parse-names":false,"suffix":""}],"container-title":"Monthly Weather Review","id":"ITEM-9","issue":"10","issued":{"date-parts":[["2015"]]},"page":"3981-3995","title":"Effects of Horizontal Diffusion on Tropical Cyclone Intensity Change and Structure in Idealized Three-Dimensional Numerical Simulations","type":"article-journal","volume":"143"},"uris":["http://www.mendeley.com/documents/?uuid=3b97b226-6376-4cd1-b15a-6297f9e20d06"]},{"id":"ITEM-10","itemData":{"DOI":"10.1175/MWR-D-14-00339.1","ISSN":"0027-0644","abstract":"As part of the Hurricane Forecast Improvement Project (HFIP), recent boundary layer physics upgrades in the operational Hurricane Weather Research and Forecasting (HWRF) Model have benefited from analyses of in situ aircraft observations in the low-level eyewall region of major hurricanes. This study evaluates the impact of these improvements to the vertical diffusion in the boundary layer on the simulated track, intensity, and structure of four hurricanes using retrospective HWRF forecasts. Structural metrics developed from observational composites are used in the model evaluation process. The results show improvements in track and intensity forecasts in response to the improvement of the vertical diffusion. The results also demonstrate substantial improvements in the simulated storm size, surface inflow angle, near-surface wind profile, and kinematic boundary layer heights in simulations with the improved physics, while only minor improvements are found in the thermodynamic boundary layer height, eyewall slope, and the distributions of vertical velocities in the eyewall. Other structural metrics such as warm core anomaly and warm core height are also explored. Reasons for the structural differences between the two sets of forecasts with different physics are discussed. This work further emphasizes the importance of aircraft observations in model diagnostics and development, endorsing a developmental framework for improving physical parameterizations in hurricane models.","author":[{"dropping-particle":"","family":"Zhang","given":"Jun a.","non-dropping-particle":"","parse-names":false,"suffix":""},{"dropping-particle":"","family":"Nolan","given":"David S.","non-dropping-particle":"","parse-names":false,"suffix":""},{"dropping-particle":"","family":"Rogers","given":"Robert F.","non-dropping-particle":"","parse-names":false,"suffix":""},{"dropping-particle":"","family":"Tallapragada","given":"Vijay","non-dropping-particle":"","parse-names":false,"suffix":""}],"container-title":"Mon. Wea. Rev.","id":"ITEM-10","issue":"February 2016","issued":{"date-parts":[["2015"]]},"page":"3136-3155","title":"Evaluating the impact of improvements in the boundary layer parameterization on hurricane intensity and structure forecasts in HWRF","type":"article-journal","volume":"143"},"uris":["http://www.mendeley.com/documents/?uuid=8d168b78-567c-413d-b1a4-41a00591b0ad"]}],"mendeley":{"formattedCitation":"(Emanuel 1997; Bryan and Rotunno 2009a,b; Bryan 2012; Rotunno and Bryan 2012; Zhang and Montgomery 2012; Gopalakrishnan et al. 2013; Montgomery and Smith 2014; Zhang and Marks 2015; Zhang et al. 2015)","plainTextFormattedCitation":"(Emanuel 1997; Bryan and Rotunno 2009a,b; Bryan 2012; Rotunno and Bryan 2012; Zhang and Montgomery 2012; Gopalakrishnan et al. 2013; Montgomery and Smith 2014; Zhang and Marks 2015; Zhang et al. 2015)","previouslyFormattedCitation":"(Emanuel 1997; Bryan and Rotunno 2009a,b; Bryan 2012; Rotunno and Bryan 2012; Zhang and Montgomery 2012; Gopalakrishnan et al. 2013; Montgomery and Smith 2014; Zhang and Marks 2015; Zhang et al. 2015)"},"properties":{"noteIndex":0},"schema":"https://github.com/citation-style-language/schema/raw/master/csl-citation.json"}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(Emanuel 1997; Bryan and Rotunno 2009a,b; Bryan 2012; Rotunno and Bryan 2012; Zhang and Montgomery 2012; Gopalakrishnan et al. 2013; Montgomery and Smith 2014; Zhang and Marks 2015; Zhang et al. 2015)</w:t>
      </w:r>
      <w:r w:rsidRPr="00723DA9">
        <w:rPr>
          <w:rFonts w:ascii="Times New Roman" w:hAnsi="Times New Roman"/>
        </w:rPr>
        <w:fldChar w:fldCharType="end"/>
      </w:r>
      <w:r w:rsidRPr="00723DA9">
        <w:rPr>
          <w:rFonts w:ascii="Times New Roman" w:hAnsi="Times New Roman"/>
        </w:rPr>
        <w:t xml:space="preserve">.  While a typical picture of TC secondary circulation in the eyewall region is an in-up-out cell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{"citationItems":[{"id":"ITEM-1","itemData":{"author":[{"dropping-particle":"","family":"Montgomery","given":"Michael T","non-dropping-particle":"","parse-names":false,"suffix":""},{"dropping-particle":"","family":"Smith","given":"Roger K","non-dropping-particle":"","parse-names":false,"suffix":""}],"container-title":"Aust. Meteor. Oceanogr. J.","id":"ITEM-1","issued":{"date-parts":[["2014"]]},"page":"37-66","title":"Paradigms for tropical-cyclone intensification","type":"article-journal","volume":"64"},"uris":["http://www.mendeley.com/documents/?uuid=4c579885-fe03-45ab-b5f4-b2b652a52809"]}],"mendeley":{"formattedCitation":"(Montgomery and Smith 2014)","plainTextFormattedCitation":"(Montgomery and Smith 2014)","previouslyFormattedCitation":"(Montgomery and Smith 2014)"},"properties":{"noteIndex":0},"schema":"https://github.com/citation-style-language/schema/raw/master/csl-citation.json"}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(Montgomery and Smith 2014)</w:t>
      </w:r>
      <w:r w:rsidRPr="00723DA9">
        <w:rPr>
          <w:rFonts w:ascii="Times New Roman" w:hAnsi="Times New Roman"/>
        </w:rPr>
        <w:fldChar w:fldCharType="end"/>
      </w:r>
      <w:r w:rsidRPr="00723DA9">
        <w:rPr>
          <w:rFonts w:ascii="Times New Roman" w:hAnsi="Times New Roman"/>
        </w:rPr>
        <w:t xml:space="preserve">, some studies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{"citationItems":[{"id":"ITEM-1","itemData":{"author":[{"dropping-particle":"","family":"Willoughby","given":"Hugh E.","non-dropping-particle":"","parse-names":false,"suffix":""},{"dropping-particle":"","family":"Jin","given":"Han-Liang","non-dropping-particle":"","parse-names":false,"suffix":""},{"dropping-particle":"","family":"Lord","given":"Stephen J.","non-dropping-particle":"","parse-names":false,"suffix":""},{"dropping-particle":"","family":"Piotrowicz","given":"Jacqueline M.","non-dropping-particle":"","parse-names":false,"suffix":""}],"container-title":"Journal of the Atmospheric Sciences","id":"ITEM-1","issue":"7","issued":{"date-parts":[["1984"]]},"page":"1169-1186","title":"Hurricane Structure and Evolution as Simulated by an Axisymmetric, Nonhydrostatic Numerical Model","type":"article-journal","volume":"41"},"uris":["http://www.mendeley.com/documents/?uuid=e8351693-c3f1-38f6-9322-96c35b411579"]},{"id":"ITEM-2","itemData":{"DOI":"10.1175/1520-0469(1987)044&lt;1296:ICSOHA&gt;2.0.CO;2","ISSN":"0022-4928","abstract":"Airborne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particle...","author":[{"dropping-particle":"","family":"Marks","given":"Frank D.","non-dropping-particle":"","parse-names":false,"suffix":""},{"dropping-particle":"","family":"Houze","given":"Robert a.","non-dropping-particle":"","parse-names":false,"suffix":""}],"container-title":"Journal of the Atmospheric Sciences","id":"ITEM-2","issue":"9","issued":{"date-parts":[["1987"]]},"page":"1296-1317","title":"Inner Core Structure of Hurricane Alicia from Airborne Doppler Radar Observations","type":"article","volume":"44"},"uris":["http://www.mendeley.com/documents/?uuid=baa2ef94-1c58-4dab-9076-034b565b7750"]},{"id":"ITEM-3","itemData":{"DOI":"10.1175/2011JAS3682.1","abstract":"In this study, it is shown that the maximum tangential winds within tropical cyclones decrease with height at a percentage rate that is nearly independent of both the maximum wind speed and the radius of maximum winds (RMW). This can be seen by normalizing the profiles of maximum tangential winds V max by their respective values at 2-km height. From Doppler radar analyses, profiles of maximum normalized tangential wind V maxnorm are found to share a common shape, despite spanning a great range of intensities. There is a systematic dependence of V maxnorm on intensity and size, but it is shown to be small, and the mean profile of V maxnorm can be used to accurately ''predict'' the individual profiles of V max . Using Emanuel's steady-state analytical vortex model, it is shown that V maxnorm is essentially independent of the size of the RMW. It is shown mathematically that the near independence of V maxnorm from size is due to the facts that the RMW is nearly a surface of constant absolute angular momentum M and that its outward slope increases linearly with radius. As the slope of the RMW is not a function of intensity, V maxnorm is also nearly independent of intensity in theory, and this is confirmed using Emanuel's simple time-dependent model. In contrast to intensity, it is shown that V maxnorm increases with potential intensity. A suite of idealized simulations using the Weather Research and Forecasting model (WRF) are used to further examine the manner in which the maximum winds change with height. Above 2-km height, vertical profiles of V maxnorm are nearly independent of both intensity and size. Occasional deviations from this near-universal profile in these simulations are due to unbalanced winds, and it is proposed that this is the cause of occasional observations of maximum winds that are nearly constant with height through the midtroposphere, as in Hurricane Gloria (1985) and Hurricane Dennis (2005).","author":[{"dropping-particle":"","family":"Stern","given":"Daniel P","non-dropping-particle":"","parse-names":false,"suffix":""},{"dropping-particle":"","family":"Nolan","given":"David S","non-dropping-particle":"","parse-names":false,"suffix":""}],"container-title":"Journal of the Atmospheric Sciences","id":"ITEM-3","issued":{"date-parts":[["2011"]]},"page":"2073-2094","title":"On the Vertical Decay Rate of the Maximum Tangential Winds in Tropical Cyclones","type":"article-journal","volume":"68"},"uris":["http://www.mendeley.com/documents/?uuid=a740aace-cac2-3dd5-bbc9-e08c7fe1c534"]},{"id":"ITEM-4","itemData":{"DOI":"10.1175/JAS-D-13-0302.1","abstract":"Using airborne Doppler radar data from 39 flights into hurricanes from 2004 to 2010, the authors examine the outward slope of the eyewall, revisiting the recent studies of Stern and Nolan. The slope of the radius of maximum winds (RMW) is found to increase nearly linearly with size and is uncorrelated with intensity. The slope of the eyewall absolute angular momentum surface M increases with increasing size (strong correlation) and decreases with increasing intensity (weak to moderate correlation). Two other measures of eyewall slope are also investigated: the 20-dBZ reflectivity isosurface (dBZ20) and the radius of maximum azimuthal-mean updraft (RWMAX). The slopes of both dBZ20 and RWMAX increase with their size. The slope of dBZ20 decreases with intensity, though the correlation is weak, while the slope of RWMAX is uncorrelated with intensity. The absolute angular momentum decreases on average along the RMW by 9% from 2-to 8-km heights. With this larger dataset, the previous results are generally confirmed: the slope of the eyewall is mostly a function of the size of the RMW. The vertical decay rate of the maximum tangential winds (Vmax) is also reexamined. On average, Vmax decreases by 20% from 2-to 8-km heights, but this varies from 8% to as large as 42%. This percentage decay rate increases with increasing size and decreases with increasing intensity. Three cases are found where Vmax increases with height from 2 to 4 km, which is likely a consequence of unbalanced flow.","author":[{"dropping-particle":"","family":"Stern","given":"Daniel P","non-dropping-particle":"","parse-names":false,"suffix":""},{"dropping-particle":"","family":"Brisbois","given":"James R","non-dropping-particle":"","parse-names":false,"suffix":""},{"dropping-particle":"","family":"Nolan","given":"David S","non-dropping-particle":"","parse-names":false,"suffix":""}],"container-title":"Journal of the Atmospheric Sciences","id":"ITEM-4","issued":{"date-parts":[["2014"]]},"page":"2747-2762","title":"An Expanded Dataset of Hurricane Eyewall Sizes and Slopes","type":"article-journal","volume":"71"},"uris":["http://www.mendeley.com/documents/?uuid=f55cd3a5-2d95-3624-888d-37ebc716d4e1"]},{"id":"ITEM-5","itemData":{"author":[{"dropping-particle":"","family":"Stern","given":"Daniel P.","non-dropping-particle":"","parse-names":false,"suffix":""},{"dropping-particle":"","family":"Doyle","given":"J. D.","non-dropping-particle":"","parse-names":false,"suffix":""},{"dropping-particle":"","family":"Bryan","given":"G. H.","non-dropping-particle":"","parse-names":false,"suffix":""},{"dropping-particle":"","family":"Jepert","given":"J. D.","non-dropping-particle":"","parse-names":false,"suffix":""}],"container-title":"97th American Meteorological Society Annual Meeting","id":"ITEM-5","issued":{"date-parts":[["2017"]]},"title":"Understanding Atypical Mid-Level Wind Speed Maxima in Hurricane Eyewalls","type":"paper-conference"},"uris":["http://www.mendeley.com/documents/?uuid=e5d52e8c-0c1b-463c-bb53-fbfa0041d984"]}],"mendeley":{"formattedCitation":"(Willoughby et al. 1984; Marks and Houze 1987; Stern and Nolan 2011; Stern et al. 2014, 2017)","manualFormatting":"(Stern and Nolan 2011; Stern et al. 2014, 2017)","plainTextFormattedCitation":"(Willoughby et al. 1984; Marks and Houze 1987; Stern and Nolan 2011; Stern et al. 2014, 2017)","previouslyFormattedCitation":"(Willoughby et al. 1984; Marks and Houze 1987; Stern and Nolan 2011; Stern et al. 2014, 2017)"},"properties":{"noteIndex":0},"schema":"https://github.com/citation-style-language/schema/raw/master/csl-citation.json"}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(Stern and Nolan 2011; Stern et al. 2014, 2017)</w:t>
      </w:r>
      <w:r w:rsidRPr="00723DA9">
        <w:rPr>
          <w:rFonts w:ascii="Times New Roman" w:hAnsi="Times New Roman"/>
        </w:rPr>
        <w:fldChar w:fldCharType="end"/>
      </w:r>
      <w:r w:rsidRPr="00723DA9">
        <w:rPr>
          <w:rFonts w:ascii="Times New Roman" w:hAnsi="Times New Roman"/>
        </w:rPr>
        <w:t xml:space="preserve"> suggested that there can be oscillating inflow and outflow in the vertical direction between the typical boundary layer inflow and the upper-level outflow in both observations and model simulations.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{"citationItems":[{"id":"ITEM-1","itemData":{"DOI":"10.1175/2009JAS3038.1","abstract":"Several studies have shown that the intensity of numerically simulated tropical cyclones can exceed (by 50%) a theoretical upper limit. To investigate the cause, this study evaluates the underlying components of Emanuel's commonly cited analytic theory for potential intensity (herein referred to as E-PI). A review of the derivation of E-PI highlights three primary components: a dynamical component (gradient-wind and hydrostatic balance); a thermodynamical component (reversible or pseudoadiabatic thermodynamics, al-though the pseudoadiabatic assumption yields greater intensity); and a planetary boundary layer (PBL) closure (which relates the horizontal gradients of entropy and angular momentum at the top of the PBL to fluxes and stresses at the ocean surface). These three components are evaluated using output from an axi-symmetric numerical model. The present analysis finds the thermodynamical component and the PBL closure to be sufficiently accurate for several different simulations. In contrast, the dynamical component is clearly violated. Although the balanced portion of the flow (y g , to which E-PI applies) appears to also exceed E-PI, it is shown that this difference is attributable to the method used to calculate y g from the model output. Evi-dence is shown that y g for a truly balanced cyclone does not exceed E-PI. To clearly quantify the impact of unbalanced flow, a more complete analytic model is presented. The model is not expressed in terms of ex-ternal conditions and thus cannot be used to predict maximum intensity for a given environment; however, it does allow for evaluation of the relative contributions to maximum intensity from balanced and unbalanced (i.e., inertial) terms in the governing equations. Using numerical model output, this more complete model is shown to accurately model maximum intensity. Analysis against observations further confirms that the effects of unbalanced flow on maximum intensity are not always negligible. The contribution to intensity from un-balanced flow can become negligible in axisymmetric models as radial turbulence (i.e., viscosity) increases, and this explains why some previous studies concluded that E-PI was an accurate upper bound for their simulations. Conclusions of this study are also compared and contrasted to those from previous studies.","author":[{"dropping-particle":"","family":"Bryan","given":"George H","non-dropping-particle":"","parse-names":false,"suffix":""},{"dropping-particle":"","family":"Rotunno","given":"Richard","non-dropping-particle":"","parse-names":false,"suffix":""}],"container-title":"Journal of the Atmospheric Sciences","id":"ITEM-1","issued":{"date-parts":[["2009"]]},"page":"3042-3060","title":"Evaluation of an Analytical Model for the Maximum Intensity of Tropical Cyclones","type":"article-journal","volume":"66"},"uris":["http://www.mendeley.com/documents/?uuid=652a5db5-72f6-36f6-b5d1-5faadca97017"]}],"mendeley":{"formattedCitation":"(Bryan and Rotunno 2009a)","manualFormatting":"Bryan and Rotunno (2009a)","plainTextFormattedCitation":"(Bryan and Rotunno 2009a)","previouslyFormattedCitation":"(Bryan and Rotunno 2009a)"},"properties":{"noteIndex":0},"schema":"https://github.com/citation-style-language/schema/raw/master/csl-citation.json"}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Bryan and Rotunno (2009a)</w:t>
      </w:r>
      <w:r w:rsidRPr="00723DA9">
        <w:rPr>
          <w:rFonts w:ascii="Times New Roman" w:hAnsi="Times New Roman"/>
        </w:rPr>
        <w:fldChar w:fldCharType="end"/>
      </w:r>
      <w:r w:rsidRPr="00723DA9">
        <w:rPr>
          <w:rFonts w:ascii="Times New Roman" w:hAnsi="Times New Roman"/>
        </w:rPr>
        <w:t xml:space="preserve"> provides an analytical solution showing that these vertical oscillations of inflow and outflow in such TCs can be a result of unbalanced flow effects, in which the vertical sub-gradient and super-gradient oscillation plays a key role instead of the gradient-wind balance in the eyewall region.  However, these unbalanced flow effects can be damped through strong radial diffusion in the models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{"citationItems":[{"id":"ITEM-1","itemData":{"DOI":"10.1175/2009JAS3038.1","abstract":"Several studies have shown that the intensity of numerically simulated tropical cyclones can exceed (by 50%) a theoretical upper limit. To investigate the cause, this study evaluates the underlying components of Emanuel's commonly cited analytic theory for potential intensity (herein referred to as E-PI). A review of the derivation of E-PI highlights three primary components: a dynamical component (gradient-wind and hydrostatic balance); a thermodynamical component (reversible or pseudoadiabatic thermodynamics, al-though the pseudoadiabatic assumption yields greater intensity); and a planetary boundary layer (PBL) closure (which relates the horizontal gradients of entropy and angular momentum at the top of the PBL to fluxes and stresses at the ocean surface). These three components are evaluated using output from an axi-symmetric numerical model. The present analysis finds the thermodynamical component and the PBL closure to be sufficiently accurate for several different simulations. In contrast, the dynamical component is clearly violated. Although the balanced portion of the flow (y g , to which E-PI applies) appears to also exceed E-PI, it is shown that this difference is attributable to the method used to calculate y g from the model output. Evi-dence is shown that y g for a truly balanced cyclone does not exceed E-PI. To clearly quantify the impact of unbalanced flow, a more complete analytic model is presented. The model is not expressed in terms of ex-ternal conditions and thus cannot be used to predict maximum intensity for a given environment; however, it does allow for evaluation of the relative contributions to maximum intensity from balanced and unbalanced (i.e., inertial) terms in the governing equations. Using numerical model output, this more complete model is shown to accurately model maximum intensity. Analysis against observations further confirms that the effects of unbalanced flow on maximum intensity are not always negligible. The contribution to intensity from un-balanced flow can become negligible in axisymmetric models as radial turbulence (i.e., viscosity) increases, and this explains why some previous studies concluded that E-PI was an accurate upper bound for their simulations. Conclusions of this study are also compared and contrasted to those from previous studies.","author":[{"dropping-particle":"","family":"Bryan","given":"George H","non-dropping-particle":"","parse-names":false,"suffix":""},{"dropping-particle":"","family":"Rotunno","given":"Richard","non-dropping-particle":"","parse-names":false,"suffix":""}],"container-title":"Journal of the Atmospheric Sciences","id":"ITEM-1","issued":{"date-parts":[["2009"]]},"page":"3042-3060","title":"Evaluation of an Analytical Model for the Maximum Intensity of Tropical Cyclones","type":"article-journal","volume":"66"},"uris":["http://www.mendeley.com/documents/?uuid=652a5db5-72f6-36f6-b5d1-5faadca97017"]}],"mendeley":{"formattedCitation":"(Bryan and Rotunno 2009a)","plainTextFormattedCitation":"(Bryan and Rotunno 2009a)","previouslyFormattedCitation":"(Bryan and Rotunno 2009a)"},"properties":{"noteIndex":0},"schema":"https://github.com/citation-style-language/schema/raw/master/csl-citation.json"}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(Bryan and Rotunno 2009a)</w:t>
      </w:r>
      <w:r w:rsidRPr="00723DA9">
        <w:rPr>
          <w:rFonts w:ascii="Times New Roman" w:hAnsi="Times New Roman"/>
        </w:rPr>
        <w:fldChar w:fldCharType="end"/>
      </w:r>
      <w:r w:rsidRPr="00723DA9">
        <w:rPr>
          <w:rFonts w:ascii="Times New Roman" w:hAnsi="Times New Roman"/>
        </w:rPr>
        <w:t>.  Therefore, in this study, experiments are conducted to understand if the horizontal diffusion parameterization like the horizontal mixing length scale</w:t>
      </w:r>
      <w:r w:rsidRPr="00723DA9">
        <w:rPr>
          <w:rFonts w:ascii="Times New Roman" w:hAnsi="Times New Roman"/>
          <w:i/>
        </w:rPr>
        <w:t xml:space="preserve"> </w:t>
      </w:r>
      <w:proofErr w:type="spellStart"/>
      <w:r w:rsidRPr="00723DA9">
        <w:rPr>
          <w:rFonts w:ascii="Times New Roman" w:hAnsi="Times New Roman"/>
          <w:i/>
        </w:rPr>
        <w:t>L</w:t>
      </w:r>
      <w:r w:rsidRPr="00723DA9">
        <w:rPr>
          <w:rFonts w:ascii="Times New Roman" w:hAnsi="Times New Roman"/>
          <w:i/>
          <w:vertAlign w:val="subscript"/>
        </w:rPr>
        <w:t>h</w:t>
      </w:r>
      <w:proofErr w:type="spellEnd"/>
      <w:r w:rsidRPr="00723DA9">
        <w:rPr>
          <w:rFonts w:ascii="Times New Roman" w:hAnsi="Times New Roman"/>
        </w:rPr>
        <w:t xml:space="preserve"> (a key parameter for horizontal diffusion configuration in the HWRF model) is too large.  The overly large horizontal diffusion may spuriously damp </w:t>
      </w:r>
      <w:r w:rsidRPr="00723DA9">
        <w:rPr>
          <w:rFonts w:ascii="Times New Roman" w:hAnsi="Times New Roman"/>
        </w:rPr>
        <w:lastRenderedPageBreak/>
        <w:t>the realistically captured TC structures by DA analyses, which therefore results in spin-down during the prediction of hurricane Patricia (2015).</w:t>
      </w:r>
    </w:p>
    <w:p w14:paraId="7CE4D557" w14:textId="400F3C22" w:rsidR="00C56823" w:rsidRPr="00723DA9" w:rsidRDefault="00C56823" w:rsidP="00771F99">
      <w:pPr>
        <w:pStyle w:val="ListParagraph"/>
        <w:spacing w:line="480" w:lineRule="auto"/>
        <w:ind w:left="0" w:firstLine="432"/>
        <w:rPr>
          <w:rFonts w:ascii="Times New Roman" w:hAnsi="Times New Roman"/>
        </w:rPr>
      </w:pPr>
      <w:r w:rsidRPr="00723DA9">
        <w:rPr>
          <w:rFonts w:ascii="Times New Roman" w:hAnsi="Times New Roman"/>
        </w:rPr>
        <w:t xml:space="preserve">In addition to the horizontal diffusion, previous studies also suggested that the vertical diffusion can play a key role in the TC intensification process in HWRF. For example,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{"citationItems":[{"id":"ITEM-1","itemData":{"DOI":"10.1175/JAS-D-11-0340.1","ISSN":"0022-4928","abstract":"The Hurricane Weather Research and Forecasting (HWRF) system was used in an idealized framework to gain a fundamental understanding of the variability in tropical cyclone (TC) structure and intensity prediction that may arise due to vertical diffusion. The modeling system uses the Medium-Range Forecast parameterization scheme. Flight-level data collected by a NOAA WP-3D research aircraft during the eyewall penetration of category 5 Hurricane Hugo (1989) at an altitude of about 450–500 m and Hurricane Allen (1980) were used as the basis to best match the modeled eddy diffusivities with wind speed. While reduction of the eddy diffusivity to a quarter of its original value produced the best match with the observations, such a reduction revealed a significant decrease in the height of the inflow layer as well which, in turn, drastically affected the size and intensity changes in the modeled TC. The cross-isobaric flow (inflow) was observed to be stronger with the decrease in the inflow depth. Stronger inflow not only increased the spin of the storm, enhancing the generalized Coriolis term in the equations of motion for tangential velocity, but also resulted in enhanced equivalent potential temperature in the boundary layer, a stronger and warmer core, and, subsequently, a stronger storm. More importantly, rapid acceleration of the inflow not only produced a stronger outflow at the top of the inflow layer, more consistent with observations, but also a smaller inner core that was less than half the size of the original.","author":[{"dropping-particle":"","family":"Gopalakrishnan","given":"Sundararaman G.","non-dropping-particle":"","parse-names":false,"suffix":""},{"dropping-particle":"","family":"Marks","given":"Frank","non-dropping-particle":"","parse-names":false,"suffix":""},{"dropping-particle":"","family":"Zhang","given":"Jun a.","non-dropping-particle":"","parse-names":false,"suffix":""},{"dropping-particle":"","family":"Zhang","given":"Xuejin","non-dropping-particle":"","parse-names":false,"suffix":""},{"dropping-particle":"","family":"Bao","given":"Jian-Wen","non-dropping-particle":"","parse-names":false,"suffix":""},{"dropping-particle":"","family":"Tallapragada","given":"Vijay","non-dropping-particle":"","parse-names":false,"suffix":""}],"container-title":"Journal of the Atmospheric Sciences","id":"ITEM-1","issued":{"date-parts":[["2013"]]},"page":"524-541","title":"A Study of the Impacts of Vertical Diffusion on the Structure and Intensity of the Tropical Cyclones Using the High Resolution HWRF system","type":"article-journal","volume":"70"},"uris":["http://www.mendeley.com/documents/?uuid=b2168a62-d40f-4cf6-bd1b-3b3e124cd994"]}],"mendeley":{"formattedCitation":"(Gopalakrishnan et al. 2013)","manualFormatting":"Gopalakrishnan et al. (2013)","plainTextFormattedCitation":"(Gopalakrishnan et al. 2013)","previouslyFormattedCitation":"(Gopalakrishnan et al. 2013)"},"properties":{"noteIndex":0},"schema":"https://github.com/citation-style-language/schema/raw/master/csl-citation.json"}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Gopalakrishnan et al. (2013)</w:t>
      </w:r>
      <w:r w:rsidRPr="00723DA9">
        <w:rPr>
          <w:rFonts w:ascii="Times New Roman" w:hAnsi="Times New Roman"/>
        </w:rPr>
        <w:fldChar w:fldCharType="end"/>
      </w:r>
      <w:r w:rsidRPr="00723DA9">
        <w:rPr>
          <w:rFonts w:ascii="Times New Roman" w:hAnsi="Times New Roman"/>
        </w:rPr>
        <w:t xml:space="preserve">,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10.1002/qj.2147","ISSN":"1477870X","author":[{"dropping-particle":"","family":"Zhu","given":"Ping","non-dropping-particle":"","parse-names":false,"suffix":""},{"dropping-particle":"","family":"Menelaou","given":"Konstantinos","non-dropping-particle":"","parse-names":false,"suffix":""},{"dropping-particle":"","family":"Zhu","given":"Zhenduo","non-dropping-particle":"","parse-names":false,"suffix":""}],"container-title":"Quarterly Journal of the Royal Meteorological Society","id":"ITEM-1","issue":"679","issued":{"date-parts":[["2014"]]},"page":"416-438","title":"Impact of subgrid-scale vertical turbulent mixing on eyewall asymmetric structures and mesovortices of hurricanes","type":"article-journal","volume":"140"},"uris":["http://www.mendeley.com/documents/?uuid=f43a3bc9-0417-41c6-920f-c961f18a823d"]}],"mendeley":{"formattedCitation":"(Zhu et al. 2014)","manualFormatting":"Zhu et al. (2014)","plainTextFormattedCitation":"(Zhu et al. 2014)","previouslyFormattedCitation":"(Zhu et al. 2014)"},"properties":{"noteIndex":0},"schema":"https://github.com/citation-style-language/schema/raw/master/csl-citation.json"}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Zhu et al. (2014)</w:t>
      </w:r>
      <w:r w:rsidRPr="00723DA9">
        <w:rPr>
          <w:rFonts w:ascii="Times New Roman" w:hAnsi="Times New Roman"/>
        </w:rPr>
        <w:fldChar w:fldCharType="end"/>
      </w:r>
      <w:r w:rsidRPr="00723DA9">
        <w:rPr>
          <w:rFonts w:ascii="Times New Roman" w:hAnsi="Times New Roman"/>
        </w:rPr>
        <w:t xml:space="preserve"> and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{"citationItems":[{"id":"ITEM-1","itemData":{"DOI":"10.1175/MWR-D-14-00339.1","ISSN":"0027-0644","abstract":"As part of the Hurricane Forecast Improvement Project (HFIP), recent boundary layer physics upgrades in the operational Hurricane Weather Research and Forecasting (HWRF) Model have benefited from analyses of in situ aircraft observations in the low-level eyewall region of major hurricanes. This study evaluates the impact of these improvements to the vertical diffusion in the boundary layer on the simulated track, intensity, and structure of four hurricanes using retrospective HWRF forecasts. Structural metrics developed from observational composites are used in the model evaluation process. The results show improvements in track and intensity forecasts in response to the improvement of the vertical diffusion. The results also demonstrate substantial improvements in the simulated storm size, surface inflow angle, near-surface wind profile, and kinematic boundary layer heights in simulations with the improved physics, while only minor improvements are found in the thermodynamic boundary layer height, eyewall slope, and the distributions of vertical velocities in the eyewall. Other structural metrics such as warm core anomaly and warm core height are also explored. Reasons for the structural differences between the two sets of forecasts with different physics are discussed. This work further emphasizes the importance of aircraft observations in model diagnostics and development, endorsing a developmental framework for improving physical parameterizations in hurricane models.","author":[{"dropping-particle":"","family":"Zhang","given":"Jun a.","non-dropping-particle":"","parse-names":false,"suffix":""},{"dropping-particle":"","family":"Nolan","given":"David S.","non-dropping-particle":"","parse-names":false,"suffix":""},{"dropping-particle":"","family":"Rogers","given":"Robert F.","non-dropping-particle":"","parse-names":false,"suffix":""},{"dropping-particle":"","family":"Tallapragada","given":"Vijay","non-dropping-particle":"","parse-names":false,"suffix":""}],"container-title":"Mon. Wea. Rev.","id":"ITEM-1","issue":"February 2016","issued":{"date-parts":[["2015"]]},"page":"3136-3155","title":"Evaluating the impact of improvements in the boundary layer parameterization on hurricane intensity and structure forecasts in HWRF","type":"article-journal","volume":"143"},"uris":["http://www.mendeley.com/documents/?uuid=8d168b78-567c-413d-b1a4-41a00591b0ad"]}],"mendeley":{"formattedCitation":"(Zhang et al. 2015)","manualFormatting":"Zhang et al. (2015)","plainTextFormattedCitation":"(Zhang et al. 2015)","previouslyFormattedCitation":"(Zhang et al. 2015)"},"properties":{"noteIndex":0},"schema":"https://github.com/citation-style-language/schema/raw/master/csl-citation.json"}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Zhang et al. (2015)</w:t>
      </w:r>
      <w:r w:rsidRPr="00723DA9">
        <w:rPr>
          <w:rFonts w:ascii="Times New Roman" w:hAnsi="Times New Roman"/>
        </w:rPr>
        <w:fldChar w:fldCharType="end"/>
      </w:r>
      <w:r w:rsidRPr="00723DA9">
        <w:rPr>
          <w:rFonts w:ascii="Times New Roman" w:hAnsi="Times New Roman"/>
        </w:rPr>
        <w:t xml:space="preserve"> showed that the value of vertical diffusivity </w:t>
      </w:r>
      <w:bookmarkStart w:id="122" w:name="OLE_LINK8"/>
      <w:bookmarkStart w:id="123" w:name="OLE_LINK7"/>
      <w:r w:rsidRPr="00723DA9">
        <w:rPr>
          <w:rFonts w:ascii="Times New Roman" w:hAnsi="Times New Roman"/>
          <w:i/>
        </w:rPr>
        <w:t>K</w:t>
      </w:r>
      <w:r w:rsidRPr="00723DA9">
        <w:rPr>
          <w:rFonts w:ascii="Times New Roman" w:hAnsi="Times New Roman"/>
          <w:i/>
          <w:vertAlign w:val="subscript"/>
        </w:rPr>
        <w:t>m</w:t>
      </w:r>
      <w:bookmarkEnd w:id="122"/>
      <w:bookmarkEnd w:id="123"/>
      <w:r w:rsidRPr="00723DA9">
        <w:rPr>
          <w:rFonts w:ascii="Times New Roman" w:hAnsi="Times New Roman"/>
        </w:rPr>
        <w:t xml:space="preserve"> is important for the simulated maximum intensity in both the idealized and the operational HWRF.  On the other hand, Bryan and </w:t>
      </w:r>
      <w:proofErr w:type="spellStart"/>
      <w:r w:rsidRPr="00723DA9">
        <w:rPr>
          <w:rFonts w:ascii="Times New Roman" w:hAnsi="Times New Roman"/>
        </w:rPr>
        <w:t>Rotunno</w:t>
      </w:r>
      <w:proofErr w:type="spellEnd"/>
      <w:r w:rsidRPr="00723DA9">
        <w:rPr>
          <w:rFonts w:ascii="Times New Roman" w:hAnsi="Times New Roman"/>
        </w:rPr>
        <w:t xml:space="preserve"> (2009b) found in the axisymmetric model that the maximum intensity of storms are insensitive to vertical diffusivity. </w:t>
      </w:r>
      <w:r w:rsidR="0065000F">
        <w:rPr>
          <w:rFonts w:ascii="Times New Roman" w:hAnsi="Times New Roman"/>
        </w:rPr>
        <w:fldChar w:fldCharType="begin" w:fldLock="1"/>
      </w:r>
      <w:r w:rsidR="00DB6298">
        <w:rPr>
          <w:rFonts w:ascii="Times New Roman" w:hAnsi="Times New Roman"/>
        </w:rPr>
        <w:instrText>ADDIN CSL_CITATION {"citationItems":[{"id":"ITEM-1","itemData":{"author":[{"dropping-particle":"","family":"Zhu","given":"Ping","non-dropping-particle":"","parse-names":false,"suffix":""},{"dropping-particle":"","family":"Tyner","given":"Bryce","non-dropping-particle":"","parse-names":false,"suffix":""},{"dropping-particle":"","family":"Zhang","given":"Jun A","non-dropping-particle":"","parse-names":false,"suffix":""},{"dropping-particle":"","family":"Aligo","given":"Eric","non-dropping-particle":"","parse-names":false,"suffix":""},{"dropping-particle":"","family":"Gopalakrishnan","given":"Sundararaman","non-dropping-particle":"","parse-names":false,"suffix":""},{"dropping-particle":"","family":"Frank","given":"D","non-dropping-particle":"","parse-names":false,"suffix":""}],"container-title":"Atmos. Chem. Phys. Discuss.","id":"ITEM-1","issue":"September","issued":{"date-parts":[["2018"]]},"page":"1-33","title":"Role of eyewall and rainband eddy forcing in tropical cyclone intensification","type":"article-journal"},"uris":["http://www.mendeley.com/documents/?uuid=04df0cb9-0814-4131-b77e-abacac3f85d8"]}],"mendeley":{"formattedCitation":"(Zhu et al. 2018)","manualFormatting":"Zhu et al. (2018)","plainTextFormattedCitation":"(Zhu et al. 2018)","previouslyFormattedCitation":"(Zhu et al. 2018)"},"properties":{"noteIndex":0},"schema":"https://github.com/citation-style-language/schema/raw/master/csl-citation.json"}</w:instrText>
      </w:r>
      <w:r w:rsidR="0065000F">
        <w:rPr>
          <w:rFonts w:ascii="Times New Roman" w:hAnsi="Times New Roman"/>
        </w:rPr>
        <w:fldChar w:fldCharType="separate"/>
      </w:r>
      <w:r w:rsidR="0065000F" w:rsidRPr="0065000F">
        <w:rPr>
          <w:rFonts w:ascii="Times New Roman" w:hAnsi="Times New Roman"/>
          <w:noProof/>
        </w:rPr>
        <w:t xml:space="preserve">Zhu et al. </w:t>
      </w:r>
      <w:r w:rsidR="0065000F">
        <w:rPr>
          <w:rFonts w:ascii="Times New Roman" w:hAnsi="Times New Roman"/>
          <w:noProof/>
        </w:rPr>
        <w:t>(</w:t>
      </w:r>
      <w:r w:rsidR="0065000F" w:rsidRPr="0065000F">
        <w:rPr>
          <w:rFonts w:ascii="Times New Roman" w:hAnsi="Times New Roman"/>
          <w:noProof/>
        </w:rPr>
        <w:t>2018)</w:t>
      </w:r>
      <w:r w:rsidR="0065000F">
        <w:rPr>
          <w:rFonts w:ascii="Times New Roman" w:hAnsi="Times New Roman"/>
        </w:rPr>
        <w:fldChar w:fldCharType="end"/>
      </w:r>
      <w:r w:rsidR="0065000F">
        <w:rPr>
          <w:rFonts w:ascii="Times New Roman" w:hAnsi="Times New Roman"/>
        </w:rPr>
        <w:t xml:space="preserve"> </w:t>
      </w:r>
      <w:r w:rsidRPr="00723DA9">
        <w:rPr>
          <w:rFonts w:ascii="Times New Roman" w:hAnsi="Times New Roman"/>
        </w:rPr>
        <w:t>found that there was an unrealistic discontinuity of vertical diffusion near the boundary layer top in the PBL scheme applied in the HWRF model (</w:t>
      </w:r>
      <w:bookmarkStart w:id="124" w:name="OLE_LINK95"/>
      <w:r w:rsidRPr="00723DA9">
        <w:rPr>
          <w:rFonts w:ascii="Times New Roman" w:hAnsi="Times New Roman"/>
        </w:rPr>
        <w:t xml:space="preserve">e.g. Fig. </w:t>
      </w:r>
      <w:bookmarkEnd w:id="124"/>
      <w:r w:rsidR="0092793A" w:rsidRPr="00723DA9">
        <w:rPr>
          <w:rFonts w:ascii="Times New Roman" w:hAnsi="Times New Roman"/>
        </w:rPr>
        <w:t>4.1</w:t>
      </w:r>
      <w:r w:rsidRPr="00723DA9">
        <w:rPr>
          <w:rFonts w:ascii="Times New Roman" w:hAnsi="Times New Roman"/>
        </w:rPr>
        <w:t xml:space="preserve">).  This parameterization of vertical diffusivity </w:t>
      </w:r>
      <w:r w:rsidRPr="00723DA9">
        <w:rPr>
          <w:rFonts w:ascii="Times New Roman" w:hAnsi="Times New Roman"/>
          <w:i/>
        </w:rPr>
        <w:t>K</w:t>
      </w:r>
      <w:r w:rsidRPr="00723DA9">
        <w:rPr>
          <w:rFonts w:ascii="Times New Roman" w:hAnsi="Times New Roman"/>
          <w:i/>
          <w:vertAlign w:val="subscript"/>
        </w:rPr>
        <w:t>m</w:t>
      </w:r>
      <w:r w:rsidRPr="00723DA9">
        <w:rPr>
          <w:rFonts w:ascii="Times New Roman" w:hAnsi="Times New Roman"/>
        </w:rPr>
        <w:t xml:space="preserve"> was originally designed under a clear-sky assumption where the free atmosphere has little diffusion.  Therefore, </w:t>
      </w:r>
      <w:r w:rsidRPr="00723DA9">
        <w:rPr>
          <w:rFonts w:ascii="Times New Roman" w:hAnsi="Times New Roman"/>
          <w:i/>
        </w:rPr>
        <w:t>K</w:t>
      </w:r>
      <w:r w:rsidRPr="00723DA9">
        <w:rPr>
          <w:rFonts w:ascii="Times New Roman" w:hAnsi="Times New Roman"/>
          <w:i/>
          <w:vertAlign w:val="subscript"/>
        </w:rPr>
        <w:t xml:space="preserve">m </w:t>
      </w:r>
      <w:r w:rsidRPr="00723DA9">
        <w:rPr>
          <w:rFonts w:ascii="Times New Roman" w:hAnsi="Times New Roman"/>
        </w:rPr>
        <w:t xml:space="preserve">is always set to zero at the PBL top and the </w:t>
      </w:r>
      <w:r w:rsidRPr="00723DA9">
        <w:rPr>
          <w:rFonts w:ascii="Times New Roman" w:hAnsi="Times New Roman"/>
          <w:i/>
        </w:rPr>
        <w:t>K</w:t>
      </w:r>
      <w:r w:rsidRPr="00723DA9">
        <w:rPr>
          <w:rFonts w:ascii="Times New Roman" w:hAnsi="Times New Roman"/>
          <w:i/>
          <w:vertAlign w:val="subscript"/>
        </w:rPr>
        <w:t xml:space="preserve">m </w:t>
      </w:r>
      <w:r w:rsidRPr="00723DA9">
        <w:rPr>
          <w:rFonts w:ascii="Times New Roman" w:hAnsi="Times New Roman"/>
        </w:rPr>
        <w:t xml:space="preserve">above the PBL is always following the clear-sky profiles in the HWRF PBL scheme.  But this assumption is not suitable for the deep convection, such as the eyewall or spiral rainbands, where in-cloud turbulence creates large mixing above the PBL.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author":[{"dropping-particle":"","family":"Zhu","given":"Ping","non-dropping-particle":"","parse-names":false,"suffix":""},{"dropping-particle":"","family":"Tyner","given":"Bryce","non-dropping-particle":"","parse-names":false,"suffix":""},{"dropping-particle":"","family":"Gao","given":"Cen","non-dropping-particle":"","parse-names":false,"suffix":""},{"dropping-particle":"","family":"Li","given":"Yubin","non-dropping-particle":"","parse-names":false,"suffix":""},{"dropping-particle":"","family":"Gopalakrishnan","given":"Sundararaman","non-dropping-particle":"","parse-names":false,"suffix":""},{"dropping-particle":"","family":"Black","given":"Robert","non-dropping-particle":"","parse-names":false,"suffix":""},{"dropping-particle":"","family":"Tallapragada","given":"Vijay","non-dropping-particle":"","parse-names":false,"suffix":""},{"dropping-particle":"","family":"Zhang","given":"Jun","non-dropping-particle":"","parse-names":false,"suffix":""},{"dropping-particle":"","family":"Zhang","given":"Xujing","non-dropping-particle":"","parse-names":false,"suffix":""}],"id":"ITEM-1","issued":{"date-parts":[["2016"]]},"title":"Importance of ice-microphysics and in-cloud turbulent mixing to eyewall replacement and storm intensity in HWRF simulations","type":"article"},"uris":["http://www.mendeley.com/documents/?uuid=d880c198-b040-45ac-b37d-399e5fadb2e4"]}],"mendeley":{"formattedCitation":"(Zhu et al. 2016a)","manualFormatting":"Zhu et al. (2018)","plainTextFormattedCitation":"(Zhu et al. 2016a)","previouslyFormattedCitation":"(Zhu et al. 2016a)"},"properties":{"noteIndex":0},"schema":"https://github.com/citation-style-language/schema/raw/master/csl-citation.json"}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Zhu et al. (2018)</w:t>
      </w:r>
      <w:r w:rsidRPr="00723DA9">
        <w:rPr>
          <w:rFonts w:ascii="Times New Roman" w:hAnsi="Times New Roman"/>
        </w:rPr>
        <w:fldChar w:fldCharType="end"/>
      </w:r>
      <w:r w:rsidRPr="00723DA9">
        <w:rPr>
          <w:rFonts w:ascii="Times New Roman" w:hAnsi="Times New Roman"/>
        </w:rPr>
        <w:t xml:space="preserve"> proposed a modified turbulent mixing parameterization scheme that replaces the boundary layer top with a “turbulent layer” top</w:t>
      </w:r>
      <w:r w:rsidRPr="007A1DFF">
        <w:rPr>
          <w:rStyle w:val="FootnoteReference"/>
        </w:rPr>
        <w:footnoteReference w:id="6"/>
      </w:r>
      <w:r w:rsidRPr="00723DA9">
        <w:rPr>
          <w:rFonts w:ascii="Times New Roman" w:hAnsi="Times New Roman"/>
        </w:rPr>
        <w:t xml:space="preserve"> when calculating vertical diffusivity (e.g. Fig. </w:t>
      </w:r>
      <w:r w:rsidR="0092793A" w:rsidRPr="00723DA9">
        <w:rPr>
          <w:rFonts w:ascii="Times New Roman" w:hAnsi="Times New Roman"/>
        </w:rPr>
        <w:t>4.</w:t>
      </w:r>
      <w:r w:rsidRPr="00723DA9">
        <w:rPr>
          <w:rFonts w:ascii="Times New Roman" w:hAnsi="Times New Roman"/>
        </w:rPr>
        <w:t xml:space="preserve">1).  Although the in-cloud mixing is further considered in this new scheme, the modified vertical diffusivity is still calculated using the empirical equations with slight adaptions.  As a result, the level of the peak diffusivity is elevated from inside the PBL to the middle level (e.g. 500 hPa in Fig. </w:t>
      </w:r>
      <w:r w:rsidR="0092793A" w:rsidRPr="00723DA9">
        <w:rPr>
          <w:rFonts w:ascii="Times New Roman" w:hAnsi="Times New Roman"/>
        </w:rPr>
        <w:t>4.</w:t>
      </w:r>
      <w:r w:rsidRPr="00723DA9">
        <w:rPr>
          <w:rFonts w:ascii="Times New Roman" w:hAnsi="Times New Roman"/>
        </w:rPr>
        <w:t xml:space="preserve">1) and the magnitude of the peak vertical diffusivity is larger (not shown).  Although the modified </w:t>
      </w:r>
      <w:r w:rsidRPr="00723DA9">
        <w:rPr>
          <w:rFonts w:ascii="Times New Roman" w:hAnsi="Times New Roman"/>
        </w:rPr>
        <w:lastRenderedPageBreak/>
        <w:t xml:space="preserve">profile still requires further evaluation given lack of direct observations, in a recent study by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author":[{"dropping-particle":"","family":"Zhu","given":"Ping","non-dropping-particle":"","parse-names":false,"suffix":""},{"dropping-particle":"","family":"Tyner","given":"Bryce","non-dropping-particle":"","parse-names":false,"suffix":""},{"dropping-particle":"","family":"Gao","given":"Cen","non-dropping-particle":"","parse-names":false,"suffix":""},{"dropping-particle":"","family":"Li","given":"Yubin","non-dropping-particle":"","parse-names":false,"suffix":""},{"dropping-particle":"","family":"Gopalakrishnan","given":"Sundararaman","non-dropping-particle":"","parse-names":false,"suffix":""},{"dropping-particle":"","family":"Black","given":"Robert","non-dropping-particle":"","parse-names":false,"suffix":""},{"dropping-particle":"","family":"Tallapragada","given":"Vijay","non-dropping-particle":"","parse-names":false,"suffix":""},{"dropping-particle":"","family":"Zhang","given":"Jun","non-dropping-particle":"","parse-names":false,"suffix":""},{"dropping-particle":"","family":"Zhang","given":"Xujing","non-dropping-particle":"","parse-names":false,"suffix":""}],"id":"ITEM-1","issued":{"date-parts":[["2016"]]},"title":"Importance of ice-microphysics and in-cloud turbulent mixing to eyewall replacement and storm intensity in HWRF simulations","type":"article"},"uris":["http://www.mendeley.com/documents/?uuid=d880c198-b040-45ac-b37d-399e5fadb2e4"]}],"mendeley":{"formattedCitation":"(Zhu et al. 2016a)","manualFormatting":"Zhu et al. (2018)","plainTextFormattedCitation":"(Zhu et al. 2016a)","previouslyFormattedCitation":"(Zhu et al. 2016a)"},"properties":{"noteIndex":0},"schema":"https://github.com/citation-style-language/schema/raw/master/csl-citation.json"}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Zhu et al. (2018)</w:t>
      </w:r>
      <w:r w:rsidRPr="00723DA9">
        <w:rPr>
          <w:rFonts w:ascii="Times New Roman" w:hAnsi="Times New Roman"/>
        </w:rPr>
        <w:fldChar w:fldCharType="end"/>
      </w:r>
      <w:r w:rsidRPr="00723DA9">
        <w:rPr>
          <w:rFonts w:ascii="Times New Roman" w:hAnsi="Times New Roman"/>
        </w:rPr>
        <w:t xml:space="preserve">, this modified turbulent mixing parameterization significantly improves the intensity forecast for TCs.  Therefore, in this study, the impacts of the newly proposed modified turbulent mixing parameterization scheme together with the sensitivity to </w:t>
      </w:r>
      <w:bookmarkStart w:id="125" w:name="OLE_LINK15"/>
      <w:bookmarkStart w:id="126" w:name="OLE_LINK14"/>
      <w:proofErr w:type="spellStart"/>
      <w:r w:rsidRPr="00723DA9">
        <w:rPr>
          <w:rFonts w:ascii="Times New Roman" w:hAnsi="Times New Roman"/>
          <w:i/>
        </w:rPr>
        <w:t>L</w:t>
      </w:r>
      <w:r w:rsidRPr="00723DA9">
        <w:rPr>
          <w:rFonts w:ascii="Times New Roman" w:hAnsi="Times New Roman"/>
          <w:i/>
          <w:vertAlign w:val="subscript"/>
        </w:rPr>
        <w:t>h</w:t>
      </w:r>
      <w:proofErr w:type="spellEnd"/>
      <w:r w:rsidRPr="00723DA9">
        <w:rPr>
          <w:rFonts w:ascii="Times New Roman" w:hAnsi="Times New Roman"/>
        </w:rPr>
        <w:t xml:space="preserve"> </w:t>
      </w:r>
      <w:bookmarkEnd w:id="125"/>
      <w:bookmarkEnd w:id="126"/>
      <w:r w:rsidRPr="00723DA9">
        <w:rPr>
          <w:rFonts w:ascii="Times New Roman" w:hAnsi="Times New Roman"/>
        </w:rPr>
        <w:t xml:space="preserve">are explored with the analysis produced from the advanced DA system to investigate the spin-down issue.  </w:t>
      </w:r>
      <w:bookmarkStart w:id="127" w:name="OLE_LINK104"/>
      <w:r w:rsidRPr="00723DA9">
        <w:rPr>
          <w:rFonts w:ascii="Times New Roman" w:hAnsi="Times New Roman"/>
        </w:rPr>
        <w:t xml:space="preserve">Detailed diagnostics are performed to explore how and why the deficiencies of the model physics parameterizations can contribute to the spin-down issue. </w:t>
      </w:r>
      <w:bookmarkEnd w:id="127"/>
    </w:p>
    <w:p w14:paraId="3D2CAE93" w14:textId="77777777" w:rsidR="00666BD3" w:rsidRPr="00723DA9" w:rsidRDefault="00666BD3" w:rsidP="00666BD3">
      <w:pPr>
        <w:pStyle w:val="Captions"/>
        <w:spacing w:after="0"/>
        <w:rPr>
          <w:rFonts w:eastAsia="宋体" w:cs="Times New Roman"/>
        </w:rPr>
      </w:pPr>
    </w:p>
    <w:p w14:paraId="2545F5F2" w14:textId="36745195" w:rsidR="0092793A" w:rsidRPr="00723DA9" w:rsidRDefault="0092793A" w:rsidP="00966FCE">
      <w:pPr>
        <w:spacing w:after="0" w:line="360" w:lineRule="auto"/>
        <w:jc w:val="center"/>
        <w:rPr>
          <w:rFonts w:ascii="Times New Roman" w:hAnsi="Times New Roman" w:cs="Times New Roman"/>
          <w:sz w:val="24"/>
          <w:szCs w:val="24"/>
        </w:rPr>
      </w:pPr>
      <w:r w:rsidRPr="00723DA9">
        <w:rPr>
          <w:rFonts w:ascii="Times New Roman" w:hAnsi="Times New Roman" w:cs="Times New Roman"/>
          <w:noProof/>
          <w:sz w:val="24"/>
          <w:szCs w:val="24"/>
        </w:rPr>
        <w:drawing>
          <wp:inline distT="0" distB="0" distL="0" distR="0" wp14:anchorId="0F2BFAEC" wp14:editId="3388FF50">
            <wp:extent cx="2928491" cy="2743200"/>
            <wp:effectExtent l="0" t="0" r="5715" b="0"/>
            <wp:docPr id="12" name="Picture 12" descr="Fig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v1"/>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8491" cy="2743200"/>
                    </a:xfrm>
                    <a:prstGeom prst="rect">
                      <a:avLst/>
                    </a:prstGeom>
                    <a:noFill/>
                    <a:ln>
                      <a:noFill/>
                    </a:ln>
                  </pic:spPr>
                </pic:pic>
              </a:graphicData>
            </a:graphic>
          </wp:inline>
        </w:drawing>
      </w:r>
    </w:p>
    <w:p w14:paraId="07F8FFF6" w14:textId="734C90BC" w:rsidR="0092793A" w:rsidRPr="00723DA9" w:rsidRDefault="005148EF" w:rsidP="00966FCE">
      <w:pPr>
        <w:pStyle w:val="Captions"/>
        <w:spacing w:after="0"/>
        <w:rPr>
          <w:rFonts w:cs="Times New Roman"/>
        </w:rPr>
      </w:pPr>
      <w:bookmarkStart w:id="128" w:name="_Toc21624041"/>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w:t>
      </w:r>
      <w:r w:rsidR="00771F99" w:rsidRPr="00723DA9">
        <w:rPr>
          <w:rFonts w:cs="Times New Roman"/>
          <w:noProof/>
        </w:rPr>
        <w:fldChar w:fldCharType="end"/>
      </w:r>
      <w:r w:rsidR="0092793A" w:rsidRPr="00723DA9">
        <w:rPr>
          <w:rFonts w:cs="Times New Roman"/>
        </w:rPr>
        <w:t xml:space="preserve"> An example of the normalized vertical diffusivity profile for the original HWRF (blue) and modified turbulent mixing (red) PBL parameterization scheme.  These profiles are for the eyewall.</w:t>
      </w:r>
      <w:bookmarkEnd w:id="128"/>
    </w:p>
    <w:p w14:paraId="76320B40" w14:textId="77777777" w:rsidR="00666BD3" w:rsidRPr="00723DA9" w:rsidRDefault="00666BD3" w:rsidP="00666BD3">
      <w:pPr>
        <w:pStyle w:val="Captions"/>
        <w:spacing w:after="0"/>
        <w:rPr>
          <w:rFonts w:eastAsia="宋体" w:cs="Times New Roman"/>
        </w:rPr>
      </w:pPr>
    </w:p>
    <w:p w14:paraId="71D96D21" w14:textId="559FB5DD" w:rsidR="00C56823" w:rsidRPr="00723DA9" w:rsidRDefault="00C56823" w:rsidP="00771F99">
      <w:pPr>
        <w:pStyle w:val="ListParagraph"/>
        <w:spacing w:line="480" w:lineRule="auto"/>
        <w:ind w:left="0" w:firstLine="432"/>
        <w:rPr>
          <w:rFonts w:ascii="Times New Roman" w:eastAsiaTheme="minorEastAsia" w:hAnsi="Times New Roman"/>
          <w:lang w:eastAsia="zh-CN"/>
        </w:rPr>
      </w:pPr>
      <w:r w:rsidRPr="00723DA9">
        <w:rPr>
          <w:rFonts w:ascii="Times New Roman" w:hAnsi="Times New Roman"/>
        </w:rPr>
        <w:t xml:space="preserve">Patricia (2015) was a category five hurricane that formed in the East Pacific on 20 October and made landfall along the southwestern coast of Mexico around 2300 UTC on 23 October 2015 </w:t>
      </w:r>
      <w:r w:rsidRPr="00723DA9">
        <w:rPr>
          <w:rFonts w:ascii="Times New Roman" w:hAnsi="Times New Roman"/>
        </w:rPr>
        <w:fldChar w:fldCharType="begin" w:fldLock="1"/>
      </w:r>
      <w:r w:rsidR="002E0A45" w:rsidRPr="00723DA9">
        <w:rPr>
          <w:rFonts w:ascii="Times New Roman" w:hAnsi="Times New Roman"/>
        </w:rPr>
        <w:instrText>ADDIN CSL_CITATION {"citationItems":[{"id":"ITEM-1","itemData":{"abstract":"1 METOP-B ENHANCED INFRARED SATELLITE IMAGE AT 0323 UTC 23 OCTOBER. IMAGE COURTESY CIRA. Patricia was a late-season major hurricane that intensified at a rate rarely observed in a tropical cyclone. It became a category 5 hurricane (on the Saffir-Simpson Hurricane Wind Scale) over anomalously warm waters to the south of Mexico, and the strongest hurricane on record in the eastern North Pacific and North Atlantic basins. The hurricane turned north-northeastward and weakened substantially before making landfall along a sparsely populated part of the coast of southwestern Mexico as a category 4 hurricane. Patricia produced a narrow swath of severe damage and two direct deaths.","author":[{"dropping-particle":"","family":"Kimberlain","given":"Todd B","non-dropping-particle":"","parse-names":false,"suffix":""},{"dropping-particle":"","family":"Blake","given":"Eric S","non-dropping-particle":"","parse-names":false,"suffix":""},{"dropping-particle":"","family":"Cangialosi","given":"John P","non-dropping-particle":"","parse-names":false,"suffix":""}],"id":"ITEM-1","issued":{"date-parts":[["2016"]]},"title":"NATIONAL HURRICANE CENTER TROPICAL CYCLONE REPORT Hurricane Patricia","type":"report"},"uris":["http://www.mendeley.com/documents/?uuid=51d2c7c3-7c06-38d9-bd22-11bd596ff862"]}],"mendeley":{"formattedCitation":"(Kimberlain et al. 2016)","plainTextFormattedCitation":"(Kimberlain et al. 2016)","previouslyFormattedCitation":"(Kimberlain et al. 2016)"},"properties":{"noteIndex":0},"schema":"https://github.com/citation-style-language/schema/raw/master/csl-citation.json"}</w:instrText>
      </w:r>
      <w:r w:rsidRPr="00723DA9">
        <w:rPr>
          <w:rFonts w:ascii="Times New Roman" w:hAnsi="Times New Roman"/>
        </w:rPr>
        <w:fldChar w:fldCharType="separate"/>
      </w:r>
      <w:r w:rsidRPr="00723DA9">
        <w:rPr>
          <w:rFonts w:ascii="Times New Roman" w:hAnsi="Times New Roman"/>
          <w:noProof/>
        </w:rPr>
        <w:t>(Kimberlain et al. 2016)</w:t>
      </w:r>
      <w:r w:rsidRPr="00723DA9">
        <w:rPr>
          <w:rFonts w:ascii="Times New Roman" w:hAnsi="Times New Roman"/>
        </w:rPr>
        <w:fldChar w:fldCharType="end"/>
      </w:r>
      <w:r w:rsidRPr="00723DA9">
        <w:rPr>
          <w:rFonts w:ascii="Times New Roman" w:hAnsi="Times New Roman"/>
        </w:rPr>
        <w:t>.  Many have claimed that this is the strongest observed TC in the East Pacific, with a maximum surface wind speed of 95.2 ms</w:t>
      </w:r>
      <w:r w:rsidRPr="00723DA9">
        <w:rPr>
          <w:rFonts w:ascii="Times New Roman" w:hAnsi="Times New Roman"/>
          <w:vertAlign w:val="superscript"/>
        </w:rPr>
        <w:t>-1</w:t>
      </w:r>
      <w:r w:rsidRPr="00723DA9">
        <w:rPr>
          <w:rFonts w:ascii="Times New Roman" w:hAnsi="Times New Roman"/>
        </w:rPr>
        <w:t xml:space="preserve"> (185 </w:t>
      </w:r>
      <w:proofErr w:type="spellStart"/>
      <w:r w:rsidRPr="00723DA9">
        <w:rPr>
          <w:rFonts w:ascii="Times New Roman" w:hAnsi="Times New Roman"/>
        </w:rPr>
        <w:t>kt</w:t>
      </w:r>
      <w:proofErr w:type="spellEnd"/>
      <w:r w:rsidRPr="00723DA9">
        <w:rPr>
          <w:rFonts w:ascii="Times New Roman" w:hAnsi="Times New Roman"/>
        </w:rPr>
        <w:t xml:space="preserve">, Rogers et al. 2017).  But most of the operational centers failed to forecast the RI and the strong peak intensity (Qin and Zhang 2018).  In this study, experiments are carried out on 1800 UTC, 22 October 2015 for the </w:t>
      </w:r>
      <w:r w:rsidRPr="00723DA9">
        <w:rPr>
          <w:rFonts w:ascii="Times New Roman" w:hAnsi="Times New Roman"/>
        </w:rPr>
        <w:lastRenderedPageBreak/>
        <w:t>third TCI mission which sampled the RI phase of Patricia.  A detailed description of the data collected by TCI is documented in</w:t>
      </w:r>
      <w:r w:rsidR="00403CAF" w:rsidRPr="00723DA9">
        <w:rPr>
          <w:rFonts w:ascii="Times New Roman" w:hAnsi="Times New Roman"/>
        </w:rPr>
        <w:t xml:space="preserve"> </w:t>
      </w:r>
      <w:r w:rsidR="00E22E12" w:rsidRPr="00723DA9">
        <w:rPr>
          <w:rFonts w:ascii="Times New Roman" w:hAnsi="Times New Roman"/>
        </w:rPr>
        <w:t>Chapter</w:t>
      </w:r>
      <w:r w:rsidR="00403CAF" w:rsidRPr="00723DA9">
        <w:rPr>
          <w:rFonts w:ascii="Times New Roman" w:hAnsi="Times New Roman"/>
        </w:rPr>
        <w:t xml:space="preserve"> 5</w:t>
      </w:r>
      <w:r w:rsidRPr="00723DA9">
        <w:rPr>
          <w:rFonts w:ascii="Times New Roman" w:hAnsi="Times New Roman"/>
        </w:rPr>
        <w:t xml:space="preserve">. </w:t>
      </w:r>
    </w:p>
    <w:p w14:paraId="3D3C7503" w14:textId="77777777" w:rsidR="00C56823" w:rsidRPr="00723DA9" w:rsidRDefault="00C56823" w:rsidP="00771F99">
      <w:pPr>
        <w:pStyle w:val="ListParagraph"/>
        <w:spacing w:line="480" w:lineRule="auto"/>
        <w:ind w:left="0" w:firstLine="432"/>
        <w:rPr>
          <w:rFonts w:ascii="Times New Roman" w:hAnsi="Times New Roman"/>
        </w:rPr>
      </w:pPr>
      <w:r w:rsidRPr="00723DA9">
        <w:rPr>
          <w:rFonts w:ascii="Times New Roman" w:hAnsi="Times New Roman"/>
        </w:rPr>
        <w:t xml:space="preserve">Considering the very small size of Patricia (smallest RMW recorded during Patricia’s life time is about 9-km), the 2-km model grid spacing configuration may not be enough to resolve the </w:t>
      </w:r>
      <w:bookmarkStart w:id="129" w:name="OLE_LINK38"/>
      <w:r w:rsidRPr="00723DA9">
        <w:rPr>
          <w:rFonts w:ascii="Times New Roman" w:hAnsi="Times New Roman"/>
        </w:rPr>
        <w:t>convective-scale</w:t>
      </w:r>
      <w:bookmarkEnd w:id="129"/>
      <w:r w:rsidRPr="00723DA9">
        <w:rPr>
          <w:rFonts w:ascii="Times New Roman" w:hAnsi="Times New Roman"/>
        </w:rPr>
        <w:t xml:space="preserve"> features well in this case.  Thus, in addition to investigating the issues associated with the model physics, experiments are also performed in this study to investigate the impact of model resolution on the intensity forecast and the spin-down issue.</w:t>
      </w:r>
    </w:p>
    <w:p w14:paraId="5361CED4" w14:textId="28391E0C" w:rsidR="00C56823" w:rsidRDefault="00635E82" w:rsidP="00771F99">
      <w:pPr>
        <w:spacing w:after="0" w:line="480" w:lineRule="auto"/>
        <w:ind w:firstLine="432"/>
        <w:rPr>
          <w:rFonts w:ascii="Times New Roman" w:hAnsi="Times New Roman" w:cs="Times New Roman"/>
          <w:sz w:val="24"/>
          <w:szCs w:val="24"/>
        </w:rPr>
      </w:pPr>
      <w:bookmarkStart w:id="130" w:name="OLE_LINK19"/>
      <w:r>
        <w:rPr>
          <w:rFonts w:ascii="Times New Roman" w:hAnsi="Times New Roman" w:cs="Times New Roman"/>
          <w:sz w:val="24"/>
          <w:szCs w:val="24"/>
        </w:rPr>
        <w:t xml:space="preserve">In this </w:t>
      </w:r>
      <w:r w:rsidR="00C56823" w:rsidRPr="00723DA9">
        <w:rPr>
          <w:rFonts w:ascii="Times New Roman" w:hAnsi="Times New Roman" w:cs="Times New Roman"/>
          <w:sz w:val="24"/>
          <w:szCs w:val="24"/>
        </w:rPr>
        <w:t xml:space="preserve">study, we first describe the DA system, the model and the experiment design in Section </w:t>
      </w:r>
      <w:r w:rsidR="00C12F91" w:rsidRPr="00723DA9">
        <w:rPr>
          <w:rFonts w:ascii="Times New Roman" w:hAnsi="Times New Roman" w:cs="Times New Roman"/>
          <w:sz w:val="24"/>
          <w:szCs w:val="24"/>
        </w:rPr>
        <w:t>4.</w:t>
      </w:r>
      <w:r w:rsidR="00C56823" w:rsidRPr="00723DA9">
        <w:rPr>
          <w:rFonts w:ascii="Times New Roman" w:hAnsi="Times New Roman" w:cs="Times New Roman"/>
          <w:sz w:val="24"/>
          <w:szCs w:val="24"/>
        </w:rPr>
        <w:t>2.</w:t>
      </w:r>
      <w:r w:rsidR="00C12F91" w:rsidRPr="00723DA9">
        <w:rPr>
          <w:rFonts w:ascii="Times New Roman" w:hAnsi="Times New Roman" w:cs="Times New Roman"/>
          <w:sz w:val="24"/>
          <w:szCs w:val="24"/>
        </w:rPr>
        <w:t xml:space="preserve"> </w:t>
      </w:r>
      <w:r w:rsidR="00C56823" w:rsidRPr="00723DA9">
        <w:rPr>
          <w:rFonts w:ascii="Times New Roman" w:hAnsi="Times New Roman" w:cs="Times New Roman"/>
          <w:sz w:val="24"/>
          <w:szCs w:val="24"/>
        </w:rPr>
        <w:t xml:space="preserve"> Then, </w:t>
      </w:r>
      <w:r w:rsidR="009913D0" w:rsidRPr="00723DA9">
        <w:rPr>
          <w:rFonts w:ascii="Times New Roman" w:hAnsi="Times New Roman" w:cs="Times New Roman"/>
          <w:sz w:val="24"/>
          <w:szCs w:val="24"/>
        </w:rPr>
        <w:t>Section</w:t>
      </w:r>
      <w:r w:rsidR="00C56823" w:rsidRPr="00723DA9">
        <w:rPr>
          <w:rFonts w:ascii="Times New Roman" w:hAnsi="Times New Roman" w:cs="Times New Roman"/>
          <w:sz w:val="24"/>
          <w:szCs w:val="24"/>
        </w:rPr>
        <w:t xml:space="preserve"> </w:t>
      </w:r>
      <w:r w:rsidR="00C12F91" w:rsidRPr="00723DA9">
        <w:rPr>
          <w:rFonts w:ascii="Times New Roman" w:hAnsi="Times New Roman" w:cs="Times New Roman"/>
          <w:sz w:val="24"/>
          <w:szCs w:val="24"/>
        </w:rPr>
        <w:t>4.</w:t>
      </w:r>
      <w:r w:rsidR="00C56823" w:rsidRPr="00723DA9">
        <w:rPr>
          <w:rFonts w:ascii="Times New Roman" w:hAnsi="Times New Roman" w:cs="Times New Roman"/>
          <w:sz w:val="24"/>
          <w:szCs w:val="24"/>
        </w:rPr>
        <w:t>3 shows the comparisons between VM and DA analyses and their subsequent forecast.  As part of the comparison, investigations are carried out to understand why the more persistent TC spin-down exists with the more realistic DA analysis but not the unrealistic VM analysis.  Section 4</w:t>
      </w:r>
      <w:r w:rsidR="00C12F91" w:rsidRPr="00723DA9">
        <w:rPr>
          <w:rFonts w:ascii="Times New Roman" w:hAnsi="Times New Roman" w:cs="Times New Roman"/>
          <w:sz w:val="24"/>
          <w:szCs w:val="24"/>
        </w:rPr>
        <w:t>.4</w:t>
      </w:r>
      <w:r w:rsidR="00C56823" w:rsidRPr="00723DA9">
        <w:rPr>
          <w:rFonts w:ascii="Times New Roman" w:hAnsi="Times New Roman" w:cs="Times New Roman"/>
          <w:sz w:val="24"/>
          <w:szCs w:val="24"/>
        </w:rPr>
        <w:t xml:space="preserve"> explores the impacts of model PBL physics parameterization changes on the spin-down issue.  Section </w:t>
      </w:r>
      <w:r w:rsidR="00C12F91" w:rsidRPr="00723DA9">
        <w:rPr>
          <w:rFonts w:ascii="Times New Roman" w:hAnsi="Times New Roman" w:cs="Times New Roman"/>
          <w:sz w:val="24"/>
          <w:szCs w:val="24"/>
        </w:rPr>
        <w:t>4.</w:t>
      </w:r>
      <w:r w:rsidR="00C56823" w:rsidRPr="00723DA9">
        <w:rPr>
          <w:rFonts w:ascii="Times New Roman" w:hAnsi="Times New Roman" w:cs="Times New Roman"/>
          <w:sz w:val="24"/>
          <w:szCs w:val="24"/>
        </w:rPr>
        <w:t xml:space="preserve">5 describes the impact of model resolution on the TC forecast and spin-down issue and </w:t>
      </w:r>
      <w:r w:rsidR="00B21316" w:rsidRPr="00723DA9">
        <w:rPr>
          <w:rFonts w:ascii="Times New Roman" w:hAnsi="Times New Roman" w:cs="Times New Roman"/>
          <w:sz w:val="24"/>
          <w:szCs w:val="24"/>
        </w:rPr>
        <w:t>S</w:t>
      </w:r>
      <w:r w:rsidR="00C56823" w:rsidRPr="00723DA9">
        <w:rPr>
          <w:rFonts w:ascii="Times New Roman" w:hAnsi="Times New Roman" w:cs="Times New Roman"/>
          <w:sz w:val="24"/>
          <w:szCs w:val="24"/>
        </w:rPr>
        <w:t xml:space="preserve">ection </w:t>
      </w:r>
      <w:r w:rsidR="00C12F91" w:rsidRPr="00723DA9">
        <w:rPr>
          <w:rFonts w:ascii="Times New Roman" w:hAnsi="Times New Roman" w:cs="Times New Roman"/>
          <w:sz w:val="24"/>
          <w:szCs w:val="24"/>
        </w:rPr>
        <w:t>4.</w:t>
      </w:r>
      <w:r w:rsidR="00C56823" w:rsidRPr="00723DA9">
        <w:rPr>
          <w:rFonts w:ascii="Times New Roman" w:hAnsi="Times New Roman" w:cs="Times New Roman"/>
          <w:sz w:val="24"/>
          <w:szCs w:val="24"/>
        </w:rPr>
        <w:t xml:space="preserve">6 summarizes and concludes the results. </w:t>
      </w:r>
      <w:bookmarkEnd w:id="130"/>
    </w:p>
    <w:p w14:paraId="4F1A7ACF" w14:textId="2EF5FE8E" w:rsidR="00C56823" w:rsidRPr="00723DA9" w:rsidRDefault="00C56823" w:rsidP="00A67154">
      <w:pPr>
        <w:pStyle w:val="Heading2"/>
        <w:numPr>
          <w:ilvl w:val="1"/>
          <w:numId w:val="20"/>
        </w:numPr>
        <w:spacing w:line="480" w:lineRule="auto"/>
        <w:ind w:left="0" w:firstLine="0"/>
        <w:rPr>
          <w:rFonts w:ascii="Times New Roman" w:hAnsi="Times New Roman" w:cs="Times New Roman"/>
          <w:b/>
          <w:bCs/>
          <w:color w:val="auto"/>
          <w:sz w:val="24"/>
          <w:szCs w:val="24"/>
        </w:rPr>
      </w:pPr>
      <w:bookmarkStart w:id="131" w:name="_Toc21623992"/>
      <w:r w:rsidRPr="00723DA9">
        <w:rPr>
          <w:rFonts w:ascii="Times New Roman" w:hAnsi="Times New Roman" w:cs="Times New Roman"/>
          <w:b/>
          <w:bCs/>
          <w:color w:val="auto"/>
          <w:sz w:val="24"/>
          <w:szCs w:val="24"/>
        </w:rPr>
        <w:t>Methodology, Data and Experiment Design</w:t>
      </w:r>
      <w:bookmarkEnd w:id="131"/>
    </w:p>
    <w:p w14:paraId="45E643C5" w14:textId="4F29B757" w:rsidR="00C56823" w:rsidRPr="00723DA9" w:rsidRDefault="00C56823" w:rsidP="00A67154">
      <w:pPr>
        <w:pStyle w:val="Heading3"/>
        <w:numPr>
          <w:ilvl w:val="2"/>
          <w:numId w:val="21"/>
        </w:numPr>
        <w:spacing w:before="160" w:after="160" w:line="480" w:lineRule="auto"/>
        <w:rPr>
          <w:rFonts w:ascii="Times New Roman" w:hAnsi="Times New Roman" w:cs="Times New Roman"/>
          <w:b/>
          <w:bCs/>
          <w:i/>
          <w:iCs/>
          <w:color w:val="auto"/>
        </w:rPr>
      </w:pPr>
      <w:bookmarkStart w:id="132" w:name="_Toc21623993"/>
      <w:r w:rsidRPr="00723DA9">
        <w:rPr>
          <w:rFonts w:ascii="Times New Roman" w:hAnsi="Times New Roman" w:cs="Times New Roman"/>
          <w:b/>
          <w:bCs/>
          <w:i/>
          <w:iCs/>
          <w:color w:val="auto"/>
        </w:rPr>
        <w:t>System Description</w:t>
      </w:r>
      <w:bookmarkEnd w:id="132"/>
    </w:p>
    <w:p w14:paraId="2DC2BDFA" w14:textId="4A2ECBD1" w:rsidR="00C56823" w:rsidRPr="00723DA9" w:rsidRDefault="00C56823" w:rsidP="00771F99">
      <w:pPr>
        <w:spacing w:after="0" w:line="480" w:lineRule="auto"/>
        <w:ind w:firstLine="432"/>
        <w:rPr>
          <w:rFonts w:ascii="Times New Roman" w:hAnsi="Times New Roman" w:cs="Times New Roman"/>
          <w:sz w:val="24"/>
          <w:szCs w:val="24"/>
        </w:rPr>
      </w:pPr>
      <w:bookmarkStart w:id="133" w:name="OLE_LINK34"/>
      <w:r w:rsidRPr="00723DA9">
        <w:rPr>
          <w:rFonts w:ascii="Times New Roman" w:hAnsi="Times New Roman" w:cs="Times New Roman"/>
          <w:sz w:val="24"/>
          <w:szCs w:val="24"/>
        </w:rPr>
        <w:t xml:space="preserve">Following </w:t>
      </w:r>
      <w:r w:rsidR="00E22E12" w:rsidRPr="00723DA9">
        <w:rPr>
          <w:rFonts w:ascii="Times New Roman" w:hAnsi="Times New Roman" w:cs="Times New Roman"/>
          <w:sz w:val="24"/>
          <w:szCs w:val="24"/>
        </w:rPr>
        <w:t>Chapter</w:t>
      </w:r>
      <w:r w:rsidR="00E95E85" w:rsidRPr="00723DA9">
        <w:rPr>
          <w:rFonts w:ascii="Times New Roman" w:hAnsi="Times New Roman" w:cs="Times New Roman"/>
          <w:sz w:val="24"/>
          <w:szCs w:val="24"/>
        </w:rPr>
        <w:t xml:space="preserve"> </w:t>
      </w:r>
      <w:r w:rsidR="00BE0D85">
        <w:rPr>
          <w:rFonts w:ascii="Times New Roman" w:hAnsi="Times New Roman" w:cs="Times New Roman"/>
          <w:sz w:val="24"/>
          <w:szCs w:val="24"/>
        </w:rPr>
        <w:t>2</w:t>
      </w:r>
      <w:r w:rsidRPr="00723DA9">
        <w:rPr>
          <w:rFonts w:ascii="Times New Roman" w:hAnsi="Times New Roman" w:cs="Times New Roman"/>
          <w:sz w:val="24"/>
          <w:szCs w:val="24"/>
        </w:rPr>
        <w:t>, the newly developed GSI-based, continuously cycled, dual-resolution hybrid ensemble-variational (</w:t>
      </w:r>
      <w:proofErr w:type="spellStart"/>
      <w:r w:rsidRPr="00723DA9">
        <w:rPr>
          <w:rFonts w:ascii="Times New Roman" w:hAnsi="Times New Roman" w:cs="Times New Roman"/>
          <w:sz w:val="24"/>
          <w:szCs w:val="24"/>
        </w:rPr>
        <w:t>EnVar</w:t>
      </w:r>
      <w:proofErr w:type="spellEnd"/>
      <w:r w:rsidRPr="00723DA9">
        <w:rPr>
          <w:rFonts w:ascii="Times New Roman" w:hAnsi="Times New Roman" w:cs="Times New Roman"/>
          <w:sz w:val="24"/>
          <w:szCs w:val="24"/>
        </w:rPr>
        <w:t xml:space="preserve">) DA system for HWRF is used in this study with some upgrades.  </w:t>
      </w:r>
      <w:bookmarkStart w:id="134" w:name="OLE_LINK31"/>
      <w:bookmarkStart w:id="135" w:name="OLE_LINK30"/>
      <w:r w:rsidRPr="00723DA9">
        <w:rPr>
          <w:rFonts w:ascii="Times New Roman" w:hAnsi="Times New Roman" w:cs="Times New Roman"/>
          <w:sz w:val="24"/>
          <w:szCs w:val="24"/>
        </w:rPr>
        <w:t xml:space="preserve">To be consistent with </w:t>
      </w:r>
      <w:bookmarkEnd w:id="134"/>
      <w:bookmarkEnd w:id="135"/>
      <w:r w:rsidRPr="00723DA9">
        <w:rPr>
          <w:rFonts w:ascii="Times New Roman" w:hAnsi="Times New Roman" w:cs="Times New Roman"/>
          <w:sz w:val="24"/>
          <w:szCs w:val="24"/>
        </w:rPr>
        <w:t xml:space="preserve">the model resolution update in the 2015 operational HWRF </w:t>
      </w:r>
      <w:r w:rsidRPr="00723DA9">
        <w:rPr>
          <w:rFonts w:ascii="Times New Roman" w:hAnsi="Times New Roman" w:cs="Times New Roman"/>
        </w:rPr>
        <w:fldChar w:fldCharType="begin" w:fldLock="1"/>
      </w:r>
      <w:r w:rsidR="002E0A45" w:rsidRPr="00723DA9">
        <w:rPr>
          <w:rFonts w:ascii="Times New Roman"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Center","id":"ITEM-1","issued":{"date-parts":[["2015"]]},"number-of-pages":"1-81","title":"Hurricane Weather Research and Forecasting (HWRF) model: 2015 scientific documentation","type":"report"},"uris":["http://www.mendeley.com/documents/?uuid=b87ea64a-4059-481a-8188-da6f904806c8"]}],"mendeley":{"formattedCitation":"(Tallapragada et al. 2015)","plainTextFormattedCitation":"(Tallapragada et al. 2015)","previouslyFormattedCitation":"(Tallapragada et al. 2015)"},"properties":{"noteIndex":0},"schema":"https://github.com/citation-style-language/schema/raw/master/csl-citation.json"}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hAnsi="Times New Roman" w:cs="Times New Roman"/>
          <w:noProof/>
          <w:sz w:val="24"/>
          <w:szCs w:val="24"/>
        </w:rPr>
        <w:t>(Tallapragada et al. 2015)</w:t>
      </w:r>
      <w:r w:rsidRPr="00723DA9">
        <w:rPr>
          <w:rFonts w:ascii="Times New Roman" w:hAnsi="Times New Roman" w:cs="Times New Roman"/>
        </w:rPr>
        <w:fldChar w:fldCharType="end"/>
      </w:r>
      <w:r w:rsidRPr="00723DA9">
        <w:rPr>
          <w:rFonts w:ascii="Times New Roman" w:hAnsi="Times New Roman" w:cs="Times New Roman"/>
          <w:sz w:val="24"/>
          <w:szCs w:val="24"/>
        </w:rPr>
        <w:t xml:space="preserve">, a 18/6/2-km grid spacing configuration is used in this study instead of the previous 27/9/3-km grid spacing </w:t>
      </w:r>
      <w:r w:rsidR="00EC33EE" w:rsidRPr="00723DA9">
        <w:rPr>
          <w:rFonts w:ascii="Times New Roman" w:hAnsi="Times New Roman" w:cs="Times New Roman"/>
          <w:sz w:val="24"/>
          <w:szCs w:val="24"/>
        </w:rPr>
        <w:t xml:space="preserve">in </w:t>
      </w:r>
      <w:r w:rsidR="00E22E12" w:rsidRPr="00723DA9">
        <w:rPr>
          <w:rFonts w:ascii="Times New Roman" w:hAnsi="Times New Roman" w:cs="Times New Roman"/>
          <w:sz w:val="24"/>
          <w:szCs w:val="24"/>
        </w:rPr>
        <w:t>Chapter</w:t>
      </w:r>
      <w:r w:rsidR="00EC33EE" w:rsidRPr="00723DA9">
        <w:rPr>
          <w:rFonts w:ascii="Times New Roman" w:hAnsi="Times New Roman" w:cs="Times New Roman"/>
          <w:sz w:val="24"/>
          <w:szCs w:val="24"/>
        </w:rPr>
        <w:t xml:space="preserve"> 3</w:t>
      </w:r>
      <w:r w:rsidRPr="00723DA9">
        <w:rPr>
          <w:rFonts w:ascii="Times New Roman" w:hAnsi="Times New Roman" w:cs="Times New Roman"/>
          <w:sz w:val="24"/>
          <w:szCs w:val="24"/>
        </w:rPr>
        <w:t xml:space="preserve">.  Figure </w:t>
      </w:r>
      <w:r w:rsidR="00EC33EE" w:rsidRPr="00723DA9">
        <w:rPr>
          <w:rFonts w:ascii="Times New Roman" w:hAnsi="Times New Roman" w:cs="Times New Roman"/>
          <w:sz w:val="24"/>
          <w:szCs w:val="24"/>
        </w:rPr>
        <w:t>4.</w:t>
      </w:r>
      <w:r w:rsidRPr="00723DA9">
        <w:rPr>
          <w:rFonts w:ascii="Times New Roman" w:hAnsi="Times New Roman" w:cs="Times New Roman"/>
          <w:sz w:val="24"/>
          <w:szCs w:val="24"/>
        </w:rPr>
        <w:t xml:space="preserve">2 shows the flow chart of this </w:t>
      </w:r>
      <w:r w:rsidRPr="00723DA9">
        <w:rPr>
          <w:rFonts w:ascii="Times New Roman" w:hAnsi="Times New Roman" w:cs="Times New Roman"/>
          <w:sz w:val="24"/>
          <w:szCs w:val="24"/>
        </w:rPr>
        <w:lastRenderedPageBreak/>
        <w:t>upgraded hybrid DA system with adaptations from</w:t>
      </w:r>
      <w:r w:rsidR="00EC33EE" w:rsidRPr="00723DA9">
        <w:rPr>
          <w:rFonts w:ascii="Times New Roman" w:hAnsi="Times New Roman" w:cs="Times New Roman"/>
          <w:sz w:val="24"/>
          <w:szCs w:val="24"/>
        </w:rPr>
        <w:t xml:space="preserve"> </w:t>
      </w:r>
      <w:r w:rsidR="00E22E12" w:rsidRPr="00723DA9">
        <w:rPr>
          <w:rFonts w:ascii="Times New Roman" w:hAnsi="Times New Roman" w:cs="Times New Roman"/>
          <w:sz w:val="24"/>
          <w:szCs w:val="24"/>
        </w:rPr>
        <w:t>Chapter</w:t>
      </w:r>
      <w:r w:rsidR="00EC33EE" w:rsidRPr="00723DA9">
        <w:rPr>
          <w:rFonts w:ascii="Times New Roman" w:hAnsi="Times New Roman" w:cs="Times New Roman"/>
          <w:sz w:val="24"/>
          <w:szCs w:val="24"/>
        </w:rPr>
        <w:t xml:space="preserve"> 2.1</w:t>
      </w:r>
      <w:r w:rsidRPr="00723DA9">
        <w:rPr>
          <w:rFonts w:ascii="Times New Roman" w:hAnsi="Times New Roman" w:cs="Times New Roman"/>
          <w:sz w:val="24"/>
          <w:szCs w:val="24"/>
        </w:rPr>
        <w:t>.</w:t>
      </w:r>
      <w:r w:rsidR="00EC33EE" w:rsidRPr="00723DA9">
        <w:rPr>
          <w:rFonts w:ascii="Times New Roman" w:hAnsi="Times New Roman" w:cs="Times New Roman"/>
          <w:sz w:val="24"/>
          <w:szCs w:val="24"/>
        </w:rPr>
        <w:t xml:space="preserve"> </w:t>
      </w:r>
      <w:r w:rsidRPr="00723DA9">
        <w:rPr>
          <w:rFonts w:ascii="Times New Roman" w:hAnsi="Times New Roman" w:cs="Times New Roman"/>
          <w:sz w:val="24"/>
          <w:szCs w:val="24"/>
        </w:rPr>
        <w:t xml:space="preserve"> For consistency, the following descriptions parallel that of </w:t>
      </w:r>
      <w:r w:rsidR="00E22E12" w:rsidRPr="00723DA9">
        <w:rPr>
          <w:rFonts w:ascii="Times New Roman" w:hAnsi="Times New Roman" w:cs="Times New Roman"/>
          <w:sz w:val="24"/>
          <w:szCs w:val="24"/>
        </w:rPr>
        <w:t>Chapter</w:t>
      </w:r>
      <w:r w:rsidR="00EC33EE" w:rsidRPr="00723DA9">
        <w:rPr>
          <w:rFonts w:ascii="Times New Roman" w:hAnsi="Times New Roman" w:cs="Times New Roman"/>
          <w:sz w:val="24"/>
          <w:szCs w:val="24"/>
        </w:rPr>
        <w:t xml:space="preserve"> 2.1 </w:t>
      </w:r>
      <w:r w:rsidRPr="00723DA9">
        <w:rPr>
          <w:rFonts w:ascii="Times New Roman" w:hAnsi="Times New Roman" w:cs="Times New Roman"/>
          <w:sz w:val="24"/>
          <w:szCs w:val="24"/>
        </w:rPr>
        <w:t xml:space="preserve">with adaptations and </w:t>
      </w:r>
      <w:bookmarkStart w:id="136" w:name="OLE_LINK33"/>
      <w:bookmarkStart w:id="137" w:name="OLE_LINK32"/>
      <w:r w:rsidRPr="00723DA9">
        <w:rPr>
          <w:rFonts w:ascii="Times New Roman" w:hAnsi="Times New Roman" w:cs="Times New Roman"/>
          <w:sz w:val="24"/>
          <w:szCs w:val="24"/>
        </w:rPr>
        <w:t>simplification</w:t>
      </w:r>
      <w:bookmarkEnd w:id="136"/>
      <w:bookmarkEnd w:id="137"/>
      <w:r w:rsidRPr="00723DA9">
        <w:rPr>
          <w:rFonts w:ascii="Times New Roman" w:hAnsi="Times New Roman" w:cs="Times New Roman"/>
          <w:sz w:val="24"/>
          <w:szCs w:val="24"/>
        </w:rPr>
        <w:t>s.</w:t>
      </w:r>
    </w:p>
    <w:bookmarkEnd w:id="133"/>
    <w:p w14:paraId="78E68BE2" w14:textId="77777777" w:rsidR="00666BD3" w:rsidRPr="00723DA9" w:rsidRDefault="00666BD3" w:rsidP="00666BD3">
      <w:pPr>
        <w:pStyle w:val="Captions"/>
        <w:spacing w:after="0"/>
        <w:rPr>
          <w:rFonts w:eastAsia="宋体" w:cs="Times New Roman"/>
        </w:rPr>
      </w:pPr>
    </w:p>
    <w:p w14:paraId="2655ED2F" w14:textId="50464964" w:rsidR="00EC33EE" w:rsidRPr="00723DA9" w:rsidRDefault="00EC33EE" w:rsidP="00966FCE">
      <w:pPr>
        <w:pStyle w:val="Captions"/>
        <w:spacing w:after="0" w:line="360" w:lineRule="auto"/>
        <w:rPr>
          <w:rFonts w:cs="Times New Roman"/>
        </w:rPr>
      </w:pPr>
      <w:r w:rsidRPr="00723DA9">
        <w:rPr>
          <w:rFonts w:cs="Times New Roman"/>
          <w:noProof/>
        </w:rPr>
        <w:drawing>
          <wp:inline distT="0" distB="0" distL="0" distR="0" wp14:anchorId="4EC63E6E" wp14:editId="2DCA986D">
            <wp:extent cx="5943600" cy="2396490"/>
            <wp:effectExtent l="0" t="0" r="0" b="3810"/>
            <wp:docPr id="13" name="Picture 13" descr="Fig2-v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Fig2-v1"/>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396490"/>
                    </a:xfrm>
                    <a:prstGeom prst="rect">
                      <a:avLst/>
                    </a:prstGeom>
                    <a:noFill/>
                    <a:ln>
                      <a:noFill/>
                    </a:ln>
                  </pic:spPr>
                </pic:pic>
              </a:graphicData>
            </a:graphic>
          </wp:inline>
        </w:drawing>
      </w:r>
    </w:p>
    <w:p w14:paraId="77BD95A7" w14:textId="37541856" w:rsidR="00EC33EE" w:rsidRPr="00723DA9" w:rsidRDefault="005148EF" w:rsidP="00966FCE">
      <w:pPr>
        <w:pStyle w:val="Captions"/>
        <w:spacing w:after="0"/>
        <w:rPr>
          <w:rFonts w:cs="Times New Roman"/>
          <w:noProof/>
        </w:rPr>
      </w:pPr>
      <w:bookmarkStart w:id="138" w:name="_Toc21624042"/>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2</w:t>
      </w:r>
      <w:r w:rsidR="00771F99" w:rsidRPr="00723DA9">
        <w:rPr>
          <w:rFonts w:cs="Times New Roman"/>
          <w:noProof/>
        </w:rPr>
        <w:fldChar w:fldCharType="end"/>
      </w:r>
      <w:r w:rsidR="00EC33EE" w:rsidRPr="00723DA9">
        <w:rPr>
          <w:rFonts w:cs="Times New Roman"/>
        </w:rPr>
        <w:t xml:space="preserve"> Flowchart of the GSI-based </w:t>
      </w:r>
      <w:proofErr w:type="spellStart"/>
      <w:r w:rsidR="00EC33EE" w:rsidRPr="00723DA9">
        <w:rPr>
          <w:rFonts w:cs="Times New Roman"/>
        </w:rPr>
        <w:t>EnVar</w:t>
      </w:r>
      <w:proofErr w:type="spellEnd"/>
      <w:r w:rsidR="00EC33EE" w:rsidRPr="00723DA9">
        <w:rPr>
          <w:rFonts w:cs="Times New Roman"/>
        </w:rPr>
        <w:t xml:space="preserve"> hybrid DA system for HWRF [adapted and upgraded from Fig. 2.1]. VI is a combination of VM and VR.</w:t>
      </w:r>
      <w:bookmarkEnd w:id="138"/>
      <w:r w:rsidR="00EC33EE" w:rsidRPr="00723DA9">
        <w:rPr>
          <w:rFonts w:cs="Times New Roman"/>
          <w:noProof/>
        </w:rPr>
        <w:t xml:space="preserve"> </w:t>
      </w:r>
    </w:p>
    <w:p w14:paraId="3F916433" w14:textId="77777777" w:rsidR="00666BD3" w:rsidRPr="00723DA9" w:rsidRDefault="00666BD3" w:rsidP="00666BD3">
      <w:pPr>
        <w:pStyle w:val="Captions"/>
        <w:spacing w:after="0"/>
        <w:rPr>
          <w:rFonts w:eastAsia="宋体" w:cs="Times New Roman"/>
        </w:rPr>
      </w:pPr>
    </w:p>
    <w:p w14:paraId="22FED865" w14:textId="4103CBFB" w:rsidR="00C56823" w:rsidRPr="00723DA9" w:rsidRDefault="00C56823"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At the initial cycle of a storm, a 40-member 18/6-km doubly nested HWRF ensemble and a single deterministic 18/6/2-km triply nested HWRF control are initialized from the GFS ensemble and control analyses, respectively.  These analyses are obtained from the NCEP operational GFS hybrid DA system </w:t>
      </w:r>
      <w:r w:rsidRPr="00723DA9">
        <w:rPr>
          <w:rFonts w:ascii="Times New Roman" w:eastAsia="宋体" w:hAnsi="Times New Roman" w:cs="Times New Roman"/>
          <w:sz w:val="24"/>
          <w:szCs w:val="24"/>
        </w:rPr>
        <w:fldChar w:fldCharType="begin" w:fldLock="1"/>
      </w:r>
      <w:r w:rsidR="002E0A45" w:rsidRPr="00723DA9">
        <w:rPr>
          <w:rFonts w:ascii="Times New Roman" w:eastAsia="宋体" w:hAnsi="Times New Roman" w:cs="Times New Roman"/>
          <w:sz w:val="24"/>
          <w:szCs w:val="24"/>
        </w:rPr>
        <w:instrText>ADDIN CSL_CITATION {"citationItems":[{"id":"ITEM-1","itemData":{"DOI":"10.1175/MWR-D-12-00141.1","ISSN":"0027-0644","author":[{"dropping-particle":"","family":"Wang","given":"Xuguang","non-dropping-particle":"","parse-names":false,"suffix":""},{"dropping-particle":"","family":"Parrish","given":"David","non-dropping-particle":"","parse-names":false,"suffix":""},{"dropping-particle":"","family":"Kleist","given":"Daryl","non-dropping-particle":"","parse-names":false,"suffix":""},{"dropping-particle":"","family":"Whitaker","given":"Jeffrey","non-dropping-particle":"","parse-names":false,"suffix":""}],"container-title":"Monthly Weather Review","id":"ITEM-1","issue":"11","issued":{"date-parts":[["2013"]]},"page":"4098-4117","title":"GSI 3DVar-Based Ensemble–Variational Hybrid Data Assimilation for NCEP Global Forecast System: Single-Resolution Experiments","type":"article-journal","volume":"141"},"uris":["http://www.mendeley.com/documents/?uuid=32b6d9cf-94de-43b1-804c-021d7bbf809d"]}],"mendeley":{"formattedCitation":"(Wang et al. 2013)","manualFormatting":"(Wang et al. 2013; Wang and Lei 2014)","plainTextFormattedCitation":"(Wang et al. 2013)","previouslyFormattedCitation":"(Wang et al. 2013)"},"properties":{"noteIndex":0},"schema":"https://github.com/citation-style-language/schema/raw/master/csl-citation.json"}</w:instrText>
      </w:r>
      <w:r w:rsidRPr="00723DA9">
        <w:rPr>
          <w:rFonts w:ascii="Times New Roman" w:eastAsia="宋体" w:hAnsi="Times New Roman" w:cs="Times New Roman"/>
          <w:sz w:val="24"/>
          <w:szCs w:val="24"/>
        </w:rPr>
        <w:fldChar w:fldCharType="separate"/>
      </w:r>
      <w:r w:rsidRPr="00723DA9">
        <w:rPr>
          <w:rFonts w:ascii="Times New Roman" w:eastAsia="宋体" w:hAnsi="Times New Roman" w:cs="Times New Roman"/>
          <w:noProof/>
          <w:sz w:val="24"/>
          <w:szCs w:val="24"/>
        </w:rPr>
        <w:t>(Wang et al. 2013; Wang and Lei 2014)</w:t>
      </w:r>
      <w:r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Then, VR is performed on both ensemble and control forecasts and VM is only performed on the control forecast and only when the inner-core observations are unavailable.  The details on how to perform VR and VM can be found in </w:t>
      </w:r>
      <w:r w:rsidR="00E22E12" w:rsidRPr="00723DA9">
        <w:rPr>
          <w:rFonts w:ascii="Times New Roman" w:eastAsia="宋体" w:hAnsi="Times New Roman" w:cs="Times New Roman"/>
          <w:sz w:val="24"/>
          <w:szCs w:val="24"/>
        </w:rPr>
        <w:t>Chapter</w:t>
      </w:r>
      <w:r w:rsidR="00162B09" w:rsidRPr="00723DA9">
        <w:rPr>
          <w:rFonts w:ascii="Times New Roman" w:eastAsia="宋体" w:hAnsi="Times New Roman" w:cs="Times New Roman"/>
          <w:sz w:val="24"/>
          <w:szCs w:val="24"/>
        </w:rPr>
        <w:t xml:space="preserve"> 2.5</w:t>
      </w:r>
      <w:r w:rsidRPr="00723DA9">
        <w:rPr>
          <w:rFonts w:ascii="Times New Roman" w:eastAsia="宋体" w:hAnsi="Times New Roman" w:cs="Times New Roman"/>
          <w:sz w:val="24"/>
          <w:szCs w:val="24"/>
        </w:rPr>
        <w:t xml:space="preserve">.  These updated control and ensemble forecasts will be used as the background for the next DA.  To solve the non-overlapping domain issue associated with the moving nests for the </w:t>
      </w:r>
      <w:proofErr w:type="spellStart"/>
      <w:r w:rsidR="008E2227">
        <w:rPr>
          <w:rFonts w:ascii="Times New Roman" w:eastAsia="宋体" w:hAnsi="Times New Roman" w:cs="Times New Roman"/>
          <w:sz w:val="24"/>
          <w:szCs w:val="24"/>
        </w:rPr>
        <w:t>EnVar</w:t>
      </w:r>
      <w:proofErr w:type="spellEnd"/>
      <w:r w:rsidRPr="00723DA9">
        <w:rPr>
          <w:rFonts w:ascii="Times New Roman" w:eastAsia="宋体" w:hAnsi="Times New Roman" w:cs="Times New Roman"/>
          <w:sz w:val="24"/>
          <w:szCs w:val="24"/>
        </w:rPr>
        <w:t xml:space="preserve"> DA, the newly developed directed moving nest strategy is adopted during cycled ensemble and control forecasts following </w:t>
      </w:r>
      <w:r w:rsidR="00E22E12" w:rsidRPr="00723DA9">
        <w:rPr>
          <w:rFonts w:ascii="Times New Roman" w:eastAsia="宋体" w:hAnsi="Times New Roman" w:cs="Times New Roman"/>
          <w:sz w:val="24"/>
          <w:szCs w:val="24"/>
        </w:rPr>
        <w:t>Chapter</w:t>
      </w:r>
      <w:r w:rsidR="00162B09" w:rsidRPr="00723DA9">
        <w:rPr>
          <w:rFonts w:ascii="Times New Roman" w:eastAsia="宋体" w:hAnsi="Times New Roman" w:cs="Times New Roman"/>
          <w:sz w:val="24"/>
          <w:szCs w:val="24"/>
        </w:rPr>
        <w:t xml:space="preserve"> 2.1</w:t>
      </w:r>
      <w:r w:rsidRPr="00723DA9">
        <w:rPr>
          <w:rFonts w:ascii="Times New Roman" w:eastAsia="宋体" w:hAnsi="Times New Roman" w:cs="Times New Roman"/>
          <w:sz w:val="24"/>
          <w:szCs w:val="24"/>
        </w:rPr>
        <w:t xml:space="preserve">. </w:t>
      </w:r>
    </w:p>
    <w:p w14:paraId="25C0537D" w14:textId="3B912A34" w:rsidR="00C56823" w:rsidRPr="00723DA9" w:rsidRDefault="00C56823"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At the DA stage, a 40-member analysis on the 6-km grid is first produced by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based on the relocated HWRF background ensemble forecast.  Next, the modified control analysis on the 2- and 6-km domains is produced by the 3DEnVar using the same HWRF ensemble and the </w:t>
      </w:r>
      <w:r w:rsidRPr="00723DA9">
        <w:rPr>
          <w:rFonts w:ascii="Times New Roman" w:eastAsia="宋体" w:hAnsi="Times New Roman" w:cs="Times New Roman"/>
          <w:sz w:val="24"/>
          <w:szCs w:val="24"/>
        </w:rPr>
        <w:lastRenderedPageBreak/>
        <w:t xml:space="preserve">ACV method (e.g. Wang et al. 2007; Wang 2010; </w:t>
      </w:r>
      <w:r w:rsidRPr="00723DA9">
        <w:rPr>
          <w:rFonts w:ascii="Times New Roman" w:eastAsia="宋体" w:hAnsi="Times New Roman" w:cs="Times New Roman"/>
          <w:sz w:val="24"/>
          <w:szCs w:val="24"/>
        </w:rPr>
        <w:fldChar w:fldCharType="begin" w:fldLock="1"/>
      </w:r>
      <w:r w:rsidR="002E0A45" w:rsidRPr="00723DA9">
        <w:rPr>
          <w:rFonts w:ascii="Times New Roman" w:eastAsia="宋体" w:hAnsi="Times New Roman" w:cs="Times New Roman"/>
          <w:sz w:val="24"/>
          <w:szCs w:val="24"/>
        </w:rPr>
        <w:instrText>ADDIN CSL_CITATION {"citationItems":[{"id":"ITEM-1","itemData":{"DOI":"10.1175/MWR-D-12-00141.1","ISSN":"0027-0644","author":[{"dropping-particle":"","family":"Wang","given":"Xuguang","non-dropping-particle":"","parse-names":false,"suffix":""},{"dropping-particle":"","family":"Parrish","given":"David","non-dropping-particle":"","parse-names":false,"suffix":""},{"dropping-particle":"","family":"Kleist","given":"Daryl","non-dropping-particle":"","parse-names":false,"suffix":""},{"dropping-particle":"","family":"Whitaker","given":"Jeffrey","non-dropping-particle":"","parse-names":false,"suffix":""}],"container-title":"Monthly Weather Review","id":"ITEM-1","issue":"11","issued":{"date-parts":[["2013"]]},"page":"4098-4117","title":"GSI 3DVar-Based Ensemble–Variational Hybrid Data Assimilation for NCEP Global Forecast System: Single-Resolution Experiments","type":"article-journal","volume":"141"},"uris":["http://www.mendeley.com/documents/?uuid=32b6d9cf-94de-43b1-804c-021d7bbf809d"]}],"mendeley":{"formattedCitation":"(Wang et al. 2013)","manualFormatting":"Wang et al. 2013","plainTextFormattedCitation":"(Wang et al. 2013)","previouslyFormattedCitation":"(Wang et al. 2013)"},"properties":{"noteIndex":0},"schema":"https://github.com/citation-style-language/schema/raw/master/csl-citation.json"}</w:instrText>
      </w:r>
      <w:r w:rsidRPr="00723DA9">
        <w:rPr>
          <w:rFonts w:ascii="Times New Roman" w:eastAsia="宋体" w:hAnsi="Times New Roman" w:cs="Times New Roman"/>
          <w:sz w:val="24"/>
          <w:szCs w:val="24"/>
        </w:rPr>
        <w:fldChar w:fldCharType="separate"/>
      </w:r>
      <w:r w:rsidRPr="00723DA9">
        <w:rPr>
          <w:rFonts w:ascii="Times New Roman" w:eastAsia="宋体" w:hAnsi="Times New Roman" w:cs="Times New Roman"/>
          <w:noProof/>
          <w:sz w:val="24"/>
          <w:szCs w:val="24"/>
        </w:rPr>
        <w:t>Wang et al. 2013</w:t>
      </w:r>
      <w:r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Then 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mean on the 6-km grid is replaced with the 6-km </w:t>
      </w:r>
      <w:r w:rsidR="001F0515">
        <w:rPr>
          <w:rFonts w:ascii="Times New Roman" w:eastAsia="宋体" w:hAnsi="Times New Roman" w:cs="Times New Roman"/>
          <w:sz w:val="24"/>
          <w:szCs w:val="24"/>
        </w:rPr>
        <w:t>DA</w:t>
      </w:r>
      <w:r w:rsidRPr="00723DA9">
        <w:rPr>
          <w:rFonts w:ascii="Times New Roman" w:eastAsia="宋体" w:hAnsi="Times New Roman" w:cs="Times New Roman"/>
          <w:sz w:val="24"/>
          <w:szCs w:val="24"/>
        </w:rPr>
        <w:t xml:space="preserve"> analysis to re-center 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ensemble.  During re-centering, the ensemble mean is replaced by the control analysis.  After re-centering, the outermost HWRF domain on the 18-km grid is replaced by the GFS control and ensemble analyses. Similar re-centering is adopted for the global hybrid DA system (Wang et al. 2013).</w:t>
      </w:r>
    </w:p>
    <w:p w14:paraId="5E4FB01C" w14:textId="217D073D" w:rsidR="00C56823" w:rsidRPr="00723DA9" w:rsidRDefault="00C56823" w:rsidP="00771F99">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After the DA stage, the updated analyses are used to produce background forecasts for the next DA cycle.  For example, a 9-hour deterministic forecast is initialized from the </w:t>
      </w:r>
      <w:r w:rsidR="001F0515">
        <w:rPr>
          <w:rFonts w:ascii="Times New Roman" w:eastAsia="宋体" w:hAnsi="Times New Roman" w:cs="Times New Roman"/>
          <w:sz w:val="24"/>
          <w:szCs w:val="24"/>
        </w:rPr>
        <w:t>DA</w:t>
      </w:r>
      <w:r w:rsidRPr="00723DA9">
        <w:rPr>
          <w:rFonts w:ascii="Times New Roman" w:eastAsia="宋体" w:hAnsi="Times New Roman" w:cs="Times New Roman"/>
          <w:sz w:val="24"/>
          <w:szCs w:val="24"/>
        </w:rPr>
        <w:t xml:space="preserve"> analysis on the </w:t>
      </w:r>
      <w:bookmarkStart w:id="139" w:name="OLE_LINK21"/>
      <w:r w:rsidRPr="00723DA9">
        <w:rPr>
          <w:rFonts w:ascii="Times New Roman" w:eastAsia="宋体" w:hAnsi="Times New Roman" w:cs="Times New Roman"/>
          <w:sz w:val="24"/>
          <w:szCs w:val="24"/>
        </w:rPr>
        <w:t>18/6/2-km grid</w:t>
      </w:r>
      <w:bookmarkEnd w:id="139"/>
      <w:r w:rsidRPr="00723DA9">
        <w:rPr>
          <w:rFonts w:ascii="Times New Roman" w:eastAsia="宋体" w:hAnsi="Times New Roman" w:cs="Times New Roman"/>
          <w:sz w:val="24"/>
          <w:szCs w:val="24"/>
        </w:rPr>
        <w:t xml:space="preserve">, and a 6-hour 40-member ensemble background forecast is </w:t>
      </w:r>
      <w:bookmarkStart w:id="140" w:name="OLE_LINK20"/>
      <w:r w:rsidRPr="00723DA9">
        <w:rPr>
          <w:rFonts w:ascii="Times New Roman" w:eastAsia="宋体" w:hAnsi="Times New Roman" w:cs="Times New Roman"/>
          <w:sz w:val="24"/>
          <w:szCs w:val="24"/>
        </w:rPr>
        <w:t xml:space="preserve">initialized from </w:t>
      </w:r>
      <w:bookmarkEnd w:id="140"/>
      <w:r w:rsidRPr="00723DA9">
        <w:rPr>
          <w:rFonts w:ascii="Times New Roman" w:eastAsia="宋体" w:hAnsi="Times New Roman" w:cs="Times New Roman"/>
          <w:sz w:val="24"/>
          <w:szCs w:val="24"/>
        </w:rPr>
        <w:t xml:space="preserve">the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 analysis on the 18/6-km grids.  The directed moving nest strategy is also applied during the forecasts following Lu et al. </w:t>
      </w:r>
      <w:r w:rsidR="002E0A45" w:rsidRPr="00723DA9">
        <w:rPr>
          <w:rFonts w:ascii="Times New Roman" w:eastAsia="宋体" w:hAnsi="Times New Roman" w:cs="Times New Roman"/>
          <w:sz w:val="24"/>
          <w:szCs w:val="24"/>
        </w:rPr>
        <w:t>(</w:t>
      </w:r>
      <w:r w:rsidRPr="00723DA9">
        <w:rPr>
          <w:rFonts w:ascii="Times New Roman" w:eastAsia="宋体" w:hAnsi="Times New Roman" w:cs="Times New Roman"/>
          <w:sz w:val="24"/>
          <w:szCs w:val="24"/>
        </w:rPr>
        <w:t>2017</w:t>
      </w:r>
      <w:r w:rsidR="002E0A45" w:rsidRPr="00723DA9">
        <w:rPr>
          <w:rFonts w:ascii="Times New Roman" w:eastAsia="宋体" w:hAnsi="Times New Roman" w:cs="Times New Roman"/>
          <w:sz w:val="24"/>
          <w:szCs w:val="24"/>
        </w:rPr>
        <w:t>)</w:t>
      </w:r>
      <w:r w:rsidRPr="00723DA9">
        <w:rPr>
          <w:rFonts w:ascii="Times New Roman" w:eastAsia="宋体" w:hAnsi="Times New Roman" w:cs="Times New Roman"/>
          <w:sz w:val="24"/>
          <w:szCs w:val="24"/>
        </w:rPr>
        <w:t xml:space="preserve">, and VR and VM procedures are conducted before applying the next DA stage.  Meanwhile, an independent single deterministic 120-h free forecast is initialized from the </w:t>
      </w:r>
      <w:r w:rsidR="001F0515">
        <w:rPr>
          <w:rFonts w:ascii="Times New Roman" w:eastAsia="宋体" w:hAnsi="Times New Roman" w:cs="Times New Roman"/>
          <w:sz w:val="24"/>
          <w:szCs w:val="24"/>
        </w:rPr>
        <w:t>DA</w:t>
      </w:r>
      <w:r w:rsidRPr="00723DA9">
        <w:rPr>
          <w:rFonts w:ascii="Times New Roman" w:eastAsia="宋体" w:hAnsi="Times New Roman" w:cs="Times New Roman"/>
          <w:sz w:val="24"/>
          <w:szCs w:val="24"/>
        </w:rPr>
        <w:t xml:space="preserve"> analysis on the 18/6/2-km grid using HWRF’s original vortex-following strategy.</w:t>
      </w:r>
      <w:r w:rsidRPr="00723DA9">
        <w:rPr>
          <w:rFonts w:ascii="Times New Roman" w:hAnsi="Times New Roman" w:cs="Times New Roman"/>
          <w:sz w:val="24"/>
          <w:szCs w:val="24"/>
        </w:rPr>
        <w:t xml:space="preserve">  </w:t>
      </w:r>
      <w:r w:rsidRPr="00723DA9">
        <w:rPr>
          <w:rFonts w:ascii="Times New Roman" w:eastAsia="宋体" w:hAnsi="Times New Roman" w:cs="Times New Roman"/>
          <w:sz w:val="24"/>
          <w:szCs w:val="24"/>
        </w:rPr>
        <w:t>The above DA and forecast cycles are continuously repeated until the end of the storm.  This cycled, self-consistent hybrid DA system was not implemented to operational HWRF until 2017.  However, the same operational HWRF model in 2015 is used as a baseline in this study.</w:t>
      </w:r>
      <w:bookmarkStart w:id="141" w:name="OLE_LINK85"/>
      <w:r w:rsidRPr="00723DA9">
        <w:rPr>
          <w:rFonts w:ascii="Times New Roman" w:eastAsia="宋体" w:hAnsi="Times New Roman" w:cs="Times New Roman"/>
          <w:sz w:val="24"/>
          <w:szCs w:val="24"/>
        </w:rPr>
        <w:t xml:space="preserve"> </w:t>
      </w:r>
    </w:p>
    <w:p w14:paraId="322409E0" w14:textId="762C759B" w:rsidR="00C56823" w:rsidRPr="00723DA9" w:rsidRDefault="00C56823" w:rsidP="00A67154">
      <w:pPr>
        <w:pStyle w:val="Heading3"/>
        <w:numPr>
          <w:ilvl w:val="2"/>
          <w:numId w:val="21"/>
        </w:numPr>
        <w:spacing w:before="160" w:after="160" w:line="480" w:lineRule="auto"/>
        <w:rPr>
          <w:rFonts w:ascii="Times New Roman" w:hAnsi="Times New Roman" w:cs="Times New Roman"/>
          <w:b/>
          <w:bCs/>
          <w:i/>
          <w:iCs/>
          <w:color w:val="auto"/>
        </w:rPr>
      </w:pPr>
      <w:bookmarkStart w:id="142" w:name="_Toc21623994"/>
      <w:bookmarkEnd w:id="141"/>
      <w:r w:rsidRPr="00723DA9">
        <w:rPr>
          <w:rFonts w:ascii="Times New Roman" w:hAnsi="Times New Roman" w:cs="Times New Roman"/>
          <w:b/>
          <w:bCs/>
          <w:i/>
          <w:iCs/>
          <w:color w:val="auto"/>
        </w:rPr>
        <w:t>HWRF Model Configuration</w:t>
      </w:r>
      <w:bookmarkEnd w:id="142"/>
    </w:p>
    <w:p w14:paraId="05C67EB6" w14:textId="77777777" w:rsidR="005F2AE0" w:rsidRPr="00723DA9" w:rsidRDefault="005F2AE0" w:rsidP="00771F99">
      <w:pPr>
        <w:spacing w:after="0" w:line="480" w:lineRule="auto"/>
        <w:rPr>
          <w:rFonts w:ascii="Times New Roman" w:eastAsia="宋体" w:hAnsi="Times New Roman" w:cs="Times New Roman"/>
          <w:sz w:val="24"/>
          <w:szCs w:val="24"/>
        </w:rPr>
      </w:pPr>
      <w:r w:rsidRPr="00723DA9">
        <w:rPr>
          <w:rFonts w:ascii="Times New Roman" w:eastAsia="宋体" w:hAnsi="Times New Roman" w:cs="Times New Roman"/>
          <w:sz w:val="24"/>
          <w:szCs w:val="24"/>
        </w:rPr>
        <w:br w:type="page"/>
      </w:r>
    </w:p>
    <w:p w14:paraId="1C0F05B4" w14:textId="6F7706B3" w:rsidR="00CF154B" w:rsidRPr="00723DA9" w:rsidRDefault="005148EF" w:rsidP="00966FCE">
      <w:pPr>
        <w:pStyle w:val="Captions"/>
        <w:spacing w:after="240"/>
        <w:rPr>
          <w:rFonts w:cs="Times New Roman"/>
        </w:rPr>
      </w:pPr>
      <w:bookmarkStart w:id="143" w:name="_Toc21629871"/>
      <w:r w:rsidRPr="00723DA9">
        <w:rPr>
          <w:rFonts w:cs="Times New Roman"/>
        </w:rPr>
        <w:lastRenderedPageBreak/>
        <w:t xml:space="preserve">Table </w:t>
      </w:r>
      <w:r w:rsidR="00410356" w:rsidRPr="00723DA9">
        <w:rPr>
          <w:rFonts w:cs="Times New Roman"/>
        </w:rPr>
        <w:t>4.</w:t>
      </w:r>
      <w:r w:rsidR="00771F99" w:rsidRPr="00723DA9">
        <w:rPr>
          <w:rFonts w:cs="Times New Roman"/>
        </w:rPr>
        <w:fldChar w:fldCharType="begin"/>
      </w:r>
      <w:r w:rsidR="00771F99" w:rsidRPr="00723DA9">
        <w:rPr>
          <w:rFonts w:cs="Times New Roman"/>
        </w:rPr>
        <w:instrText xml:space="preserve"> SEQ Table \* ARABIC \s 1 </w:instrText>
      </w:r>
      <w:r w:rsidR="00771F99" w:rsidRPr="00723DA9">
        <w:rPr>
          <w:rFonts w:cs="Times New Roman"/>
        </w:rPr>
        <w:fldChar w:fldCharType="separate"/>
      </w:r>
      <w:r w:rsidR="00C350DE">
        <w:rPr>
          <w:rFonts w:cs="Times New Roman"/>
          <w:noProof/>
        </w:rPr>
        <w:t>1</w:t>
      </w:r>
      <w:r w:rsidR="00771F99" w:rsidRPr="00723DA9">
        <w:rPr>
          <w:rFonts w:cs="Times New Roman"/>
          <w:noProof/>
        </w:rPr>
        <w:fldChar w:fldCharType="end"/>
      </w:r>
      <w:r w:rsidR="00410356" w:rsidRPr="00723DA9">
        <w:rPr>
          <w:rFonts w:cs="Times New Roman"/>
        </w:rPr>
        <w:t xml:space="preserve"> </w:t>
      </w:r>
      <w:r w:rsidR="00CF154B" w:rsidRPr="00723DA9">
        <w:rPr>
          <w:rFonts w:cs="Times New Roman"/>
        </w:rPr>
        <w:t>List of experiments and their descriptions.</w:t>
      </w:r>
      <w:bookmarkEnd w:id="143"/>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0"/>
        <w:gridCol w:w="1085"/>
        <w:gridCol w:w="1160"/>
        <w:gridCol w:w="810"/>
        <w:gridCol w:w="360"/>
        <w:gridCol w:w="360"/>
        <w:gridCol w:w="910"/>
        <w:gridCol w:w="2160"/>
        <w:gridCol w:w="1530"/>
      </w:tblGrid>
      <w:tr w:rsidR="00CF154B" w:rsidRPr="0009534B" w14:paraId="51A7E5EE" w14:textId="77777777" w:rsidTr="00B710F6">
        <w:trPr>
          <w:trHeight w:val="253"/>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075A9C71"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Experiment Name</w:t>
            </w:r>
          </w:p>
        </w:tc>
        <w:tc>
          <w:tcPr>
            <w:tcW w:w="1085"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3A304A8E"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Innermost and Intermediate Domains</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9A90991"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Outermost Domain</w:t>
            </w:r>
          </w:p>
        </w:tc>
        <w:tc>
          <w:tcPr>
            <w:tcW w:w="810" w:type="dxa"/>
            <w:tcBorders>
              <w:top w:val="single" w:sz="4" w:space="0" w:color="auto"/>
              <w:left w:val="single" w:sz="4" w:space="0" w:color="auto"/>
              <w:bottom w:val="single" w:sz="4" w:space="0" w:color="auto"/>
              <w:right w:val="single" w:sz="4" w:space="0" w:color="auto"/>
            </w:tcBorders>
            <w:vAlign w:val="center"/>
            <w:hideMark/>
          </w:tcPr>
          <w:p w14:paraId="14E0F3AB"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Model Resolution</w:t>
            </w:r>
          </w:p>
        </w:tc>
        <w:tc>
          <w:tcPr>
            <w:tcW w:w="3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F0A17E"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VM</w:t>
            </w:r>
          </w:p>
        </w:tc>
        <w:tc>
          <w:tcPr>
            <w:tcW w:w="360" w:type="dxa"/>
            <w:tcBorders>
              <w:top w:val="single" w:sz="4" w:space="0" w:color="auto"/>
              <w:left w:val="single" w:sz="4" w:space="0" w:color="auto"/>
              <w:bottom w:val="single" w:sz="4" w:space="0" w:color="auto"/>
              <w:right w:val="single" w:sz="4" w:space="0" w:color="auto"/>
            </w:tcBorders>
            <w:vAlign w:val="center"/>
            <w:hideMark/>
          </w:tcPr>
          <w:p w14:paraId="6E70255A"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VR</w:t>
            </w:r>
          </w:p>
        </w:tc>
        <w:tc>
          <w:tcPr>
            <w:tcW w:w="910" w:type="dxa"/>
            <w:tcBorders>
              <w:top w:val="single" w:sz="4" w:space="0" w:color="auto"/>
              <w:left w:val="single" w:sz="4" w:space="0" w:color="auto"/>
              <w:bottom w:val="single" w:sz="4" w:space="0" w:color="auto"/>
              <w:right w:val="single" w:sz="4" w:space="0" w:color="auto"/>
            </w:tcBorders>
            <w:vAlign w:val="center"/>
            <w:hideMark/>
          </w:tcPr>
          <w:p w14:paraId="5F55F1F1"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Basic Model Physics</w:t>
            </w:r>
          </w:p>
        </w:tc>
        <w:tc>
          <w:tcPr>
            <w:tcW w:w="21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2F9B50"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Observations Assimilated</w:t>
            </w:r>
          </w:p>
        </w:tc>
        <w:tc>
          <w:tcPr>
            <w:tcW w:w="153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665A6D"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Model Physics Change</w:t>
            </w:r>
          </w:p>
        </w:tc>
      </w:tr>
      <w:tr w:rsidR="00CF154B" w:rsidRPr="0009534B" w14:paraId="186B310D" w14:textId="77777777" w:rsidTr="00B710F6">
        <w:trPr>
          <w:trHeight w:val="46"/>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312CCF9A" w14:textId="77777777" w:rsidR="00CF154B" w:rsidRPr="0009534B" w:rsidRDefault="00CF154B" w:rsidP="00966FCE">
            <w:pPr>
              <w:spacing w:after="0" w:line="240" w:lineRule="auto"/>
              <w:jc w:val="center"/>
              <w:rPr>
                <w:rFonts w:ascii="Times New Roman" w:hAnsi="Times New Roman" w:cs="Times New Roman"/>
                <w:sz w:val="20"/>
                <w:szCs w:val="20"/>
              </w:rPr>
            </w:pPr>
            <w:proofErr w:type="spellStart"/>
            <w:r w:rsidRPr="0009534B">
              <w:rPr>
                <w:rFonts w:ascii="Times New Roman" w:hAnsi="Times New Roman" w:cs="Times New Roman"/>
                <w:sz w:val="20"/>
                <w:szCs w:val="20"/>
              </w:rPr>
              <w:t>NoDA</w:t>
            </w:r>
            <w:proofErr w:type="spellEnd"/>
            <w:r w:rsidRPr="0009534B">
              <w:rPr>
                <w:rFonts w:ascii="Times New Roman" w:hAnsi="Times New Roman" w:cs="Times New Roman"/>
                <w:sz w:val="20"/>
                <w:szCs w:val="20"/>
              </w:rPr>
              <w:t>-warm</w:t>
            </w:r>
          </w:p>
        </w:tc>
        <w:tc>
          <w:tcPr>
            <w:tcW w:w="1085" w:type="dxa"/>
            <w:vMerge w:val="restart"/>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1F250F41"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6-hour control forecast initialized from 1200 UTC 22 October 2015 using the GSI-based, continuously cycled, dual-resolution hybrid ensemble-variational (</w:t>
            </w:r>
            <w:proofErr w:type="spellStart"/>
            <w:r w:rsidRPr="0009534B">
              <w:rPr>
                <w:rFonts w:ascii="Times New Roman" w:hAnsi="Times New Roman" w:cs="Times New Roman"/>
                <w:sz w:val="20"/>
                <w:szCs w:val="20"/>
              </w:rPr>
              <w:t>EnVar</w:t>
            </w:r>
            <w:proofErr w:type="spellEnd"/>
            <w:r w:rsidRPr="0009534B">
              <w:rPr>
                <w:rFonts w:ascii="Times New Roman" w:hAnsi="Times New Roman" w:cs="Times New Roman"/>
                <w:sz w:val="20"/>
                <w:szCs w:val="20"/>
              </w:rPr>
              <w:t>) DA system for HWRF (Lu et al., 2017b) valid at 1800 UTC 22 October 2015</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BC6EEF4"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 xml:space="preserve">6-hour control forecast initialized from 1200 UTC 22 October 2015 </w:t>
            </w:r>
          </w:p>
        </w:tc>
        <w:tc>
          <w:tcPr>
            <w:tcW w:w="810" w:type="dxa"/>
            <w:vMerge w:val="restart"/>
            <w:tcBorders>
              <w:top w:val="single" w:sz="4" w:space="0" w:color="auto"/>
              <w:left w:val="single" w:sz="4" w:space="0" w:color="auto"/>
              <w:bottom w:val="single" w:sz="4" w:space="0" w:color="auto"/>
              <w:right w:val="single" w:sz="4" w:space="0" w:color="auto"/>
            </w:tcBorders>
            <w:vAlign w:val="center"/>
            <w:hideMark/>
          </w:tcPr>
          <w:p w14:paraId="49C9E546"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18/6/2-km</w:t>
            </w:r>
          </w:p>
        </w:tc>
        <w:tc>
          <w:tcPr>
            <w:tcW w:w="36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6D9827"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No</w:t>
            </w:r>
          </w:p>
        </w:tc>
        <w:tc>
          <w:tcPr>
            <w:tcW w:w="360" w:type="dxa"/>
            <w:tcBorders>
              <w:top w:val="single" w:sz="4" w:space="0" w:color="auto"/>
              <w:left w:val="single" w:sz="4" w:space="0" w:color="auto"/>
              <w:bottom w:val="single" w:sz="4" w:space="0" w:color="auto"/>
              <w:right w:val="single" w:sz="4" w:space="0" w:color="auto"/>
            </w:tcBorders>
            <w:vAlign w:val="center"/>
            <w:hideMark/>
          </w:tcPr>
          <w:p w14:paraId="4472F552"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No</w:t>
            </w:r>
          </w:p>
        </w:tc>
        <w:tc>
          <w:tcPr>
            <w:tcW w:w="910" w:type="dxa"/>
            <w:vMerge w:val="restart"/>
            <w:tcBorders>
              <w:top w:val="single" w:sz="4" w:space="0" w:color="auto"/>
              <w:left w:val="single" w:sz="4" w:space="0" w:color="auto"/>
              <w:bottom w:val="single" w:sz="4" w:space="0" w:color="auto"/>
              <w:right w:val="single" w:sz="4" w:space="0" w:color="auto"/>
            </w:tcBorders>
            <w:vAlign w:val="center"/>
            <w:hideMark/>
          </w:tcPr>
          <w:p w14:paraId="093A2CE0"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Ferrier-</w:t>
            </w:r>
            <w:proofErr w:type="spellStart"/>
            <w:r w:rsidRPr="0009534B">
              <w:rPr>
                <w:rFonts w:ascii="Times New Roman" w:hAnsi="Times New Roman" w:cs="Times New Roman"/>
                <w:sz w:val="20"/>
                <w:szCs w:val="20"/>
              </w:rPr>
              <w:t>Aligo</w:t>
            </w:r>
            <w:proofErr w:type="spellEnd"/>
            <w:r w:rsidRPr="0009534B">
              <w:rPr>
                <w:rFonts w:ascii="Times New Roman" w:hAnsi="Times New Roman" w:cs="Times New Roman"/>
                <w:sz w:val="20"/>
                <w:szCs w:val="20"/>
              </w:rPr>
              <w:t xml:space="preserve"> microphysics scheme; simplified Arakawa-Schubert (SAS) cumulus scheme; HWRF modified surface layer scheme; Noah land surface model; HWRF PBL scheme; RRTMG longwave and shortwave radiation schemes</w:t>
            </w:r>
          </w:p>
        </w:tc>
        <w:tc>
          <w:tcPr>
            <w:tcW w:w="216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D837F0"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No</w:t>
            </w:r>
          </w:p>
        </w:tc>
        <w:tc>
          <w:tcPr>
            <w:tcW w:w="153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E6AC41"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No</w:t>
            </w:r>
          </w:p>
        </w:tc>
      </w:tr>
      <w:tr w:rsidR="00CF154B" w:rsidRPr="0009534B" w14:paraId="65C73116" w14:textId="77777777" w:rsidTr="00B710F6">
        <w:trPr>
          <w:trHeight w:val="46"/>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634587BA" w14:textId="77777777" w:rsidR="00CF154B" w:rsidRPr="0009534B" w:rsidRDefault="00CF154B" w:rsidP="00966FCE">
            <w:pPr>
              <w:spacing w:after="0" w:line="240" w:lineRule="auto"/>
              <w:jc w:val="center"/>
              <w:rPr>
                <w:rFonts w:ascii="Times New Roman" w:hAnsi="Times New Roman" w:cs="Times New Roman"/>
                <w:sz w:val="20"/>
                <w:szCs w:val="20"/>
              </w:rPr>
            </w:pPr>
            <w:proofErr w:type="spellStart"/>
            <w:r w:rsidRPr="0009534B">
              <w:rPr>
                <w:rFonts w:ascii="Times New Roman" w:hAnsi="Times New Roman" w:cs="Times New Roman"/>
                <w:sz w:val="20"/>
                <w:szCs w:val="20"/>
              </w:rPr>
              <w:t>NoDA</w:t>
            </w:r>
            <w:proofErr w:type="spellEnd"/>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7D74D9C3" w14:textId="77777777" w:rsidR="00CF154B" w:rsidRPr="0009534B" w:rsidRDefault="00CF154B" w:rsidP="00966FCE">
            <w:pPr>
              <w:spacing w:after="0" w:line="240" w:lineRule="auto"/>
              <w:rPr>
                <w:rFonts w:ascii="Times New Roman" w:hAnsi="Times New Roman" w:cs="Times New Roman"/>
                <w:sz w:val="20"/>
                <w:szCs w:val="20"/>
              </w:rPr>
            </w:pPr>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14:paraId="06D2FCF6"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GFS analysis valid at 1800 UTC 22 October 2015</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73F2B3A"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7D6A434E"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val="restart"/>
            <w:tcBorders>
              <w:top w:val="single" w:sz="4" w:space="0" w:color="auto"/>
              <w:left w:val="single" w:sz="4" w:space="0" w:color="auto"/>
              <w:bottom w:val="single" w:sz="4" w:space="0" w:color="auto"/>
              <w:right w:val="single" w:sz="4" w:space="0" w:color="auto"/>
            </w:tcBorders>
            <w:vAlign w:val="center"/>
            <w:hideMark/>
          </w:tcPr>
          <w:p w14:paraId="70A51579"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Yes</w:t>
            </w: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0835B2D4" w14:textId="77777777" w:rsidR="00CF154B" w:rsidRPr="0009534B" w:rsidRDefault="00CF154B" w:rsidP="00966FCE">
            <w:pPr>
              <w:spacing w:after="0" w:line="240" w:lineRule="auto"/>
              <w:rPr>
                <w:rFonts w:ascii="Times New Roman" w:hAnsi="Times New Roman" w:cs="Times New Roman"/>
                <w:sz w:val="20"/>
                <w:szCs w:val="20"/>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0F1A29D6" w14:textId="77777777" w:rsidR="00CF154B" w:rsidRPr="0009534B" w:rsidRDefault="00CF154B" w:rsidP="00966FCE">
            <w:pPr>
              <w:spacing w:after="0" w:line="240" w:lineRule="auto"/>
              <w:rPr>
                <w:rFonts w:ascii="Times New Roman" w:hAnsi="Times New Roman" w:cs="Times New Roman"/>
                <w:sz w:val="20"/>
                <w:szCs w:val="2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9C3C0C5" w14:textId="77777777" w:rsidR="00CF154B" w:rsidRPr="0009534B" w:rsidRDefault="00CF154B" w:rsidP="00966FCE">
            <w:pPr>
              <w:spacing w:after="0" w:line="240" w:lineRule="auto"/>
              <w:rPr>
                <w:rFonts w:ascii="Times New Roman" w:hAnsi="Times New Roman" w:cs="Times New Roman"/>
                <w:sz w:val="20"/>
                <w:szCs w:val="20"/>
              </w:rPr>
            </w:pPr>
          </w:p>
        </w:tc>
      </w:tr>
      <w:tr w:rsidR="00CF154B" w:rsidRPr="0009534B" w14:paraId="6310BE6A" w14:textId="77777777" w:rsidTr="00B710F6">
        <w:trPr>
          <w:trHeight w:val="48"/>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25B30C02"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VM</w:t>
            </w:r>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60E07B98" w14:textId="77777777" w:rsidR="00CF154B" w:rsidRPr="0009534B" w:rsidRDefault="00CF154B" w:rsidP="00966FCE">
            <w:pPr>
              <w:spacing w:after="0" w:line="240" w:lineRule="auto"/>
              <w:rPr>
                <w:rFonts w:ascii="Times New Roman" w:hAnsi="Times New Roman" w:cs="Times New Roman"/>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1EF27261" w14:textId="77777777" w:rsidR="00CF154B" w:rsidRPr="0009534B" w:rsidRDefault="00CF154B" w:rsidP="00966FCE">
            <w:pPr>
              <w:spacing w:after="0" w:line="240" w:lineRule="auto"/>
              <w:rPr>
                <w:rFonts w:ascii="Times New Roman" w:hAnsi="Times New Roman" w:cs="Times New Roman"/>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561AA5E4"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5AED93"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Yes</w:t>
            </w: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565900C2" w14:textId="77777777" w:rsidR="00CF154B" w:rsidRPr="0009534B" w:rsidRDefault="00CF154B" w:rsidP="00966FCE">
            <w:pPr>
              <w:spacing w:after="0" w:line="240" w:lineRule="auto"/>
              <w:rPr>
                <w:rFonts w:ascii="Times New Roman" w:hAnsi="Times New Roman" w:cs="Times New Roman"/>
                <w:sz w:val="20"/>
                <w:szCs w:val="20"/>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2F7F02F2" w14:textId="77777777" w:rsidR="00CF154B" w:rsidRPr="0009534B" w:rsidRDefault="00CF154B" w:rsidP="00966FCE">
            <w:pPr>
              <w:spacing w:after="0" w:line="240" w:lineRule="auto"/>
              <w:rPr>
                <w:rFonts w:ascii="Times New Roman" w:hAnsi="Times New Roman" w:cs="Times New Roman"/>
                <w:sz w:val="20"/>
                <w:szCs w:val="20"/>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36A0CA0B" w14:textId="77777777" w:rsidR="00CF154B" w:rsidRPr="0009534B" w:rsidRDefault="00CF154B" w:rsidP="00966FCE">
            <w:pPr>
              <w:spacing w:after="0" w:line="240" w:lineRule="auto"/>
              <w:rPr>
                <w:rFonts w:ascii="Times New Roman" w:hAnsi="Times New Roman" w:cs="Times New Roman"/>
                <w:sz w:val="20"/>
                <w:szCs w:val="2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5173D073" w14:textId="77777777" w:rsidR="00CF154B" w:rsidRPr="0009534B" w:rsidRDefault="00CF154B" w:rsidP="00966FCE">
            <w:pPr>
              <w:spacing w:after="0" w:line="240" w:lineRule="auto"/>
              <w:rPr>
                <w:rFonts w:ascii="Times New Roman" w:hAnsi="Times New Roman" w:cs="Times New Roman"/>
                <w:sz w:val="20"/>
                <w:szCs w:val="20"/>
              </w:rPr>
            </w:pPr>
          </w:p>
        </w:tc>
      </w:tr>
      <w:tr w:rsidR="00CF154B" w:rsidRPr="0009534B" w14:paraId="41F33761" w14:textId="77777777" w:rsidTr="00B710F6">
        <w:trPr>
          <w:trHeight w:val="33"/>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1465E544"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DA</w:t>
            </w:r>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241925BD" w14:textId="77777777" w:rsidR="00CF154B" w:rsidRPr="0009534B" w:rsidRDefault="00CF154B" w:rsidP="00966FCE">
            <w:pPr>
              <w:spacing w:after="0" w:line="240" w:lineRule="auto"/>
              <w:rPr>
                <w:rFonts w:ascii="Times New Roman" w:hAnsi="Times New Roman" w:cs="Times New Roman"/>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73C99ACD" w14:textId="77777777" w:rsidR="00CF154B" w:rsidRPr="0009534B" w:rsidRDefault="00CF154B" w:rsidP="00966FCE">
            <w:pPr>
              <w:spacing w:after="0" w:line="240" w:lineRule="auto"/>
              <w:rPr>
                <w:rFonts w:ascii="Times New Roman" w:hAnsi="Times New Roman" w:cs="Times New Roman"/>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8448DD5"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01D276"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No</w:t>
            </w: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75F3C78A" w14:textId="77777777" w:rsidR="00CF154B" w:rsidRPr="0009534B" w:rsidRDefault="00CF154B" w:rsidP="00966FCE">
            <w:pPr>
              <w:spacing w:after="0" w:line="240" w:lineRule="auto"/>
              <w:rPr>
                <w:rFonts w:ascii="Times New Roman" w:hAnsi="Times New Roman" w:cs="Times New Roman"/>
                <w:sz w:val="20"/>
                <w:szCs w:val="20"/>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243AEEB3" w14:textId="77777777" w:rsidR="00CF154B" w:rsidRPr="0009534B" w:rsidRDefault="00CF154B" w:rsidP="00966FCE">
            <w:pPr>
              <w:spacing w:after="0" w:line="240" w:lineRule="auto"/>
              <w:rPr>
                <w:rFonts w:ascii="Times New Roman" w:hAnsi="Times New Roman" w:cs="Times New Roman"/>
                <w:sz w:val="20"/>
                <w:szCs w:val="20"/>
              </w:rPr>
            </w:pPr>
          </w:p>
        </w:tc>
        <w:tc>
          <w:tcPr>
            <w:tcW w:w="216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E3FC5B"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TDR, flight level observations, SFMR, CIMSS AMV, HDSS dropsondes and operational observations (</w:t>
            </w:r>
            <w:bookmarkStart w:id="144" w:name="OLE_LINK5"/>
            <w:r w:rsidRPr="0009534B">
              <w:rPr>
                <w:rFonts w:ascii="Times New Roman" w:hAnsi="Times New Roman" w:cs="Times New Roman"/>
                <w:sz w:val="20"/>
                <w:szCs w:val="20"/>
              </w:rPr>
              <w:t xml:space="preserve">Radiosondes; </w:t>
            </w:r>
            <w:proofErr w:type="spellStart"/>
            <w:r w:rsidRPr="0009534B">
              <w:rPr>
                <w:rFonts w:ascii="Times New Roman" w:hAnsi="Times New Roman" w:cs="Times New Roman"/>
                <w:sz w:val="20"/>
                <w:szCs w:val="20"/>
              </w:rPr>
              <w:t>Dropwindsondes</w:t>
            </w:r>
            <w:proofErr w:type="spellEnd"/>
            <w:r w:rsidRPr="0009534B">
              <w:rPr>
                <w:rFonts w:ascii="Times New Roman" w:hAnsi="Times New Roman" w:cs="Times New Roman"/>
                <w:sz w:val="20"/>
                <w:szCs w:val="20"/>
              </w:rPr>
              <w:t xml:space="preserve">; Aircraft Reports; Surface Ship and Buoy Observations; Surface Observations over Land; </w:t>
            </w:r>
            <w:proofErr w:type="spellStart"/>
            <w:r w:rsidRPr="0009534B">
              <w:rPr>
                <w:rFonts w:ascii="Times New Roman" w:hAnsi="Times New Roman" w:cs="Times New Roman"/>
                <w:sz w:val="20"/>
                <w:szCs w:val="20"/>
              </w:rPr>
              <w:t>Pibal</w:t>
            </w:r>
            <w:proofErr w:type="spellEnd"/>
            <w:r w:rsidRPr="0009534B">
              <w:rPr>
                <w:rFonts w:ascii="Times New Roman" w:hAnsi="Times New Roman" w:cs="Times New Roman"/>
                <w:sz w:val="20"/>
                <w:szCs w:val="20"/>
              </w:rPr>
              <w:t xml:space="preserve"> Winds; Wind Profilers; Radar-derived Velocity Azimuth Display Wind; </w:t>
            </w:r>
            <w:proofErr w:type="spellStart"/>
            <w:r w:rsidRPr="0009534B">
              <w:rPr>
                <w:rFonts w:ascii="Times New Roman" w:hAnsi="Times New Roman" w:cs="Times New Roman"/>
                <w:sz w:val="20"/>
                <w:szCs w:val="20"/>
              </w:rPr>
              <w:t>WindSat</w:t>
            </w:r>
            <w:proofErr w:type="spellEnd"/>
            <w:r w:rsidRPr="0009534B">
              <w:rPr>
                <w:rFonts w:ascii="Times New Roman" w:hAnsi="Times New Roman" w:cs="Times New Roman"/>
                <w:sz w:val="20"/>
                <w:szCs w:val="20"/>
              </w:rPr>
              <w:t xml:space="preserve"> </w:t>
            </w:r>
            <w:proofErr w:type="spellStart"/>
            <w:r w:rsidRPr="0009534B">
              <w:rPr>
                <w:rFonts w:ascii="Times New Roman" w:hAnsi="Times New Roman" w:cs="Times New Roman"/>
                <w:sz w:val="20"/>
                <w:szCs w:val="20"/>
              </w:rPr>
              <w:t>Scatterometer</w:t>
            </w:r>
            <w:proofErr w:type="spellEnd"/>
            <w:r w:rsidRPr="0009534B">
              <w:rPr>
                <w:rFonts w:ascii="Times New Roman" w:hAnsi="Times New Roman" w:cs="Times New Roman"/>
                <w:sz w:val="20"/>
                <w:szCs w:val="20"/>
              </w:rPr>
              <w:t xml:space="preserve"> Winds; Integrated Precipitable Water derived from the Global Positioning System</w:t>
            </w:r>
            <w:bookmarkEnd w:id="144"/>
            <w:r w:rsidRPr="0009534B">
              <w:rPr>
                <w:rFonts w:ascii="Times New Roman" w:hAnsi="Times New Roman" w:cs="Times New Roman"/>
                <w:sz w:val="20"/>
                <w:szCs w:val="20"/>
              </w:rPr>
              <w:t>; satellite radiances from HIRS, AIRS, IASI, GOES, AMSU-A, MHS and ATMS)</w:t>
            </w: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5C54F2CB" w14:textId="77777777" w:rsidR="00CF154B" w:rsidRPr="0009534B" w:rsidRDefault="00CF154B" w:rsidP="00966FCE">
            <w:pPr>
              <w:spacing w:after="0" w:line="240" w:lineRule="auto"/>
              <w:rPr>
                <w:rFonts w:ascii="Times New Roman" w:hAnsi="Times New Roman" w:cs="Times New Roman"/>
                <w:sz w:val="20"/>
                <w:szCs w:val="20"/>
              </w:rPr>
            </w:pPr>
          </w:p>
        </w:tc>
      </w:tr>
      <w:tr w:rsidR="00CF154B" w:rsidRPr="0009534B" w14:paraId="27795A00" w14:textId="77777777" w:rsidTr="00B710F6">
        <w:trPr>
          <w:trHeight w:val="33"/>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2AA051B7"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DA-Hi</w:t>
            </w:r>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636BAC46" w14:textId="77777777" w:rsidR="00CF154B" w:rsidRPr="0009534B" w:rsidRDefault="00CF154B" w:rsidP="00966FCE">
            <w:pPr>
              <w:spacing w:after="0" w:line="240" w:lineRule="auto"/>
              <w:rPr>
                <w:rFonts w:ascii="Times New Roman" w:hAnsi="Times New Roman" w:cs="Times New Roman"/>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34BCEE9E" w14:textId="77777777" w:rsidR="00CF154B" w:rsidRPr="0009534B" w:rsidRDefault="00CF154B" w:rsidP="00966FCE">
            <w:pPr>
              <w:spacing w:after="0" w:line="240" w:lineRule="auto"/>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14:paraId="4F1B0089"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6/2/0.67-km</w:t>
            </w: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59F05924"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74989DF4" w14:textId="77777777" w:rsidR="00CF154B" w:rsidRPr="0009534B" w:rsidRDefault="00CF154B" w:rsidP="00966FCE">
            <w:pPr>
              <w:spacing w:after="0" w:line="240" w:lineRule="auto"/>
              <w:rPr>
                <w:rFonts w:ascii="Times New Roman" w:hAnsi="Times New Roman" w:cs="Times New Roman"/>
                <w:sz w:val="20"/>
                <w:szCs w:val="20"/>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1DF09EB7" w14:textId="77777777" w:rsidR="00CF154B" w:rsidRPr="0009534B" w:rsidRDefault="00CF154B" w:rsidP="00966FCE">
            <w:pPr>
              <w:spacing w:after="0" w:line="240" w:lineRule="auto"/>
              <w:rPr>
                <w:rFonts w:ascii="Times New Roman" w:hAnsi="Times New Roman" w:cs="Times New Roman"/>
                <w:sz w:val="20"/>
                <w:szCs w:val="20"/>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33059CBC" w14:textId="77777777" w:rsidR="00CF154B" w:rsidRPr="0009534B" w:rsidRDefault="00CF154B" w:rsidP="00966FCE">
            <w:pPr>
              <w:spacing w:after="0" w:line="240" w:lineRule="auto"/>
              <w:rPr>
                <w:rFonts w:ascii="Times New Roman" w:hAnsi="Times New Roman" w:cs="Times New Roman"/>
                <w:sz w:val="20"/>
                <w:szCs w:val="2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95AB25C" w14:textId="77777777" w:rsidR="00CF154B" w:rsidRPr="0009534B" w:rsidRDefault="00CF154B" w:rsidP="00966FCE">
            <w:pPr>
              <w:spacing w:after="0" w:line="240" w:lineRule="auto"/>
              <w:rPr>
                <w:rFonts w:ascii="Times New Roman" w:hAnsi="Times New Roman" w:cs="Times New Roman"/>
                <w:sz w:val="20"/>
                <w:szCs w:val="20"/>
              </w:rPr>
            </w:pPr>
          </w:p>
        </w:tc>
      </w:tr>
      <w:tr w:rsidR="00CF154B" w:rsidRPr="0009534B" w14:paraId="5CD69FFA" w14:textId="77777777" w:rsidTr="00B710F6">
        <w:trPr>
          <w:trHeight w:val="632"/>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757E7F19"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DA-HD</w:t>
            </w:r>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10DEDEC4" w14:textId="77777777" w:rsidR="00CF154B" w:rsidRPr="0009534B" w:rsidRDefault="00CF154B" w:rsidP="00966FCE">
            <w:pPr>
              <w:spacing w:after="0" w:line="240" w:lineRule="auto"/>
              <w:rPr>
                <w:rFonts w:ascii="Times New Roman" w:hAnsi="Times New Roman" w:cs="Times New Roman"/>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5114C245" w14:textId="77777777" w:rsidR="00CF154B" w:rsidRPr="0009534B" w:rsidRDefault="00CF154B" w:rsidP="00966FCE">
            <w:pPr>
              <w:spacing w:after="0" w:line="240" w:lineRule="auto"/>
              <w:rPr>
                <w:rFonts w:ascii="Times New Roman" w:hAnsi="Times New Roman" w:cs="Times New Roman"/>
                <w:sz w:val="20"/>
                <w:szCs w:val="20"/>
              </w:rPr>
            </w:pP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246DAC55"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18/6/2-km</w:t>
            </w:r>
          </w:p>
          <w:p w14:paraId="1E78F580" w14:textId="77777777" w:rsidR="00CF154B" w:rsidRPr="0009534B" w:rsidRDefault="00CF154B" w:rsidP="00966FCE">
            <w:pPr>
              <w:spacing w:after="0" w:line="240" w:lineRule="auto"/>
              <w:jc w:val="center"/>
              <w:rPr>
                <w:rFonts w:ascii="Times New Roman" w:hAnsi="Times New Roman" w:cs="Times New Roman"/>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216EE0F4"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35B8C5FC" w14:textId="77777777" w:rsidR="00CF154B" w:rsidRPr="0009534B" w:rsidRDefault="00CF154B" w:rsidP="00966FCE">
            <w:pPr>
              <w:spacing w:after="0" w:line="240" w:lineRule="auto"/>
              <w:rPr>
                <w:rFonts w:ascii="Times New Roman" w:hAnsi="Times New Roman" w:cs="Times New Roman"/>
                <w:sz w:val="20"/>
                <w:szCs w:val="20"/>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0C902A1E" w14:textId="77777777" w:rsidR="00CF154B" w:rsidRPr="0009534B" w:rsidRDefault="00CF154B" w:rsidP="00966FCE">
            <w:pPr>
              <w:spacing w:after="0" w:line="240" w:lineRule="auto"/>
              <w:rPr>
                <w:rFonts w:ascii="Times New Roman" w:hAnsi="Times New Roman" w:cs="Times New Roman"/>
                <w:sz w:val="20"/>
                <w:szCs w:val="20"/>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11AC8503" w14:textId="77777777" w:rsidR="00CF154B" w:rsidRPr="0009534B" w:rsidRDefault="00CF154B" w:rsidP="00966FCE">
            <w:pPr>
              <w:spacing w:after="0" w:line="240" w:lineRule="auto"/>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77BD7"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Reduced “</w:t>
            </w:r>
            <w:proofErr w:type="spellStart"/>
            <w:r w:rsidRPr="0009534B">
              <w:rPr>
                <w:rFonts w:ascii="Times New Roman" w:hAnsi="Times New Roman" w:cs="Times New Roman"/>
                <w:i/>
                <w:sz w:val="20"/>
                <w:szCs w:val="20"/>
              </w:rPr>
              <w:t>Coac</w:t>
            </w:r>
            <w:proofErr w:type="spellEnd"/>
            <w:r w:rsidRPr="0009534B">
              <w:rPr>
                <w:rFonts w:ascii="Times New Roman" w:hAnsi="Times New Roman" w:cs="Times New Roman"/>
                <w:sz w:val="20"/>
                <w:szCs w:val="20"/>
              </w:rPr>
              <w:t>” (horizontal diffusion weight) from 0.75/3.0/4.0 to 0.75/1.0/1.2</w:t>
            </w:r>
          </w:p>
        </w:tc>
      </w:tr>
      <w:tr w:rsidR="00CF154B" w:rsidRPr="0009534B" w14:paraId="77500942" w14:textId="77777777" w:rsidTr="00B710F6">
        <w:trPr>
          <w:trHeight w:val="1541"/>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30C40E7E"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DA-HDVD</w:t>
            </w:r>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6C6CB4FD" w14:textId="77777777" w:rsidR="00CF154B" w:rsidRPr="0009534B" w:rsidRDefault="00CF154B" w:rsidP="00966FCE">
            <w:pPr>
              <w:spacing w:after="0" w:line="240" w:lineRule="auto"/>
              <w:rPr>
                <w:rFonts w:ascii="Times New Roman" w:hAnsi="Times New Roman" w:cs="Times New Roman"/>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2168371D" w14:textId="77777777" w:rsidR="00CF154B" w:rsidRPr="0009534B" w:rsidRDefault="00CF154B" w:rsidP="00966FCE">
            <w:pPr>
              <w:spacing w:after="0" w:line="240" w:lineRule="auto"/>
              <w:rPr>
                <w:rFonts w:ascii="Times New Roman" w:hAnsi="Times New Roman" w:cs="Times New Roman"/>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361707E9"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2C974E36"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43A03BEB" w14:textId="77777777" w:rsidR="00CF154B" w:rsidRPr="0009534B" w:rsidRDefault="00CF154B" w:rsidP="00966FCE">
            <w:pPr>
              <w:spacing w:after="0" w:line="240" w:lineRule="auto"/>
              <w:rPr>
                <w:rFonts w:ascii="Times New Roman" w:hAnsi="Times New Roman" w:cs="Times New Roman"/>
                <w:sz w:val="20"/>
                <w:szCs w:val="20"/>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75277917" w14:textId="77777777" w:rsidR="00CF154B" w:rsidRPr="0009534B" w:rsidRDefault="00CF154B" w:rsidP="00966FCE">
            <w:pPr>
              <w:spacing w:after="0" w:line="240" w:lineRule="auto"/>
              <w:rPr>
                <w:rFonts w:ascii="Times New Roman" w:hAnsi="Times New Roman" w:cs="Times New Roman"/>
                <w:sz w:val="20"/>
                <w:szCs w:val="20"/>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065D5594" w14:textId="77777777" w:rsidR="00CF154B" w:rsidRPr="0009534B" w:rsidRDefault="00CF154B" w:rsidP="00966FCE">
            <w:pPr>
              <w:spacing w:after="0" w:line="240" w:lineRule="auto"/>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A8C9BC"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Further modified turbulent mixing parameterization (vertical diffusivity profile modification) in addition to “</w:t>
            </w:r>
            <w:proofErr w:type="spellStart"/>
            <w:r w:rsidRPr="0009534B">
              <w:rPr>
                <w:rFonts w:ascii="Times New Roman" w:hAnsi="Times New Roman" w:cs="Times New Roman"/>
                <w:i/>
                <w:sz w:val="20"/>
                <w:szCs w:val="20"/>
              </w:rPr>
              <w:t>Coac</w:t>
            </w:r>
            <w:proofErr w:type="spellEnd"/>
            <w:r w:rsidRPr="0009534B">
              <w:rPr>
                <w:rFonts w:ascii="Times New Roman" w:hAnsi="Times New Roman" w:cs="Times New Roman"/>
                <w:sz w:val="20"/>
                <w:szCs w:val="20"/>
              </w:rPr>
              <w:t>” reduction.</w:t>
            </w:r>
          </w:p>
        </w:tc>
      </w:tr>
      <w:tr w:rsidR="00CF154B" w:rsidRPr="0009534B" w14:paraId="4C6817DC" w14:textId="77777777" w:rsidTr="00B710F6">
        <w:trPr>
          <w:trHeight w:val="880"/>
          <w:jc w:val="center"/>
        </w:trPr>
        <w:tc>
          <w:tcPr>
            <w:tcW w:w="990" w:type="dxa"/>
            <w:tcBorders>
              <w:top w:val="single" w:sz="4" w:space="0" w:color="auto"/>
              <w:left w:val="single" w:sz="4" w:space="0" w:color="auto"/>
              <w:bottom w:val="single" w:sz="4" w:space="0" w:color="auto"/>
              <w:right w:val="single" w:sz="4" w:space="0" w:color="auto"/>
            </w:tcBorders>
            <w:tcMar>
              <w:top w:w="10" w:type="dxa"/>
              <w:left w:w="70" w:type="dxa"/>
              <w:bottom w:w="0" w:type="dxa"/>
              <w:right w:w="70" w:type="dxa"/>
            </w:tcMar>
            <w:vAlign w:val="center"/>
            <w:hideMark/>
          </w:tcPr>
          <w:p w14:paraId="5480329E" w14:textId="124E4046"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DA-</w:t>
            </w:r>
            <w:proofErr w:type="spellStart"/>
            <w:r w:rsidRPr="0009534B">
              <w:rPr>
                <w:rFonts w:ascii="Times New Roman" w:hAnsi="Times New Roman" w:cs="Times New Roman"/>
                <w:sz w:val="20"/>
                <w:szCs w:val="20"/>
              </w:rPr>
              <w:t>HDVDH</w:t>
            </w:r>
            <w:r w:rsidR="00524486" w:rsidRPr="0009534B">
              <w:rPr>
                <w:rFonts w:ascii="Times New Roman" w:hAnsi="Times New Roman" w:cs="Times New Roman"/>
                <w:sz w:val="20"/>
                <w:szCs w:val="20"/>
              </w:rPr>
              <w:t>i</w:t>
            </w:r>
            <w:proofErr w:type="spellEnd"/>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5522CB29" w14:textId="77777777" w:rsidR="00CF154B" w:rsidRPr="0009534B" w:rsidRDefault="00CF154B" w:rsidP="00966FCE">
            <w:pPr>
              <w:spacing w:after="0" w:line="240" w:lineRule="auto"/>
              <w:rPr>
                <w:rFonts w:ascii="Times New Roman" w:hAnsi="Times New Roman" w:cs="Times New Roman"/>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32D8D616" w14:textId="77777777" w:rsidR="00CF154B" w:rsidRPr="0009534B" w:rsidRDefault="00CF154B" w:rsidP="00966FCE">
            <w:pPr>
              <w:spacing w:after="0" w:line="240" w:lineRule="auto"/>
              <w:rPr>
                <w:rFonts w:ascii="Times New Roman" w:hAnsi="Times New Roman" w:cs="Times New Roman"/>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14:paraId="4399DCF0"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6/2/0.67-km</w:t>
            </w: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00BDBFF4" w14:textId="77777777" w:rsidR="00CF154B" w:rsidRPr="0009534B" w:rsidRDefault="00CF154B" w:rsidP="00966FCE">
            <w:pPr>
              <w:spacing w:after="0" w:line="240" w:lineRule="auto"/>
              <w:rPr>
                <w:rFonts w:ascii="Times New Roman" w:hAnsi="Times New Roman" w:cs="Times New Roman"/>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0A79A22D" w14:textId="77777777" w:rsidR="00CF154B" w:rsidRPr="0009534B" w:rsidRDefault="00CF154B" w:rsidP="00966FCE">
            <w:pPr>
              <w:spacing w:after="0" w:line="240" w:lineRule="auto"/>
              <w:rPr>
                <w:rFonts w:ascii="Times New Roman" w:hAnsi="Times New Roman" w:cs="Times New Roman"/>
                <w:sz w:val="20"/>
                <w:szCs w:val="20"/>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774F441B" w14:textId="77777777" w:rsidR="00CF154B" w:rsidRPr="0009534B" w:rsidRDefault="00CF154B" w:rsidP="00966FCE">
            <w:pPr>
              <w:spacing w:after="0" w:line="240" w:lineRule="auto"/>
              <w:rPr>
                <w:rFonts w:ascii="Times New Roman" w:hAnsi="Times New Roman" w:cs="Times New Roman"/>
                <w:sz w:val="20"/>
                <w:szCs w:val="20"/>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36F4A826" w14:textId="77777777" w:rsidR="00CF154B" w:rsidRPr="0009534B" w:rsidRDefault="00CF154B" w:rsidP="00966FCE">
            <w:pPr>
              <w:spacing w:after="0" w:line="240" w:lineRule="auto"/>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E37E10" w14:textId="77777777" w:rsidR="00CF154B" w:rsidRPr="0009534B" w:rsidRDefault="00CF154B" w:rsidP="00966FCE">
            <w:pPr>
              <w:spacing w:after="0" w:line="240" w:lineRule="auto"/>
              <w:jc w:val="center"/>
              <w:rPr>
                <w:rFonts w:ascii="Times New Roman" w:hAnsi="Times New Roman" w:cs="Times New Roman"/>
                <w:sz w:val="20"/>
                <w:szCs w:val="20"/>
              </w:rPr>
            </w:pPr>
            <w:r w:rsidRPr="0009534B">
              <w:rPr>
                <w:rFonts w:ascii="Times New Roman" w:hAnsi="Times New Roman" w:cs="Times New Roman"/>
                <w:sz w:val="20"/>
                <w:szCs w:val="20"/>
              </w:rPr>
              <w:t>Same as DA-HDVD except for the “</w:t>
            </w:r>
            <w:proofErr w:type="spellStart"/>
            <w:r w:rsidRPr="0009534B">
              <w:rPr>
                <w:rFonts w:ascii="Times New Roman" w:hAnsi="Times New Roman" w:cs="Times New Roman"/>
                <w:i/>
                <w:sz w:val="20"/>
                <w:szCs w:val="20"/>
              </w:rPr>
              <w:t>Coac</w:t>
            </w:r>
            <w:proofErr w:type="spellEnd"/>
            <w:r w:rsidRPr="0009534B">
              <w:rPr>
                <w:rFonts w:ascii="Times New Roman" w:hAnsi="Times New Roman" w:cs="Times New Roman"/>
                <w:sz w:val="20"/>
                <w:szCs w:val="20"/>
              </w:rPr>
              <w:t>” is adjusted to the finer grid spacing for the innermost domain.</w:t>
            </w:r>
          </w:p>
        </w:tc>
      </w:tr>
    </w:tbl>
    <w:p w14:paraId="35EC789E" w14:textId="77777777" w:rsidR="00A67154" w:rsidRPr="00723DA9" w:rsidRDefault="00A67154" w:rsidP="00A67154">
      <w:pPr>
        <w:pStyle w:val="Captions"/>
        <w:spacing w:after="0"/>
        <w:rPr>
          <w:rFonts w:cs="Times New Roman"/>
        </w:rPr>
      </w:pPr>
    </w:p>
    <w:p w14:paraId="7475F98C" w14:textId="49B52D55" w:rsidR="00EC1A5C" w:rsidRPr="00723DA9" w:rsidRDefault="00EC1A5C" w:rsidP="00EC1A5C">
      <w:pPr>
        <w:spacing w:after="0" w:line="480" w:lineRule="auto"/>
        <w:ind w:firstLine="357"/>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HWRF model was developed by the Environmental Modeling Center (EMC) in collaboration with the GFDL </w:t>
      </w:r>
      <w:bookmarkStart w:id="145" w:name="OLE_LINK53"/>
      <w:bookmarkStart w:id="146" w:name="OLE_LINK52"/>
      <w:bookmarkStart w:id="147" w:name="OLE_LINK51"/>
      <w:bookmarkStart w:id="148" w:name="OLE_LINK50"/>
      <w:r w:rsidRPr="00723DA9">
        <w:rPr>
          <w:rFonts w:ascii="Times New Roman" w:eastAsia="宋体" w:hAnsi="Times New Roman" w:cs="Times New Roman"/>
          <w:sz w:val="24"/>
          <w:szCs w:val="24"/>
        </w:rPr>
        <w:t>and the University of Rhode Island (URI)</w:t>
      </w:r>
      <w:bookmarkEnd w:id="145"/>
      <w:bookmarkEnd w:id="146"/>
      <w:bookmarkEnd w:id="147"/>
      <w:bookmarkEnd w:id="148"/>
      <w:r w:rsidRPr="00723DA9">
        <w:rPr>
          <w:rFonts w:ascii="Times New Roman" w:eastAsia="宋体" w:hAnsi="Times New Roman" w:cs="Times New Roman"/>
          <w:sz w:val="24"/>
          <w:szCs w:val="24"/>
        </w:rPr>
        <w:t xml:space="preserve"> based on the Weather Research and Forecasting (WRF) model </w:t>
      </w:r>
      <w:bookmarkStart w:id="149" w:name="OLE_LINK49"/>
      <w:bookmarkStart w:id="150" w:name="OLE_LINK48"/>
      <w:r w:rsidRPr="00723DA9">
        <w:rPr>
          <w:rFonts w:ascii="Times New Roman" w:eastAsia="宋体" w:hAnsi="Times New Roman" w:cs="Times New Roman"/>
          <w:sz w:val="24"/>
          <w:szCs w:val="24"/>
        </w:rPr>
        <w:t xml:space="preserve">infrastructure </w:t>
      </w:r>
      <w:bookmarkEnd w:id="149"/>
      <w:bookmarkEnd w:id="150"/>
      <w:r w:rsidRPr="00723DA9">
        <w:rPr>
          <w:rFonts w:ascii="Times New Roman" w:eastAsia="宋体" w:hAnsi="Times New Roman" w:cs="Times New Roman"/>
          <w:sz w:val="24"/>
          <w:szCs w:val="24"/>
        </w:rPr>
        <w:t xml:space="preserve">and Non-Hydrostatic Mesoscale Model (NMM) dynamic core </w:t>
      </w:r>
      <w:bookmarkStart w:id="151" w:name="OLE_LINK83"/>
      <w:r w:rsidRPr="00723DA9">
        <w:rPr>
          <w:rFonts w:ascii="Times New Roman" w:eastAsia="宋体" w:hAnsi="Times New Roman" w:cs="Times New Roman"/>
          <w:sz w:val="24"/>
          <w:szCs w:val="24"/>
        </w:rPr>
        <w:fldChar w:fldCharType="begin" w:fldLock="1"/>
      </w:r>
      <w:r w:rsidRPr="00723DA9">
        <w:rPr>
          <w:rFonts w:ascii="Times New Roman" w:eastAsia="宋体"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Center","id":"ITEM-1","issued":{"date-parts":[["2015"]]},"number-of-pages":"1-81","title":"Hurricane Weather Research and Forecasting (HWRF) model: 2015 scientific documentation","type":"report"},"uris":["http://www.mendeley.com/documents/?uuid=b87ea64a-4059-481a-8188-da6f904806c8"]}],"mendeley":{"formattedCitation":"(Tallapragada et al. 2015)","plainTextFormattedCitation":"(Tallapragada et al. 2015)","previouslyFormattedCitation":"(Tallapragada et al. 2015)"},"properties":{"noteIndex":0},"schema":"https://github.com/citation-style-language/schema/raw/master/csl-citation.json"}</w:instrText>
      </w:r>
      <w:r w:rsidRPr="00723DA9">
        <w:rPr>
          <w:rFonts w:ascii="Times New Roman" w:eastAsia="宋体" w:hAnsi="Times New Roman" w:cs="Times New Roman"/>
          <w:sz w:val="24"/>
          <w:szCs w:val="24"/>
        </w:rPr>
        <w:fldChar w:fldCharType="separate"/>
      </w:r>
      <w:r w:rsidRPr="00723DA9">
        <w:rPr>
          <w:rFonts w:ascii="Times New Roman" w:eastAsia="宋体" w:hAnsi="Times New Roman" w:cs="Times New Roman"/>
          <w:noProof/>
          <w:sz w:val="24"/>
          <w:szCs w:val="24"/>
        </w:rPr>
        <w:t>(Tallapragada et al. 2015)</w:t>
      </w:r>
      <w:r w:rsidRPr="00723DA9">
        <w:rPr>
          <w:rFonts w:ascii="Times New Roman" w:eastAsia="宋体" w:hAnsi="Times New Roman" w:cs="Times New Roman"/>
          <w:sz w:val="24"/>
          <w:szCs w:val="24"/>
        </w:rPr>
        <w:fldChar w:fldCharType="end"/>
      </w:r>
      <w:bookmarkEnd w:id="151"/>
      <w:r w:rsidRPr="00723DA9">
        <w:rPr>
          <w:rFonts w:ascii="Times New Roman" w:eastAsia="宋体" w:hAnsi="Times New Roman" w:cs="Times New Roman"/>
          <w:sz w:val="24"/>
          <w:szCs w:val="24"/>
        </w:rPr>
        <w:t xml:space="preserve">.  As mentioned in the previous section, the operational HWRF has experienced a major update in the model grid spacing from 27/9/3-km to 18/6/2-km in 2015.  Correspondingly, a horizontal grid spacing of 0.135/0.045/0.015 degrees (approximately 18/6/2-km) for the outermost/intermediate/innermost domains are used for the </w:t>
      </w:r>
      <w:r w:rsidRPr="00723DA9">
        <w:rPr>
          <w:rFonts w:ascii="Times New Roman" w:eastAsia="宋体" w:hAnsi="Times New Roman" w:cs="Times New Roman"/>
          <w:sz w:val="24"/>
          <w:szCs w:val="24"/>
        </w:rPr>
        <w:lastRenderedPageBreak/>
        <w:t>newly developed DA system in this study, which is similar to that used in the 2015 operational HWRF.  The outermost, intermediate, and innermost domains are configured with 288×576 (</w:t>
      </w:r>
      <w:bookmarkStart w:id="152" w:name="OLE_LINK75"/>
      <w:r w:rsidRPr="00723DA9">
        <w:rPr>
          <w:rFonts w:ascii="Times New Roman" w:eastAsia="宋体" w:hAnsi="Times New Roman" w:cs="Times New Roman"/>
          <w:sz w:val="24"/>
          <w:szCs w:val="24"/>
        </w:rPr>
        <w:t xml:space="preserve">roughly </w:t>
      </w:r>
      <w:bookmarkEnd w:id="152"/>
      <w:r w:rsidRPr="00723DA9">
        <w:rPr>
          <w:rFonts w:ascii="Times New Roman" w:eastAsia="宋体" w:hAnsi="Times New Roman" w:cs="Times New Roman"/>
          <w:sz w:val="24"/>
          <w:szCs w:val="24"/>
        </w:rPr>
        <w:t>80×80 degrees), 304×604 (roughly 30×30 degrees) and 265×472 (roughly 7×7 degrees) horizontal grid points, respectively (domain size similar to Fig. 2.3).  There are 61 vertical levels and the model top is at 2hPa following the operational HWRF.  The physics parameterization schemes used in this study follows those used in the 2015 operational HWRF (details can be found in table 4.1).</w:t>
      </w:r>
    </w:p>
    <w:p w14:paraId="0B432801" w14:textId="62ED09FE" w:rsidR="00C56823" w:rsidRPr="00723DA9" w:rsidRDefault="00C56823" w:rsidP="00A67154">
      <w:pPr>
        <w:pStyle w:val="Heading3"/>
        <w:numPr>
          <w:ilvl w:val="2"/>
          <w:numId w:val="21"/>
        </w:numPr>
        <w:spacing w:before="160" w:after="160" w:line="480" w:lineRule="auto"/>
        <w:rPr>
          <w:rFonts w:ascii="Times New Roman" w:hAnsi="Times New Roman" w:cs="Times New Roman"/>
          <w:b/>
          <w:bCs/>
          <w:i/>
          <w:iCs/>
          <w:color w:val="auto"/>
        </w:rPr>
      </w:pPr>
      <w:bookmarkStart w:id="153" w:name="_Toc21623995"/>
      <w:r w:rsidRPr="00723DA9">
        <w:rPr>
          <w:rFonts w:ascii="Times New Roman" w:hAnsi="Times New Roman" w:cs="Times New Roman"/>
          <w:b/>
          <w:bCs/>
          <w:i/>
          <w:iCs/>
          <w:color w:val="auto"/>
        </w:rPr>
        <w:t>Experiment Design</w:t>
      </w:r>
      <w:bookmarkEnd w:id="153"/>
    </w:p>
    <w:p w14:paraId="2A62752C" w14:textId="0D7DF9DB"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To understand why TC spin-down exists with the more realistic DA analysis and how the model PBL physics parameterization and model resolution can impact the spin-down and intensity forecasts, eight experiments denoted as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-warm”,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“VM”, “DA”, “DA-Hi”, “DA-HD”, “DA-HDVD” and </w:t>
      </w:r>
      <w:bookmarkStart w:id="154" w:name="OLE_LINK54"/>
      <w:r w:rsidRPr="00723DA9">
        <w:rPr>
          <w:rFonts w:ascii="Times New Roman" w:eastAsia="宋体" w:hAnsi="Times New Roman" w:cs="Times New Roman"/>
          <w:sz w:val="24"/>
          <w:szCs w:val="24"/>
        </w:rPr>
        <w:t>“DA-</w:t>
      </w:r>
      <w:proofErr w:type="spellStart"/>
      <w:r w:rsidRPr="00723DA9">
        <w:rPr>
          <w:rFonts w:ascii="Times New Roman" w:eastAsia="宋体" w:hAnsi="Times New Roman" w:cs="Times New Roman"/>
          <w:sz w:val="24"/>
          <w:szCs w:val="24"/>
        </w:rPr>
        <w:t>HDVDHi</w:t>
      </w:r>
      <w:proofErr w:type="spellEnd"/>
      <w:r w:rsidRPr="00723DA9">
        <w:rPr>
          <w:rFonts w:ascii="Times New Roman" w:eastAsia="宋体" w:hAnsi="Times New Roman" w:cs="Times New Roman"/>
          <w:sz w:val="24"/>
          <w:szCs w:val="24"/>
        </w:rPr>
        <w:t xml:space="preserve">” </w:t>
      </w:r>
      <w:bookmarkEnd w:id="154"/>
      <w:r w:rsidRPr="00723DA9">
        <w:rPr>
          <w:rFonts w:ascii="Times New Roman" w:eastAsia="宋体" w:hAnsi="Times New Roman" w:cs="Times New Roman"/>
          <w:sz w:val="24"/>
          <w:szCs w:val="24"/>
        </w:rPr>
        <w:t xml:space="preserve">are conducted (see descriptions in Table </w:t>
      </w:r>
      <w:r w:rsidR="005F2AE0" w:rsidRPr="00723DA9">
        <w:rPr>
          <w:rFonts w:ascii="Times New Roman" w:eastAsia="宋体" w:hAnsi="Times New Roman" w:cs="Times New Roman"/>
          <w:sz w:val="24"/>
          <w:szCs w:val="24"/>
        </w:rPr>
        <w:t>4.</w:t>
      </w:r>
      <w:r w:rsidRPr="00723DA9">
        <w:rPr>
          <w:rFonts w:ascii="Times New Roman" w:eastAsia="宋体" w:hAnsi="Times New Roman" w:cs="Times New Roman"/>
          <w:sz w:val="24"/>
          <w:szCs w:val="24"/>
        </w:rPr>
        <w:t>1).  The analysis time of interest is 1800 UTC on 22 October 2015.  Details for each experiment are described as below:</w:t>
      </w:r>
    </w:p>
    <w:p w14:paraId="1E35E56A" w14:textId="17AA2508" w:rsidR="00C56823" w:rsidRPr="00723DA9" w:rsidRDefault="00C56823" w:rsidP="00771F99">
      <w:pPr>
        <w:spacing w:after="0" w:line="480" w:lineRule="auto"/>
        <w:ind w:firstLine="432"/>
        <w:rPr>
          <w:rFonts w:ascii="Times New Roman" w:hAnsi="Times New Roman" w:cs="Times New Roman"/>
          <w:sz w:val="24"/>
          <w:szCs w:val="24"/>
        </w:rPr>
      </w:pP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is a 6-hour “non-stop” free forecast initialized from the 1200 UTC DA analyses on 22 October 2015.  Seven cycles of DA and forecasts were performed before hand starting from 1800 UTC October 20, 2015 when Patricia became a tropical depression EP20 using the cycled DA system as described in Fig. </w:t>
      </w:r>
      <w:r w:rsidR="005F2AE0" w:rsidRPr="00723DA9">
        <w:rPr>
          <w:rFonts w:ascii="Times New Roman" w:hAnsi="Times New Roman" w:cs="Times New Roman"/>
          <w:sz w:val="24"/>
          <w:szCs w:val="24"/>
        </w:rPr>
        <w:t>4.2</w:t>
      </w:r>
      <w:r w:rsidRPr="00723DA9">
        <w:rPr>
          <w:rFonts w:ascii="Times New Roman" w:hAnsi="Times New Roman" w:cs="Times New Roman"/>
          <w:sz w:val="24"/>
          <w:szCs w:val="24"/>
        </w:rPr>
        <w:t xml:space="preserve"> and </w:t>
      </w:r>
      <w:r w:rsidR="005F2AE0"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5F2AE0" w:rsidRPr="00723DA9">
        <w:rPr>
          <w:rFonts w:ascii="Times New Roman" w:hAnsi="Times New Roman" w:cs="Times New Roman"/>
          <w:sz w:val="24"/>
          <w:szCs w:val="24"/>
        </w:rPr>
        <w:t>4.2.1</w:t>
      </w:r>
      <w:r w:rsidRPr="00723DA9">
        <w:rPr>
          <w:rFonts w:ascii="Times New Roman" w:hAnsi="Times New Roman" w:cs="Times New Roman"/>
          <w:sz w:val="24"/>
          <w:szCs w:val="24"/>
        </w:rPr>
        <w:t xml:space="preserve">.  </w:t>
      </w:r>
      <w:bookmarkStart w:id="155" w:name="OLE_LINK58"/>
      <w:bookmarkStart w:id="156" w:name="OLE_LINK57"/>
      <w:bookmarkStart w:id="157" w:name="OLE_LINK64"/>
      <w:bookmarkStart w:id="158" w:name="OLE_LINK63"/>
      <w:r w:rsidRPr="00723DA9">
        <w:rPr>
          <w:rFonts w:ascii="Times New Roman" w:hAnsi="Times New Roman" w:cs="Times New Roman"/>
          <w:sz w:val="24"/>
          <w:szCs w:val="24"/>
        </w:rPr>
        <w:t xml:space="preserve">During these DA cycles, the same observations from the operational HWRF </w:t>
      </w:r>
      <w:bookmarkEnd w:id="155"/>
      <w:bookmarkEnd w:id="156"/>
      <w:r w:rsidRPr="00723DA9">
        <w:rPr>
          <w:rFonts w:ascii="Times New Roman" w:hAnsi="Times New Roman" w:cs="Times New Roman"/>
        </w:rPr>
        <w:fldChar w:fldCharType="begin" w:fldLock="1"/>
      </w:r>
      <w:r w:rsidR="002E0A45" w:rsidRPr="00723DA9">
        <w:rPr>
          <w:rFonts w:ascii="Times New Roman"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Center","id":"ITEM-1","issued":{"date-parts":[["2015"]]},"number-of-pages":"1-81","title":"Hurricane Weather Research and Forecasting (HWRF) model: 2015 scientific documentation","type":"report"},"uris":["http://www.mendeley.com/documents/?uuid=b87ea64a-4059-481a-8188-da6f904806c8"]}],"mendeley":{"formattedCitation":"(Tallapragada et al. 2015)","plainTextFormattedCitation":"(Tallapragada et al. 2015)","previouslyFormattedCitation":"(Tallapragada et al. 2015)"},"properties":{"noteIndex":0},"schema":"https://github.com/citation-style-language/schema/raw/master/csl-citation.json"}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hAnsi="Times New Roman" w:cs="Times New Roman"/>
          <w:noProof/>
          <w:sz w:val="24"/>
          <w:szCs w:val="24"/>
        </w:rPr>
        <w:t>(Tallapragada et al. 2015)</w:t>
      </w:r>
      <w:r w:rsidRPr="00723DA9">
        <w:rPr>
          <w:rFonts w:ascii="Times New Roman" w:hAnsi="Times New Roman" w:cs="Times New Roman"/>
        </w:rPr>
        <w:fldChar w:fldCharType="end"/>
      </w:r>
      <w:r w:rsidRPr="00723DA9">
        <w:rPr>
          <w:rFonts w:ascii="Times New Roman" w:hAnsi="Times New Roman" w:cs="Times New Roman"/>
          <w:sz w:val="24"/>
          <w:szCs w:val="24"/>
        </w:rPr>
        <w:t xml:space="preserve"> are assimilated as listed in Table </w:t>
      </w:r>
      <w:r w:rsidR="00A13CFF" w:rsidRPr="00723DA9">
        <w:rPr>
          <w:rFonts w:ascii="Times New Roman" w:hAnsi="Times New Roman" w:cs="Times New Roman"/>
          <w:sz w:val="24"/>
          <w:szCs w:val="24"/>
        </w:rPr>
        <w:t>4.</w:t>
      </w:r>
      <w:r w:rsidRPr="00723DA9">
        <w:rPr>
          <w:rFonts w:ascii="Times New Roman" w:hAnsi="Times New Roman" w:cs="Times New Roman"/>
          <w:sz w:val="24"/>
          <w:szCs w:val="24"/>
        </w:rPr>
        <w:t>1.</w:t>
      </w:r>
      <w:bookmarkEnd w:id="157"/>
      <w:bookmarkEnd w:id="158"/>
    </w:p>
    <w:p w14:paraId="14AED17A" w14:textId="77777777"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eastAsia="宋体" w:hAnsi="Times New Roman" w:cs="Times New Roman"/>
          <w:sz w:val="24"/>
          <w:szCs w:val="24"/>
        </w:rPr>
        <w:t xml:space="preserve">In the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experiment, the forecast is initialized by the relocated control </w:t>
      </w:r>
      <w:r w:rsidRPr="00723DA9">
        <w:rPr>
          <w:rFonts w:ascii="Times New Roman" w:hAnsi="Times New Roman" w:cs="Times New Roman"/>
          <w:sz w:val="24"/>
          <w:szCs w:val="24"/>
        </w:rPr>
        <w:t xml:space="preserve">background valid at 1800 UTC October 22, 2015.  Compared to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which is more like a “restart” run,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zeroes out the vertical velocities</w:t>
      </w:r>
      <w:bookmarkStart w:id="159" w:name="OLE_LINK65"/>
      <w:r w:rsidRPr="00723DA9">
        <w:rPr>
          <w:rFonts w:ascii="Times New Roman" w:hAnsi="Times New Roman" w:cs="Times New Roman"/>
          <w:sz w:val="24"/>
          <w:szCs w:val="24"/>
        </w:rPr>
        <w:t xml:space="preserve"> and hydrometeors</w:t>
      </w:r>
      <w:bookmarkEnd w:id="159"/>
      <w:r w:rsidRPr="00723DA9">
        <w:rPr>
          <w:rFonts w:ascii="Times New Roman" w:hAnsi="Times New Roman" w:cs="Times New Roman"/>
          <w:sz w:val="24"/>
          <w:szCs w:val="24"/>
        </w:rPr>
        <w:t xml:space="preserve">, performs vortex relocation and </w:t>
      </w:r>
      <w:r w:rsidRPr="00723DA9">
        <w:rPr>
          <w:rFonts w:ascii="Times New Roman" w:hAnsi="Times New Roman" w:cs="Times New Roman"/>
          <w:sz w:val="24"/>
          <w:szCs w:val="24"/>
        </w:rPr>
        <w:lastRenderedPageBreak/>
        <w:t xml:space="preserve">replaces the outermost domain with the GFS analysis.  Comparison between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and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-warm will reveal if these procedures typically done before each DA update can contribute to the spin-down issue.</w:t>
      </w:r>
    </w:p>
    <w:p w14:paraId="11A6F11E" w14:textId="19DEDCA0"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Experiments VM and DA perform purely VM and DA, respectively, based on the relocated background from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Specifically, </w:t>
      </w:r>
      <w:r w:rsidRPr="00723DA9">
        <w:rPr>
          <w:rFonts w:ascii="Times New Roman" w:eastAsia="宋体" w:hAnsi="Times New Roman" w:cs="Times New Roman"/>
          <w:sz w:val="24"/>
          <w:szCs w:val="24"/>
        </w:rPr>
        <w:t xml:space="preserve">DA assimilates the inner-core and near inner-core observations from IFEX, TCI field campaigns and CIMSS AMV in addition to the operational observations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(specific observation types are listed in </w:t>
      </w:r>
      <w:r w:rsidR="00AA71BA">
        <w:rPr>
          <w:rFonts w:ascii="Times New Roman" w:eastAsia="宋体" w:hAnsi="Times New Roman" w:cs="Times New Roman"/>
          <w:sz w:val="24"/>
          <w:szCs w:val="24"/>
        </w:rPr>
        <w:t>T</w:t>
      </w:r>
      <w:r w:rsidRPr="00723DA9">
        <w:rPr>
          <w:rFonts w:ascii="Times New Roman" w:eastAsia="宋体" w:hAnsi="Times New Roman" w:cs="Times New Roman"/>
          <w:sz w:val="24"/>
          <w:szCs w:val="24"/>
        </w:rPr>
        <w:t xml:space="preserve">able </w:t>
      </w:r>
      <w:r w:rsidR="00A13CFF" w:rsidRPr="00723DA9">
        <w:rPr>
          <w:rFonts w:ascii="Times New Roman" w:eastAsia="宋体" w:hAnsi="Times New Roman" w:cs="Times New Roman"/>
          <w:sz w:val="24"/>
          <w:szCs w:val="24"/>
        </w:rPr>
        <w:t>4.</w:t>
      </w:r>
      <w:r w:rsidRPr="00723DA9">
        <w:rPr>
          <w:rFonts w:ascii="Times New Roman" w:eastAsia="宋体" w:hAnsi="Times New Roman" w:cs="Times New Roman"/>
          <w:sz w:val="24"/>
          <w:szCs w:val="24"/>
        </w:rPr>
        <w:t xml:space="preserve">1 of this paper and details of each type of observations are introduced in </w:t>
      </w:r>
      <w:r w:rsidR="00E22E12" w:rsidRPr="00723DA9">
        <w:rPr>
          <w:rFonts w:ascii="Times New Roman" w:eastAsia="宋体" w:hAnsi="Times New Roman" w:cs="Times New Roman"/>
          <w:sz w:val="24"/>
          <w:szCs w:val="24"/>
        </w:rPr>
        <w:t>Chapter</w:t>
      </w:r>
      <w:r w:rsidR="00403CAF" w:rsidRPr="00723DA9">
        <w:rPr>
          <w:rFonts w:ascii="Times New Roman" w:eastAsia="宋体" w:hAnsi="Times New Roman" w:cs="Times New Roman"/>
          <w:sz w:val="24"/>
          <w:szCs w:val="24"/>
        </w:rPr>
        <w:t xml:space="preserve"> 5</w:t>
      </w:r>
      <w:r w:rsidRPr="00723DA9">
        <w:rPr>
          <w:rFonts w:ascii="Times New Roman" w:eastAsia="宋体" w:hAnsi="Times New Roman" w:cs="Times New Roman"/>
          <w:sz w:val="24"/>
          <w:szCs w:val="24"/>
        </w:rPr>
        <w:t xml:space="preserve">).  The satellite radiances from the operational observations are only assimilated in the intermediate domain following </w:t>
      </w:r>
      <w:r w:rsidR="00E22E12" w:rsidRPr="00723DA9">
        <w:rPr>
          <w:rFonts w:ascii="Times New Roman" w:eastAsia="宋体" w:hAnsi="Times New Roman" w:cs="Times New Roman"/>
          <w:sz w:val="24"/>
          <w:szCs w:val="24"/>
        </w:rPr>
        <w:t>Chapter</w:t>
      </w:r>
      <w:r w:rsidR="00A13CFF" w:rsidRPr="00723DA9">
        <w:rPr>
          <w:rFonts w:ascii="Times New Roman" w:eastAsia="宋体" w:hAnsi="Times New Roman" w:cs="Times New Roman"/>
          <w:sz w:val="24"/>
          <w:szCs w:val="24"/>
        </w:rPr>
        <w:t xml:space="preserve"> 3</w:t>
      </w:r>
      <w:r w:rsidRPr="00723DA9">
        <w:rPr>
          <w:rFonts w:ascii="Times New Roman" w:eastAsia="宋体" w:hAnsi="Times New Roman" w:cs="Times New Roman"/>
          <w:sz w:val="24"/>
          <w:szCs w:val="24"/>
        </w:rPr>
        <w:t xml:space="preserve"> and the operational HWRF configuration (</w:t>
      </w:r>
      <w:proofErr w:type="spellStart"/>
      <w:r w:rsidRPr="00723DA9">
        <w:rPr>
          <w:rFonts w:ascii="Times New Roman" w:eastAsia="宋体" w:hAnsi="Times New Roman" w:cs="Times New Roman"/>
          <w:sz w:val="24"/>
          <w:szCs w:val="24"/>
        </w:rPr>
        <w:t>Tallapragada</w:t>
      </w:r>
      <w:proofErr w:type="spellEnd"/>
      <w:r w:rsidRPr="00723DA9">
        <w:rPr>
          <w:rFonts w:ascii="Times New Roman" w:eastAsia="宋体" w:hAnsi="Times New Roman" w:cs="Times New Roman"/>
          <w:sz w:val="24"/>
          <w:szCs w:val="24"/>
        </w:rPr>
        <w:t xml:space="preserve"> et al. 2015).  Slightly adjusted from Lu et al. (2017a,b), the </w:t>
      </w:r>
      <w:r w:rsidRPr="00723DA9">
        <w:rPr>
          <w:rFonts w:ascii="Times New Roman" w:hAnsi="Times New Roman" w:cs="Times New Roman"/>
          <w:sz w:val="24"/>
          <w:szCs w:val="24"/>
        </w:rPr>
        <w:t xml:space="preserve">horizontal and vertical localizations used in this study are configured to be 150-km/180-km and -0.46/-0.46 scale-height recursive filter covariance localization length scale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{"citationItems":[{"id":"ITEM-1","itemData":{"abstract":"A limited-area three-dimensional variational data assimilation (3DVAR) system applicable to both synoptic and mesoscale numerical weather prediction is described. The system is designed for use in time-critical real-time applications and is freely available to the data assimilation community for general research. The unique features of this implementation of 3DVAR include (a) an analysis space represented by recursive filters and truncated eigenmodes of the background error covariance matrix, (b) the inclusion of a cyclostrophic term in 3DVAR's explicit mass–wind balance equation, and (c) the use of the software architecture of the Weather Research and Forecast (WRF) model to permit efficient performance on distributed-memory platforms. The 3DVAR system is applied to a multiresolution, nested-domain forecast system. Resolution and seasonal-dependent background error statistics are presented. A typhoon bogusing case study is performed to illustrate the 3DVAR response to a single surface pressure observation and its subsequent impact on numerical forecasts of the fifth-generation Pennsylvania State University–National Center for Atmospheric Research Mesoscale Model (MM5). Results are also presented from an initial real-time MM5-based application of 3DVAR.","author":[{"dropping-particle":"","family":"Barker","given":"D M","non-dropping-particle":"","parse-names":false,"suffix":""},{"dropping-particle":"","family":"Huang","given":"W","non-dropping-particle":"","parse-names":false,"suffix":""},{"dropping-particle":"","family":"Guo","given":"Y.-R","non-dropping-particle":"","parse-names":false,"suffix":""},{"dropping-particle":"","family":"Bourgeois","given":"A J","non-dropping-particle":"","parse-names":false,"suffix":""},{"dropping-particle":"","family":"Xiao","given":"Q N","non-dropping-particle":"","parse-names":false,"suffix":""}],"container-title":"Monthly Weather Review","id":"ITEM-1","issued":{"date-parts":[["2004"]]},"page":"897-914","title":"A Three-Dimensional Variational Data Assimilation System for MM5: Implementation and Initial Results","type":"article-journal","volume":"132"},"uris":["http://www.mendeley.com/documents/?uuid=2e6cbbac-4b0b-3cf2-9959-23663a87c946"]},{"id":"ITEM-2","itemData":{"DOI":"10.1175/2008MWR2445.1","ISSN":"0027-0644","abstract":"Abstract The hybrid ensemble transform Kalman filter–three-dimensional variational data assimilation (ETKF–3DVAR) system developed for the Weather Research and Forecasting (WRF) Model was further tested with real observations, as a follow-up for the observation system simulation experiment (OSSE) conducted in Part I. A domain encompassing North America was considered. Because of limited computational resources and the large number of experiments conducted, the forecasts and analyses employed relatively coarse grid spacing (200 km) to emphasize synoptic scales. As a first effort to explore the new system with real observations, relatively sparse observation datasets consisting of radiosonde wind and temperature during 4 weeks of January 2003 were assimilated. The 12-h forecasts produced by the hybrid analysis produced less root-mean-square error than the 3DVAR. The hybrid improved the forecast more in the western part of the domain than the eastern part. It also produced larger improvements in the upper tr...","author":[{"dropping-particle":"","family":"Wang","given":"Xuguang","non-dropping-particle":"","parse-names":false,"suffix":""},{"dropping-particle":"","family":"Barker","given":"Dale M.","non-dropping-particle":"","parse-names":false,"suffix":""},{"dropping-particle":"","family":"Snyder","given":"Chris","non-dropping-particle":"","parse-names":false,"suffix":""},{"dropping-particle":"","family":"Hamill","given":"Thomas M.","non-dropping-particle":"","parse-names":false,"suffix":""}],"container-title":"Monthly Weather Review","id":"ITEM-2","issue":"12","issued":{"date-parts":[["2008"]]},"page":"5132-5147","title":"A Hybrid ETKF–3DVAR Data Assimilation Scheme for the WRF Model. Part II: Real Observation Experiments","type":"article-journal","volume":"136"},"uris":["http://www.mendeley.com/documents/?uuid=4876d544-3f20-48ae-80da-bbc4c2dd04b5"]},{"id":"ITEM-3","itemData":{"DOI":"10.1175/MWR-D-13-00242.1","ISBN":"0027-0644 1520-0493","ISSN":"0027-0644","author":[{"dropping-particle":"","family":"Pan","given":"Yujie","non-dropping-particle":"","parse-names":false,"suffix":""},{"dropping-particle":"","family":"Zhu","given":"Kefeng","non-dropping-particle":"","parse-names":false,"suffix":""},{"dropping-particle":"","family":"Xue","given":"Ming","non-dropping-particle":"","parse-names":false,"suffix":""},{"dropping-particle":"","family":"Wang","given":"Xuguang","non-dropping-particle":"","parse-names":false,"suffix":""},{"dropping-particle":"","family":"Hu","given":"Ming","non-dropping-particle":"","parse-names":false,"suffix":""},{"dropping-particle":"","family":"Benjamin","given":"Stanley G.","non-dropping-particle":"","parse-names":false,"suffix":""},{"dropping-particle":"","family":"Weygandt","given":"Stephen S.","non-dropping-particle":"","parse-names":false,"suffix":""},{"dropping-particle":"","family":"Whitaker","given":"Jeffrey S.","non-dropping-particle":"","parse-names":false,"suffix":""}],"container-title":"Monthly Weather Review","id":"ITEM-3","issued":{"date-parts":[["2014"]]},"page":"3756-3780","title":"A GSI-Based Coupled EnSRF–En3DVar Hybrid Data Assimilation System for the Operational Rapid Refresh Model: Tests at a Reduced Resolution","type":"article-journal","volume":"142"},"uris":["http://www.mendeley.com/documents/?uuid=6779f31b-4781-4a2d-875a-064d5af9c19f"]}],"mendeley":{"formattedCitation":"(Barker et al. 2004; Wang et al. 2008; Pan et al. 2014)","plainTextFormattedCitation":"(Barker et al. 2004; Wang et al. 2008; Pan et al. 2014)","previouslyFormattedCitation":"(Barker et al. 2004; Wang et al. 2008; Pan et al. 2014)"},"properties":{"noteIndex":0},"schema":"https://github.com/citation-style-language/schema/raw/master/csl-citation.json"}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(Barker et al. 2004; Wang et al. 2008; Pan et al. 2014)</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for the innermost/</w:t>
      </w:r>
      <w:r w:rsidRPr="00723DA9">
        <w:rPr>
          <w:rFonts w:ascii="Times New Roman" w:eastAsia="宋体" w:hAnsi="Times New Roman" w:cs="Times New Roman"/>
          <w:sz w:val="24"/>
          <w:szCs w:val="24"/>
        </w:rPr>
        <w:t xml:space="preserve">intermediate </w:t>
      </w:r>
      <w:r w:rsidRPr="00723DA9">
        <w:rPr>
          <w:rFonts w:ascii="Times New Roman" w:hAnsi="Times New Roman" w:cs="Times New Roman"/>
          <w:sz w:val="24"/>
          <w:szCs w:val="24"/>
        </w:rPr>
        <w:t xml:space="preserve">domains, respectively.  Full ensemble error covariance is used for both DA domains in this study following the configurations in Lu et al. (2017a,b).  </w:t>
      </w:r>
      <w:r w:rsidRPr="00723DA9">
        <w:rPr>
          <w:rFonts w:ascii="Times New Roman" w:eastAsia="宋体" w:hAnsi="Times New Roman" w:cs="Times New Roman"/>
          <w:sz w:val="24"/>
          <w:szCs w:val="24"/>
        </w:rPr>
        <w:t xml:space="preserve">Inter-comparison between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VM and DA can help reveal why the more persistent TC spin-down occurs in the realistic DA but not in the unrealistic VM. </w:t>
      </w:r>
    </w:p>
    <w:p w14:paraId="4C7CBD6D" w14:textId="2694ADA7"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eastAsia="宋体" w:hAnsi="Times New Roman" w:cs="Times New Roman"/>
          <w:sz w:val="24"/>
          <w:szCs w:val="24"/>
        </w:rPr>
        <w:t>DA-Hi is a high-resolution (</w:t>
      </w:r>
      <w:r w:rsidRPr="00723DA9">
        <w:rPr>
          <w:rFonts w:ascii="Times New Roman" w:hAnsi="Times New Roman" w:cs="Times New Roman"/>
          <w:sz w:val="24"/>
          <w:szCs w:val="24"/>
        </w:rPr>
        <w:t>6/2/0.67-km grid spacing</w:t>
      </w:r>
      <w:r w:rsidRPr="00723DA9">
        <w:rPr>
          <w:rFonts w:ascii="Times New Roman" w:eastAsia="宋体" w:hAnsi="Times New Roman" w:cs="Times New Roman"/>
          <w:sz w:val="24"/>
          <w:szCs w:val="24"/>
        </w:rPr>
        <w:t xml:space="preserve">) forecast based on DA. </w:t>
      </w:r>
      <w:r w:rsidRPr="00723DA9">
        <w:rPr>
          <w:rFonts w:ascii="Times New Roman" w:hAnsi="Times New Roman" w:cs="Times New Roman"/>
          <w:sz w:val="24"/>
          <w:szCs w:val="24"/>
        </w:rPr>
        <w:t>D</w:t>
      </w:r>
      <w:r w:rsidRPr="00723DA9">
        <w:rPr>
          <w:rFonts w:ascii="Times New Roman" w:eastAsia="宋体" w:hAnsi="Times New Roman" w:cs="Times New Roman"/>
          <w:sz w:val="24"/>
          <w:szCs w:val="24"/>
        </w:rPr>
        <w:t xml:space="preserve">ue to the constraints in the </w:t>
      </w:r>
      <w:r w:rsidRPr="00723DA9">
        <w:rPr>
          <w:rFonts w:ascii="Times New Roman" w:hAnsi="Times New Roman" w:cs="Times New Roman"/>
          <w:sz w:val="24"/>
          <w:szCs w:val="24"/>
        </w:rPr>
        <w:t xml:space="preserve">HWRF model infrastructure, current HWRF model does not support the quadruple nest domain configuration.  Therefore, to investigate the model resolution impact while maintaining the benefits of the continuously cycled DA system, we utilize the relocation package from the operational HWRF (Liu et al., 2000, 2006) to downscale the analysis produced by the </w:t>
      </w:r>
      <w:proofErr w:type="spellStart"/>
      <w:r w:rsidR="008E2227">
        <w:rPr>
          <w:rFonts w:ascii="Times New Roman" w:hAnsi="Times New Roman" w:cs="Times New Roman"/>
          <w:sz w:val="24"/>
          <w:szCs w:val="24"/>
        </w:rPr>
        <w:t>EnVar</w:t>
      </w:r>
      <w:proofErr w:type="spellEnd"/>
      <w:r w:rsidR="008E2227">
        <w:rPr>
          <w:rFonts w:ascii="Times New Roman" w:hAnsi="Times New Roman" w:cs="Times New Roman"/>
          <w:sz w:val="24"/>
          <w:szCs w:val="24"/>
        </w:rPr>
        <w:t xml:space="preserve"> </w:t>
      </w:r>
      <w:r w:rsidRPr="00723DA9">
        <w:rPr>
          <w:rFonts w:ascii="Times New Roman" w:hAnsi="Times New Roman" w:cs="Times New Roman"/>
          <w:sz w:val="24"/>
          <w:szCs w:val="24"/>
        </w:rPr>
        <w:t xml:space="preserve">DA (2-km resolution) onto a higher resolution domain (0.67-km resolution).  </w:t>
      </w:r>
      <w:r w:rsidRPr="00723DA9">
        <w:rPr>
          <w:rFonts w:ascii="Times New Roman" w:hAnsi="Times New Roman" w:cs="Times New Roman"/>
          <w:sz w:val="24"/>
          <w:szCs w:val="24"/>
        </w:rPr>
        <w:lastRenderedPageBreak/>
        <w:t>Specifically, the analyses from 18/6/2-km grid spacing domains are first merged into one combined domain (3-km resolution).  Next, the combined domain is interpolated onto finer 6/2/0.67-km grid spacing domains.  Then, a 120-hour free forecast is launched based on these interpolated analyses.  The goal of this high-resolution experiment is to investigate the impact of model resolution on both the spin-down issue and the TC peak intensity forecast.</w:t>
      </w:r>
    </w:p>
    <w:p w14:paraId="687BDAE8" w14:textId="77777777" w:rsidR="00C56823" w:rsidRPr="00723DA9" w:rsidRDefault="00C56823" w:rsidP="00771F99">
      <w:pPr>
        <w:spacing w:after="0" w:line="480" w:lineRule="auto"/>
        <w:ind w:firstLine="432"/>
        <w:rPr>
          <w:rFonts w:ascii="Times New Roman" w:hAnsi="Times New Roman" w:cs="Times New Roman"/>
          <w:sz w:val="24"/>
          <w:szCs w:val="24"/>
        </w:rPr>
      </w:pPr>
      <w:bookmarkStart w:id="160" w:name="_Hlk526954198"/>
      <w:r w:rsidRPr="00723DA9">
        <w:rPr>
          <w:rFonts w:ascii="Times New Roman" w:eastAsia="宋体" w:hAnsi="Times New Roman" w:cs="Times New Roman"/>
          <w:sz w:val="24"/>
          <w:szCs w:val="24"/>
        </w:rPr>
        <w:t>DA-HD is similar to DA except using a reduced “</w:t>
      </w:r>
      <w:proofErr w:type="spellStart"/>
      <w:r w:rsidRPr="00723DA9">
        <w:rPr>
          <w:rFonts w:ascii="Times New Roman" w:eastAsia="宋体" w:hAnsi="Times New Roman" w:cs="Times New Roman"/>
          <w:i/>
          <w:sz w:val="24"/>
          <w:szCs w:val="24"/>
        </w:rPr>
        <w:t>Coac</w:t>
      </w:r>
      <w:proofErr w:type="spellEnd"/>
      <w:r w:rsidRPr="00723DA9">
        <w:rPr>
          <w:rFonts w:ascii="Times New Roman" w:eastAsia="宋体" w:hAnsi="Times New Roman" w:cs="Times New Roman"/>
          <w:sz w:val="24"/>
          <w:szCs w:val="24"/>
        </w:rPr>
        <w:t>” (horizontal diffusion weighting factor) physics parameterization configuration from 0.75/3.0/4.0 to 0.75/1.0/1.2 for the outermost/intermediate/innermost domains, respectively. The “</w:t>
      </w:r>
      <w:proofErr w:type="spellStart"/>
      <w:r w:rsidRPr="00723DA9">
        <w:rPr>
          <w:rFonts w:ascii="Times New Roman" w:eastAsia="宋体" w:hAnsi="Times New Roman" w:cs="Times New Roman"/>
          <w:i/>
          <w:sz w:val="24"/>
          <w:szCs w:val="24"/>
        </w:rPr>
        <w:t>Coac</w:t>
      </w:r>
      <w:proofErr w:type="spellEnd"/>
      <w:r w:rsidRPr="00723DA9">
        <w:rPr>
          <w:rFonts w:ascii="Times New Roman" w:eastAsia="宋体" w:hAnsi="Times New Roman" w:cs="Times New Roman"/>
          <w:sz w:val="24"/>
          <w:szCs w:val="24"/>
        </w:rPr>
        <w:t xml:space="preserve">” controls the magnitude of </w:t>
      </w:r>
      <w:proofErr w:type="spellStart"/>
      <w:r w:rsidRPr="00723DA9">
        <w:rPr>
          <w:rFonts w:ascii="Times New Roman" w:eastAsia="宋体" w:hAnsi="Times New Roman" w:cs="Times New Roman"/>
          <w:i/>
          <w:sz w:val="24"/>
          <w:szCs w:val="24"/>
        </w:rPr>
        <w:t>L</w:t>
      </w:r>
      <w:r w:rsidRPr="00723DA9">
        <w:rPr>
          <w:rFonts w:ascii="Times New Roman" w:eastAsia="宋体" w:hAnsi="Times New Roman" w:cs="Times New Roman"/>
          <w:i/>
          <w:sz w:val="24"/>
          <w:szCs w:val="24"/>
          <w:vertAlign w:val="subscript"/>
        </w:rPr>
        <w:t>h</w:t>
      </w:r>
      <w:proofErr w:type="spellEnd"/>
      <w:r w:rsidRPr="00723DA9">
        <w:rPr>
          <w:rFonts w:ascii="Times New Roman" w:eastAsia="宋体" w:hAnsi="Times New Roman" w:cs="Times New Roman"/>
          <w:sz w:val="24"/>
          <w:szCs w:val="24"/>
        </w:rPr>
        <w:t>.  The larger the “</w:t>
      </w:r>
      <w:proofErr w:type="spellStart"/>
      <w:r w:rsidRPr="00723DA9">
        <w:rPr>
          <w:rFonts w:ascii="Times New Roman" w:eastAsia="宋体" w:hAnsi="Times New Roman" w:cs="Times New Roman"/>
          <w:i/>
          <w:sz w:val="24"/>
          <w:szCs w:val="24"/>
        </w:rPr>
        <w:t>Coac</w:t>
      </w:r>
      <w:proofErr w:type="spellEnd"/>
      <w:r w:rsidRPr="00723DA9">
        <w:rPr>
          <w:rFonts w:ascii="Times New Roman" w:eastAsia="宋体" w:hAnsi="Times New Roman" w:cs="Times New Roman"/>
          <w:sz w:val="24"/>
          <w:szCs w:val="24"/>
        </w:rPr>
        <w:t>”, the more the horizontal mixing.  Different “</w:t>
      </w:r>
      <w:proofErr w:type="spellStart"/>
      <w:r w:rsidRPr="00723DA9">
        <w:rPr>
          <w:rFonts w:ascii="Times New Roman" w:eastAsia="宋体" w:hAnsi="Times New Roman" w:cs="Times New Roman"/>
          <w:i/>
          <w:sz w:val="24"/>
          <w:szCs w:val="24"/>
        </w:rPr>
        <w:t>Coac</w:t>
      </w:r>
      <w:proofErr w:type="spellEnd"/>
      <w:r w:rsidRPr="00723DA9">
        <w:rPr>
          <w:rFonts w:ascii="Times New Roman" w:eastAsia="宋体" w:hAnsi="Times New Roman" w:cs="Times New Roman"/>
          <w:sz w:val="24"/>
          <w:szCs w:val="24"/>
        </w:rPr>
        <w:t>” values in different domains are due to the model grid spacing dependency of the horizontal eddy diffusivity (</w:t>
      </w:r>
      <w:proofErr w:type="spellStart"/>
      <w:r w:rsidRPr="00723DA9">
        <w:rPr>
          <w:rFonts w:ascii="Times New Roman" w:eastAsia="宋体" w:hAnsi="Times New Roman" w:cs="Times New Roman"/>
          <w:sz w:val="24"/>
          <w:szCs w:val="24"/>
        </w:rPr>
        <w:t>Janjic</w:t>
      </w:r>
      <w:proofErr w:type="spellEnd"/>
      <w:r w:rsidRPr="00723DA9">
        <w:rPr>
          <w:rFonts w:ascii="Times New Roman" w:eastAsia="宋体" w:hAnsi="Times New Roman" w:cs="Times New Roman"/>
          <w:sz w:val="24"/>
          <w:szCs w:val="24"/>
        </w:rPr>
        <w:t xml:space="preserve">, 1990; Zhang et al., 2018).  </w:t>
      </w:r>
      <w:bookmarkStart w:id="161" w:name="_Hlk526677898"/>
      <w:bookmarkEnd w:id="160"/>
      <w:r w:rsidRPr="00723DA9">
        <w:rPr>
          <w:rFonts w:ascii="Times New Roman" w:eastAsia="宋体" w:hAnsi="Times New Roman" w:cs="Times New Roman"/>
          <w:sz w:val="24"/>
          <w:szCs w:val="24"/>
        </w:rPr>
        <w:t xml:space="preserve">According to Zhang and Marks (2015), the configuration of 0.75/3.0/4.0 was designed for large horizontal grid spacing.  Such a configuration is equivalent to the </w:t>
      </w:r>
      <w:proofErr w:type="spellStart"/>
      <w:r w:rsidRPr="00723DA9">
        <w:rPr>
          <w:rFonts w:ascii="Times New Roman" w:eastAsia="宋体" w:hAnsi="Times New Roman" w:cs="Times New Roman"/>
          <w:i/>
          <w:sz w:val="24"/>
          <w:szCs w:val="24"/>
        </w:rPr>
        <w:t>L</w:t>
      </w:r>
      <w:r w:rsidRPr="00723DA9">
        <w:rPr>
          <w:rFonts w:ascii="Times New Roman" w:eastAsia="宋体" w:hAnsi="Times New Roman" w:cs="Times New Roman"/>
          <w:i/>
          <w:sz w:val="24"/>
          <w:szCs w:val="24"/>
          <w:vertAlign w:val="subscript"/>
        </w:rPr>
        <w:t>h</w:t>
      </w:r>
      <w:proofErr w:type="spellEnd"/>
      <w:r w:rsidRPr="00723DA9">
        <w:rPr>
          <w:rFonts w:ascii="Times New Roman" w:eastAsia="宋体" w:hAnsi="Times New Roman" w:cs="Times New Roman"/>
          <w:sz w:val="24"/>
          <w:szCs w:val="24"/>
        </w:rPr>
        <w:t xml:space="preserve"> of 1900-m (Zhang et al. 2018).  As a result, in the 2016 operational HWRF, the “</w:t>
      </w:r>
      <w:proofErr w:type="spellStart"/>
      <w:r w:rsidRPr="00723DA9">
        <w:rPr>
          <w:rFonts w:ascii="Times New Roman" w:eastAsia="宋体" w:hAnsi="Times New Roman" w:cs="Times New Roman"/>
          <w:i/>
          <w:sz w:val="24"/>
          <w:szCs w:val="24"/>
        </w:rPr>
        <w:t>Coac</w:t>
      </w:r>
      <w:proofErr w:type="spellEnd"/>
      <w:r w:rsidRPr="00723DA9">
        <w:rPr>
          <w:rFonts w:ascii="Times New Roman" w:eastAsia="宋体" w:hAnsi="Times New Roman" w:cs="Times New Roman"/>
          <w:sz w:val="24"/>
          <w:szCs w:val="24"/>
        </w:rPr>
        <w:t xml:space="preserve">” is reduced to 0.75/1.0/1.2, which gives an estimate of </w:t>
      </w:r>
      <w:proofErr w:type="spellStart"/>
      <w:r w:rsidRPr="00723DA9">
        <w:rPr>
          <w:rFonts w:ascii="Times New Roman" w:eastAsia="宋体" w:hAnsi="Times New Roman" w:cs="Times New Roman"/>
          <w:i/>
          <w:sz w:val="24"/>
          <w:szCs w:val="24"/>
        </w:rPr>
        <w:t>L</w:t>
      </w:r>
      <w:r w:rsidRPr="00723DA9">
        <w:rPr>
          <w:rFonts w:ascii="Times New Roman" w:eastAsia="宋体" w:hAnsi="Times New Roman" w:cs="Times New Roman"/>
          <w:i/>
          <w:sz w:val="24"/>
          <w:szCs w:val="24"/>
          <w:vertAlign w:val="subscript"/>
        </w:rPr>
        <w:t>h</w:t>
      </w:r>
      <w:proofErr w:type="spellEnd"/>
      <w:r w:rsidRPr="00723DA9">
        <w:rPr>
          <w:rFonts w:ascii="Times New Roman" w:eastAsia="宋体" w:hAnsi="Times New Roman" w:cs="Times New Roman"/>
          <w:sz w:val="24"/>
          <w:szCs w:val="24"/>
        </w:rPr>
        <w:t xml:space="preserve"> at about 800-m.  Zhang et al, (2018) claimed this new set of values are more consistent with the observational estimate and the model resolution (Zhang and Montgomery 2012).  This latter set of values are used in this study for the “DA-HD” experiment</w:t>
      </w:r>
      <w:bookmarkEnd w:id="161"/>
      <w:r w:rsidRPr="00723DA9">
        <w:rPr>
          <w:rFonts w:ascii="Times New Roman" w:eastAsia="宋体" w:hAnsi="Times New Roman" w:cs="Times New Roman"/>
          <w:sz w:val="24"/>
          <w:szCs w:val="24"/>
        </w:rPr>
        <w:t xml:space="preserve">.  To reduce the accumulated effect from altered diffusion over multiple cycles, the model physics are only modified 6 hours prior the target DA cycle </w:t>
      </w:r>
      <w:r w:rsidRPr="00723DA9">
        <w:rPr>
          <w:rFonts w:ascii="Times New Roman" w:hAnsi="Times New Roman" w:cs="Times New Roman"/>
          <w:sz w:val="24"/>
          <w:szCs w:val="24"/>
        </w:rPr>
        <w:t>in this study.</w:t>
      </w:r>
    </w:p>
    <w:p w14:paraId="7289EE17" w14:textId="5DA47DCA"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Experiment DA-HDVD is based on DA-HD where a modified PBL scheme is further used to modify the vertical diffusion profile in the HWRF model in addition to the “</w:t>
      </w:r>
      <w:proofErr w:type="spellStart"/>
      <w:r w:rsidRPr="00723DA9">
        <w:rPr>
          <w:rFonts w:ascii="Times New Roman" w:hAnsi="Times New Roman" w:cs="Times New Roman"/>
          <w:i/>
          <w:sz w:val="24"/>
          <w:szCs w:val="24"/>
        </w:rPr>
        <w:t>Coac</w:t>
      </w:r>
      <w:proofErr w:type="spellEnd"/>
      <w:r w:rsidRPr="00723DA9">
        <w:rPr>
          <w:rFonts w:ascii="Times New Roman" w:hAnsi="Times New Roman" w:cs="Times New Roman"/>
          <w:sz w:val="24"/>
          <w:szCs w:val="24"/>
        </w:rPr>
        <w:t xml:space="preserve">” reduction. This modified PBL scheme is proposed by Zhu et al. (2018) and is discussed in </w:t>
      </w:r>
      <w:r w:rsidR="00A13CFF"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13CFF" w:rsidRPr="00723DA9">
        <w:rPr>
          <w:rFonts w:ascii="Times New Roman" w:hAnsi="Times New Roman" w:cs="Times New Roman"/>
          <w:sz w:val="24"/>
          <w:szCs w:val="24"/>
        </w:rPr>
        <w:t>4.</w:t>
      </w:r>
      <w:r w:rsidRPr="00723DA9">
        <w:rPr>
          <w:rFonts w:ascii="Times New Roman" w:hAnsi="Times New Roman" w:cs="Times New Roman"/>
          <w:sz w:val="24"/>
          <w:szCs w:val="24"/>
        </w:rPr>
        <w:t xml:space="preserve">1.  Inter-comparison among DA, DA-HD and DA-HDVD will reveal how the model PBL physics changes impact the TC spin-down and intensity forecasts. </w:t>
      </w:r>
    </w:p>
    <w:p w14:paraId="307FD334" w14:textId="509FA901"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lastRenderedPageBreak/>
        <w:t>DA-</w:t>
      </w:r>
      <w:proofErr w:type="spellStart"/>
      <w:r w:rsidRPr="00723DA9">
        <w:rPr>
          <w:rFonts w:ascii="Times New Roman" w:hAnsi="Times New Roman" w:cs="Times New Roman"/>
          <w:sz w:val="24"/>
          <w:szCs w:val="24"/>
        </w:rPr>
        <w:t>HDVDHi</w:t>
      </w:r>
      <w:proofErr w:type="spellEnd"/>
      <w:r w:rsidRPr="00723DA9">
        <w:rPr>
          <w:rFonts w:ascii="Times New Roman" w:hAnsi="Times New Roman" w:cs="Times New Roman"/>
          <w:sz w:val="24"/>
          <w:szCs w:val="24"/>
        </w:rPr>
        <w:t xml:space="preserve"> is similar to DA-Hi except using the modified PBL physics including the reduced “</w:t>
      </w:r>
      <w:proofErr w:type="spellStart"/>
      <w:r w:rsidRPr="00723DA9">
        <w:rPr>
          <w:rFonts w:ascii="Times New Roman" w:hAnsi="Times New Roman" w:cs="Times New Roman"/>
          <w:i/>
          <w:sz w:val="24"/>
          <w:szCs w:val="24"/>
        </w:rPr>
        <w:t>Coac</w:t>
      </w:r>
      <w:proofErr w:type="spellEnd"/>
      <w:r w:rsidRPr="00723DA9">
        <w:rPr>
          <w:rFonts w:ascii="Times New Roman" w:hAnsi="Times New Roman" w:cs="Times New Roman"/>
          <w:sz w:val="24"/>
          <w:szCs w:val="24"/>
        </w:rPr>
        <w:t>” and the modified PBL scheme.  To be consistent with the increased model resolution, the “</w:t>
      </w:r>
      <w:proofErr w:type="spellStart"/>
      <w:r w:rsidRPr="00723DA9">
        <w:rPr>
          <w:rFonts w:ascii="Times New Roman" w:hAnsi="Times New Roman" w:cs="Times New Roman"/>
          <w:i/>
          <w:sz w:val="24"/>
          <w:szCs w:val="24"/>
        </w:rPr>
        <w:t>Coac</w:t>
      </w:r>
      <w:proofErr w:type="spellEnd"/>
      <w:r w:rsidRPr="00723DA9">
        <w:rPr>
          <w:rFonts w:ascii="Times New Roman" w:hAnsi="Times New Roman" w:cs="Times New Roman"/>
          <w:sz w:val="24"/>
          <w:szCs w:val="24"/>
        </w:rPr>
        <w:t xml:space="preserve">” is also </w:t>
      </w:r>
      <w:bookmarkStart w:id="162" w:name="_Hlk527025723"/>
      <w:r w:rsidRPr="00723DA9">
        <w:rPr>
          <w:rFonts w:ascii="Times New Roman" w:hAnsi="Times New Roman" w:cs="Times New Roman"/>
          <w:sz w:val="24"/>
          <w:szCs w:val="24"/>
        </w:rPr>
        <w:t>adjusted to the finer grid spacing for the innermost domain</w:t>
      </w:r>
      <w:bookmarkEnd w:id="162"/>
      <w:r w:rsidRPr="00723DA9">
        <w:rPr>
          <w:rFonts w:ascii="Times New Roman" w:hAnsi="Times New Roman" w:cs="Times New Roman"/>
          <w:sz w:val="24"/>
          <w:szCs w:val="24"/>
        </w:rPr>
        <w:t>.  Comparison between DA-HDVD and DA-</w:t>
      </w:r>
      <w:proofErr w:type="spellStart"/>
      <w:r w:rsidRPr="00723DA9">
        <w:rPr>
          <w:rFonts w:ascii="Times New Roman" w:hAnsi="Times New Roman" w:cs="Times New Roman"/>
          <w:sz w:val="24"/>
          <w:szCs w:val="24"/>
        </w:rPr>
        <w:t>HDVDHi</w:t>
      </w:r>
      <w:proofErr w:type="spellEnd"/>
      <w:r w:rsidRPr="00723DA9">
        <w:rPr>
          <w:rFonts w:ascii="Times New Roman" w:hAnsi="Times New Roman" w:cs="Times New Roman"/>
          <w:sz w:val="24"/>
          <w:szCs w:val="24"/>
        </w:rPr>
        <w:t xml:space="preserve"> will reveal the impact of model resolution on TC intensity forecast with the modified model physics.  Inter-comparison among DA, DA-Hi, DA-HDVD and DA-</w:t>
      </w:r>
      <w:proofErr w:type="spellStart"/>
      <w:r w:rsidRPr="00723DA9">
        <w:rPr>
          <w:rFonts w:ascii="Times New Roman" w:hAnsi="Times New Roman" w:cs="Times New Roman"/>
          <w:sz w:val="24"/>
          <w:szCs w:val="24"/>
        </w:rPr>
        <w:t>HDVDHi</w:t>
      </w:r>
      <w:proofErr w:type="spellEnd"/>
      <w:r w:rsidRPr="00723DA9">
        <w:rPr>
          <w:rFonts w:ascii="Times New Roman" w:hAnsi="Times New Roman" w:cs="Times New Roman"/>
          <w:sz w:val="24"/>
          <w:szCs w:val="24"/>
        </w:rPr>
        <w:t xml:space="preserve"> will reveal the relative contribution of model physics and model resolution on the spin-down issue and on the peak intensity forecasts of Patricia.</w:t>
      </w:r>
    </w:p>
    <w:p w14:paraId="32D64CA1" w14:textId="5860370F" w:rsidR="00C56823" w:rsidRPr="00723DA9" w:rsidRDefault="00C56823" w:rsidP="00A67154">
      <w:pPr>
        <w:pStyle w:val="Heading2"/>
        <w:numPr>
          <w:ilvl w:val="1"/>
          <w:numId w:val="20"/>
        </w:numPr>
        <w:spacing w:line="480" w:lineRule="auto"/>
        <w:ind w:left="0" w:firstLine="0"/>
        <w:rPr>
          <w:rFonts w:ascii="Times New Roman" w:hAnsi="Times New Roman" w:cs="Times New Roman"/>
          <w:b/>
          <w:bCs/>
          <w:color w:val="auto"/>
          <w:sz w:val="24"/>
          <w:szCs w:val="24"/>
        </w:rPr>
      </w:pPr>
      <w:bookmarkStart w:id="163" w:name="_Toc21623996"/>
      <w:bookmarkStart w:id="164" w:name="OLE_LINK107"/>
      <w:r w:rsidRPr="00723DA9">
        <w:rPr>
          <w:rFonts w:ascii="Times New Roman" w:hAnsi="Times New Roman" w:cs="Times New Roman"/>
          <w:b/>
          <w:bCs/>
          <w:color w:val="auto"/>
          <w:sz w:val="24"/>
          <w:szCs w:val="24"/>
        </w:rPr>
        <w:t>Why more persistent TC spin-down exists with the more realistic analyses produced by DA?</w:t>
      </w:r>
      <w:bookmarkEnd w:id="163"/>
    </w:p>
    <w:p w14:paraId="6246950D" w14:textId="0BB944E9" w:rsidR="00C56823" w:rsidRPr="00723DA9" w:rsidRDefault="00C56823" w:rsidP="00A67154">
      <w:pPr>
        <w:pStyle w:val="Heading3"/>
        <w:numPr>
          <w:ilvl w:val="2"/>
          <w:numId w:val="22"/>
        </w:numPr>
        <w:spacing w:before="160" w:after="160" w:line="480" w:lineRule="auto"/>
        <w:rPr>
          <w:rFonts w:ascii="Times New Roman" w:hAnsi="Times New Roman" w:cs="Times New Roman"/>
          <w:b/>
          <w:bCs/>
          <w:i/>
          <w:iCs/>
          <w:color w:val="auto"/>
        </w:rPr>
      </w:pPr>
      <w:bookmarkStart w:id="165" w:name="_Toc21623997"/>
      <w:bookmarkStart w:id="166" w:name="OLE_LINK108"/>
      <w:bookmarkEnd w:id="164"/>
      <w:r w:rsidRPr="00723DA9">
        <w:rPr>
          <w:rFonts w:ascii="Times New Roman" w:hAnsi="Times New Roman" w:cs="Times New Roman"/>
          <w:b/>
          <w:bCs/>
          <w:i/>
          <w:iCs/>
          <w:color w:val="auto"/>
        </w:rPr>
        <w:t xml:space="preserve">Differences between VM and DA </w:t>
      </w:r>
      <w:bookmarkStart w:id="167" w:name="OLE_LINK137"/>
      <w:bookmarkStart w:id="168" w:name="OLE_LINK136"/>
      <w:r w:rsidRPr="00723DA9">
        <w:rPr>
          <w:rFonts w:ascii="Times New Roman" w:hAnsi="Times New Roman" w:cs="Times New Roman"/>
          <w:b/>
          <w:bCs/>
          <w:i/>
          <w:iCs/>
          <w:color w:val="auto"/>
        </w:rPr>
        <w:t>on TC analyses and forecast</w:t>
      </w:r>
      <w:bookmarkEnd w:id="167"/>
      <w:bookmarkEnd w:id="168"/>
      <w:r w:rsidRPr="00723DA9">
        <w:rPr>
          <w:rFonts w:ascii="Times New Roman" w:hAnsi="Times New Roman" w:cs="Times New Roman"/>
          <w:b/>
          <w:bCs/>
          <w:i/>
          <w:iCs/>
          <w:color w:val="auto"/>
        </w:rPr>
        <w:t>s</w:t>
      </w:r>
      <w:bookmarkEnd w:id="165"/>
    </w:p>
    <w:bookmarkEnd w:id="166"/>
    <w:p w14:paraId="48D10863" w14:textId="554C8ADA" w:rsidR="00C56823" w:rsidRPr="00723DA9" w:rsidRDefault="00C56823" w:rsidP="00771F99">
      <w:pPr>
        <w:spacing w:after="0" w:line="480" w:lineRule="auto"/>
        <w:ind w:firstLineChars="100" w:firstLine="240"/>
        <w:rPr>
          <w:rFonts w:ascii="Times New Roman" w:hAnsi="Times New Roman" w:cs="Times New Roman"/>
          <w:sz w:val="24"/>
          <w:szCs w:val="24"/>
        </w:rPr>
      </w:pPr>
      <w:r w:rsidRPr="00723DA9">
        <w:rPr>
          <w:rFonts w:ascii="Times New Roman" w:hAnsi="Times New Roman" w:cs="Times New Roman"/>
          <w:sz w:val="24"/>
          <w:szCs w:val="24"/>
        </w:rPr>
        <w:t xml:space="preserve">The performances of VM and DA are first compared together with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in this subsection to investigate their impacts on TC analyses and forecasts in the HWRF model.  </w:t>
      </w:r>
      <w:r w:rsidRPr="00723DA9">
        <w:rPr>
          <w:rFonts w:ascii="Times New Roman" w:eastAsia="宋体" w:hAnsi="Times New Roman" w:cs="Times New Roman"/>
          <w:sz w:val="24"/>
          <w:szCs w:val="24"/>
        </w:rPr>
        <w:t xml:space="preserve">The horizontal wind structures at different levels produced by the </w:t>
      </w:r>
      <w:r w:rsidRPr="00723DA9">
        <w:rPr>
          <w:rFonts w:ascii="Times New Roman" w:hAnsi="Times New Roman" w:cs="Times New Roman"/>
          <w:sz w:val="24"/>
          <w:szCs w:val="24"/>
        </w:rPr>
        <w:t xml:space="preserve">VM </w:t>
      </w:r>
      <w:r w:rsidRPr="00723DA9">
        <w:rPr>
          <w:rFonts w:ascii="Times New Roman" w:eastAsia="宋体" w:hAnsi="Times New Roman" w:cs="Times New Roman"/>
          <w:sz w:val="24"/>
          <w:szCs w:val="24"/>
        </w:rPr>
        <w:t xml:space="preserve">and </w:t>
      </w:r>
      <w:r w:rsidRPr="00723DA9">
        <w:rPr>
          <w:rFonts w:ascii="Times New Roman" w:hAnsi="Times New Roman" w:cs="Times New Roman"/>
          <w:sz w:val="24"/>
          <w:szCs w:val="24"/>
        </w:rPr>
        <w:t xml:space="preserve">DA </w:t>
      </w:r>
      <w:r w:rsidRPr="00723DA9">
        <w:rPr>
          <w:rFonts w:ascii="Times New Roman" w:eastAsia="宋体" w:hAnsi="Times New Roman" w:cs="Times New Roman"/>
          <w:sz w:val="24"/>
          <w:szCs w:val="24"/>
        </w:rPr>
        <w:t xml:space="preserve">analyses are first verified against the observations and the radar wind composite.  </w:t>
      </w:r>
      <w:r w:rsidRPr="00723DA9">
        <w:rPr>
          <w:rFonts w:ascii="Times New Roman" w:hAnsi="Times New Roman" w:cs="Times New Roman"/>
          <w:sz w:val="24"/>
          <w:szCs w:val="24"/>
        </w:rPr>
        <w:t xml:space="preserve">Figure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3 shows the model-derived wind and the corresponding verifications at the surface and 3-km height valid at 1800 UTC 22 October 2015.  The surface verification is from the observations of SFMR (</w:t>
      </w:r>
      <w:r w:rsidRPr="00723DA9">
        <w:rPr>
          <w:rFonts w:ascii="Times New Roman" w:eastAsia="宋体" w:hAnsi="Times New Roman" w:cs="Times New Roman"/>
          <w:sz w:val="24"/>
          <w:szCs w:val="24"/>
        </w:rPr>
        <w:t>Stepped Frequency Microwave Radiometer</w:t>
      </w:r>
      <w:r w:rsidRPr="00723DA9">
        <w:rPr>
          <w:rFonts w:ascii="Times New Roman" w:hAnsi="Times New Roman" w:cs="Times New Roman"/>
          <w:sz w:val="24"/>
          <w:szCs w:val="24"/>
        </w:rPr>
        <w:t xml:space="preserve">) onboard NOAA WP-3D aircraft and the 3-km height verification is </w:t>
      </w:r>
      <w:r w:rsidRPr="00723DA9">
        <w:rPr>
          <w:rFonts w:ascii="Times New Roman" w:eastAsia="宋体" w:hAnsi="Times New Roman" w:cs="Times New Roman"/>
          <w:sz w:val="24"/>
          <w:szCs w:val="24"/>
        </w:rPr>
        <w:t xml:space="preserve">composited from the TDR radial velocity data provided by HRD </w:t>
      </w:r>
      <w:r w:rsidRPr="00723DA9">
        <w:rPr>
          <w:rFonts w:ascii="Times New Roman" w:hAnsi="Times New Roman" w:cs="Times New Roman"/>
          <w:sz w:val="24"/>
          <w:szCs w:val="24"/>
        </w:rPr>
        <w:t>(</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{"citationItems":[{"id":"ITEM-1","itemData":{"author":[{"dropping-particle":"","family":"Gamache","given":"John","non-dropping-particle":"","parse-names":false,"suffix":""}],"id":"ITEM-1","issued":{"date-parts":[["2005"]]},"title":"Real-Time Dissemination of Hurricane Wind Fields Determined from Airborne Doppler Radar Data Real-Time Dissemination of Hurricane Wind Fields Determined","type":"article-journal"},"uris":["http://www.mendeley.com/documents/?uuid=8251774b-c0e3-4253-97a7-788f96879ff5"]}],"mendeley":{"formattedCitation":"(Gamache 2005)","manualFormatting":"Gamache 2005","plainTextFormattedCitation":"(Gamache 2005)","previouslyFormattedCitation":"(Gamache 2005)"},"properties":{"noteIndex":0},"schema":"https://github.com/citation-style-language/schema/raw/master/csl-citation.json"}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Gamache 2005</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both observations can be obtained from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URL":"http://www.aoml.noaa.gov/hrd/Storm_pages/patricia2015/","accessed":{"date-parts":[["2017","11","19"]]},"author":[{"dropping-particle":"","family":"HRD","given":"","non-dropping-particle":"","parse-names":false,"suffix":""}],"id":"ITEM-1","issued":{"date-parts":[["2015"]]},"title":"Patricia","type":"webpage"},"uris":["http://www.mendeley.com/documents/?uuid=1a760d93-bd04-3265-9cf9-a228c57e465e"]}],"mendeley":{"formattedCitation":"(HRD 2015)","manualFormatting":"HRD, 2015)","plainTextFormattedCitation":"(HRD 2015)","previouslyFormattedCitation":"(HRD 2015)"},"properties":{"noteIndex":0},"schema":"https://github.com/citation-style-language/schema/raw/master/csl-citation.json"}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HRD, 2015)</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While the SFMR observations suggested a small size hurricane (RMW about 18 km) with strong surface wind maximum (close to 60 </w:t>
      </w:r>
      <w:bookmarkStart w:id="169" w:name="OLE_LINK69"/>
      <w:bookmarkStart w:id="170" w:name="OLE_LINK68"/>
      <w:r w:rsidRPr="00723DA9">
        <w:rPr>
          <w:rFonts w:ascii="Times New Roman" w:hAnsi="Times New Roman" w:cs="Times New Roman"/>
          <w:sz w:val="24"/>
          <w:szCs w:val="24"/>
        </w:rPr>
        <w:t>ms</w:t>
      </w:r>
      <w:r w:rsidRPr="00723DA9">
        <w:rPr>
          <w:rFonts w:ascii="Times New Roman" w:hAnsi="Times New Roman" w:cs="Times New Roman"/>
          <w:sz w:val="24"/>
          <w:szCs w:val="24"/>
          <w:vertAlign w:val="superscript"/>
        </w:rPr>
        <w:t>-1</w:t>
      </w:r>
      <w:bookmarkEnd w:id="169"/>
      <w:bookmarkEnd w:id="170"/>
      <w:r w:rsidRPr="00723DA9">
        <w:rPr>
          <w:rFonts w:ascii="Times New Roman" w:hAnsi="Times New Roman" w:cs="Times New Roman"/>
          <w:sz w:val="24"/>
          <w:szCs w:val="24"/>
        </w:rPr>
        <w:t xml:space="preserve">;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3a) around the northeast of Patricia at this time, experiment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produces a spuriously large hurricane (RMW about 42 km) with much weaker surface wind maximum (about 41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to the southeast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3b).  This spuriously large size is also found in the 3-km height verifications above the surface </w:t>
      </w:r>
      <w:r w:rsidRPr="00723DA9">
        <w:rPr>
          <w:rFonts w:ascii="Times New Roman" w:hAnsi="Times New Roman" w:cs="Times New Roman"/>
          <w:sz w:val="24"/>
          <w:szCs w:val="24"/>
        </w:rPr>
        <w:lastRenderedPageBreak/>
        <w:t xml:space="preserve">(Fig.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3g,h).  Although the magnitude of wind maximum at the 3-km height is comparable with the observations, the wind speed in the southwest of the storm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is too strong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3g,h).  Therefore, modifications such as VM or DA are necessary to improve this sub-optimal initial condition.</w:t>
      </w:r>
    </w:p>
    <w:p w14:paraId="47BDBF2F" w14:textId="77777777" w:rsidR="00666BD3" w:rsidRPr="00723DA9" w:rsidRDefault="00666BD3" w:rsidP="00666BD3">
      <w:pPr>
        <w:pStyle w:val="Captions"/>
        <w:spacing w:after="0"/>
        <w:rPr>
          <w:rFonts w:eastAsia="宋体" w:cs="Times New Roman"/>
        </w:rPr>
      </w:pPr>
    </w:p>
    <w:p w14:paraId="68BF914B" w14:textId="59008A39" w:rsidR="00BF29DE" w:rsidRPr="00723DA9" w:rsidRDefault="00BF29DE" w:rsidP="00972859">
      <w:pPr>
        <w:spacing w:after="0" w:line="360" w:lineRule="auto"/>
        <w:jc w:val="center"/>
        <w:rPr>
          <w:rFonts w:ascii="Times New Roman" w:hAnsi="Times New Roman" w:cs="Times New Roman"/>
          <w:sz w:val="24"/>
          <w:szCs w:val="24"/>
        </w:rPr>
      </w:pPr>
      <w:r w:rsidRPr="00723DA9">
        <w:rPr>
          <w:rFonts w:ascii="Times New Roman" w:hAnsi="Times New Roman" w:cs="Times New Roman"/>
          <w:noProof/>
        </w:rPr>
        <w:drawing>
          <wp:inline distT="0" distB="0" distL="0" distR="0" wp14:anchorId="4381E1C8" wp14:editId="1A174638">
            <wp:extent cx="4654631" cy="6126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54631" cy="6126480"/>
                    </a:xfrm>
                    <a:prstGeom prst="rect">
                      <a:avLst/>
                    </a:prstGeom>
                    <a:noFill/>
                    <a:ln>
                      <a:noFill/>
                    </a:ln>
                  </pic:spPr>
                </pic:pic>
              </a:graphicData>
            </a:graphic>
          </wp:inline>
        </w:drawing>
      </w:r>
    </w:p>
    <w:p w14:paraId="1835C9B5" w14:textId="0C49324B" w:rsidR="00BF29DE" w:rsidRPr="00723DA9" w:rsidRDefault="00410356" w:rsidP="00966FCE">
      <w:pPr>
        <w:pStyle w:val="Captions"/>
        <w:spacing w:after="0"/>
        <w:rPr>
          <w:rFonts w:cs="Times New Roman"/>
        </w:rPr>
      </w:pPr>
      <w:bookmarkStart w:id="171" w:name="_Toc21624043"/>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3</w:t>
      </w:r>
      <w:r w:rsidR="00771F99" w:rsidRPr="00723DA9">
        <w:rPr>
          <w:rFonts w:cs="Times New Roman"/>
          <w:noProof/>
        </w:rPr>
        <w:fldChar w:fldCharType="end"/>
      </w:r>
      <w:r w:rsidRPr="00723DA9">
        <w:rPr>
          <w:rFonts w:cs="Times New Roman"/>
        </w:rPr>
        <w:t xml:space="preserve"> </w:t>
      </w:r>
      <w:r w:rsidR="00BF29DE" w:rsidRPr="00723DA9">
        <w:rPr>
          <w:rFonts w:cs="Times New Roman"/>
        </w:rPr>
        <w:t>(a)~(f) Wind (shading and vectors, ms</w:t>
      </w:r>
      <w:r w:rsidR="00BF29DE" w:rsidRPr="00723DA9">
        <w:rPr>
          <w:rFonts w:cs="Times New Roman"/>
          <w:vertAlign w:val="superscript"/>
        </w:rPr>
        <w:t>-1</w:t>
      </w:r>
      <w:r w:rsidR="00BF29DE" w:rsidRPr="00723DA9">
        <w:rPr>
          <w:rFonts w:cs="Times New Roman"/>
        </w:rPr>
        <w:t xml:space="preserve">) and pressure (contours, hPa) at 10-m height for (a) SFMR observations, (b) </w:t>
      </w:r>
      <w:proofErr w:type="spellStart"/>
      <w:r w:rsidR="00BF29DE" w:rsidRPr="00723DA9">
        <w:rPr>
          <w:rFonts w:cs="Times New Roman"/>
        </w:rPr>
        <w:t>NoDA</w:t>
      </w:r>
      <w:proofErr w:type="spellEnd"/>
      <w:r w:rsidR="00BF29DE" w:rsidRPr="00723DA9">
        <w:rPr>
          <w:rFonts w:cs="Times New Roman"/>
        </w:rPr>
        <w:t xml:space="preserve"> analysis, (c) VM analysis, (d) DA analysis, (e) DA-HD analysis and (f) DA-HDVD analysis for the third TCI mission valid at 1800 UTC, 22 Oct 2015. The black dot is the best track position </w:t>
      </w:r>
      <w:r w:rsidR="00BF29DE" w:rsidRPr="00723DA9">
        <w:rPr>
          <w:rFonts w:cs="Times New Roman"/>
        </w:rPr>
        <w:lastRenderedPageBreak/>
        <w:t xml:space="preserve">from NHC. (g)~(l) is the corresponding wind (shading and vectors) at 3-km height for (g) HRD radar composite, (h) </w:t>
      </w:r>
      <w:proofErr w:type="spellStart"/>
      <w:r w:rsidR="00BF29DE" w:rsidRPr="00723DA9">
        <w:rPr>
          <w:rFonts w:cs="Times New Roman"/>
        </w:rPr>
        <w:t>NoDA</w:t>
      </w:r>
      <w:proofErr w:type="spellEnd"/>
      <w:r w:rsidR="00BF29DE" w:rsidRPr="00723DA9">
        <w:rPr>
          <w:rFonts w:cs="Times New Roman"/>
        </w:rPr>
        <w:t xml:space="preserve"> analysis, (</w:t>
      </w:r>
      <w:proofErr w:type="spellStart"/>
      <w:r w:rsidR="00BF29DE" w:rsidRPr="00723DA9">
        <w:rPr>
          <w:rFonts w:cs="Times New Roman"/>
        </w:rPr>
        <w:t>i</w:t>
      </w:r>
      <w:proofErr w:type="spellEnd"/>
      <w:r w:rsidR="00BF29DE" w:rsidRPr="00723DA9">
        <w:rPr>
          <w:rFonts w:cs="Times New Roman"/>
        </w:rPr>
        <w:t>) VM analysis, (j) DA analysis, (k) DA-HD analysis and (l) DA-HDVD analysis.  Note, the SFMR and HRD radar composite are centered around 1739 UTC, 22 Oct 2015.  There are no wind vectors in (a) SFMR observations and there are no pressure contours in both (a) SFMR and (g) TDR observations.</w:t>
      </w:r>
      <w:bookmarkEnd w:id="171"/>
    </w:p>
    <w:p w14:paraId="24E46A46" w14:textId="77777777" w:rsidR="00966FCE" w:rsidRPr="00723DA9" w:rsidRDefault="00966FCE" w:rsidP="00966FCE">
      <w:pPr>
        <w:pStyle w:val="Captions"/>
        <w:spacing w:after="0"/>
        <w:rPr>
          <w:rFonts w:cs="Times New Roman"/>
        </w:rPr>
      </w:pPr>
    </w:p>
    <w:p w14:paraId="163B90B0" w14:textId="0D6FBA71"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The corresponding analyses produced by VM and DA at different heights are shown in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3c,d and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3i,j.  In the VM experiment, an axisymmetric composite vortex from the historic HWRF model forecasts is added onto the background to enhance storm intensity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Center","id":"ITEM-1","issued":{"date-parts":[["2015"]]},"number-of-pages":"1-81","title":"Hurricane Weather Research and Forecasting (HWRF) model: 2015 scientific documentation","type":"report"},"uris":["http://www.mendeley.com/documents/?uuid=b87ea64a-4059-481a-8188-da6f904806c8"]}],"mendeley":{"formattedCitation":"(Tallapragada et al. 2015)","plainTextFormattedCitation":"(Tallapragada et al. 2015)","previouslyFormattedCitation":"(Tallapragada et al. 2015)"},"properties":{"noteIndex":0},"schema":"https://github.com/citation-style-language/schema/raw/master/csl-citation.json"}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(Tallapragada et al. 2015)</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As a result, although the value of surface wind maximum in VM is modified and is now more consistent with the operational intensity estimate and the best track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5a), the wind maximum above the surface becomes spuriously strong (e.g.: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3i).  Meanwhile, although the RMW of the VM analysis is reduced slightly due to the size modification, the size of the 34 </w:t>
      </w:r>
      <w:proofErr w:type="spellStart"/>
      <w:r w:rsidRPr="00723DA9">
        <w:rPr>
          <w:rFonts w:ascii="Times New Roman" w:hAnsi="Times New Roman" w:cs="Times New Roman"/>
          <w:sz w:val="24"/>
          <w:szCs w:val="24"/>
        </w:rPr>
        <w:t>kt</w:t>
      </w:r>
      <w:proofErr w:type="spellEnd"/>
      <w:r w:rsidRPr="00723DA9">
        <w:rPr>
          <w:rFonts w:ascii="Times New Roman" w:hAnsi="Times New Roman" w:cs="Times New Roman"/>
          <w:sz w:val="24"/>
          <w:szCs w:val="24"/>
        </w:rPr>
        <w:t xml:space="preserve"> wind radii is significantly increased after adding the strong axisymmetric composite.  In other words, the primary circulation in VM becomes spuriously large and strong.  In comparison with VM, experiment DA produces a significantly contracted vortex where both the RMW and 34 </w:t>
      </w:r>
      <w:proofErr w:type="spellStart"/>
      <w:r w:rsidRPr="00723DA9">
        <w:rPr>
          <w:rFonts w:ascii="Times New Roman" w:hAnsi="Times New Roman" w:cs="Times New Roman"/>
          <w:sz w:val="24"/>
          <w:szCs w:val="24"/>
        </w:rPr>
        <w:t>kt</w:t>
      </w:r>
      <w:proofErr w:type="spellEnd"/>
      <w:r w:rsidRPr="00723DA9">
        <w:rPr>
          <w:rFonts w:ascii="Times New Roman" w:hAnsi="Times New Roman" w:cs="Times New Roman"/>
          <w:sz w:val="24"/>
          <w:szCs w:val="24"/>
        </w:rPr>
        <w:t xml:space="preserve"> wind radii are more consistent with the SFMR observations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3d).  This storm size reduction is consistently found at different levels (e.g. Fig.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3j).  Moreover, the spuriously strong wind flows in the southwest quadrant found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are reduced to be more comparable with the HRD radar composite.  However, the wind maximum in DA is positioned to the north rather than the northeast of the storm.  In addition, the magnitude of this wind maximum (about 52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is still weaker than the SFMR observations at the surface.  But overall, the general 3D TC inner-core structure produced by the DA experiment fits observations much better than either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or VM.  Further details on how assimilated observations from IFEX, TCI and CIMSS can improve various aspects of the analysis of Patricia are presented in </w:t>
      </w:r>
      <w:r w:rsidR="00E22E12" w:rsidRPr="00723DA9">
        <w:rPr>
          <w:rFonts w:ascii="Times New Roman" w:hAnsi="Times New Roman" w:cs="Times New Roman"/>
          <w:sz w:val="24"/>
          <w:szCs w:val="24"/>
        </w:rPr>
        <w:t>Chapter</w:t>
      </w:r>
      <w:r w:rsidR="00403CAF" w:rsidRPr="00723DA9">
        <w:rPr>
          <w:rFonts w:ascii="Times New Roman" w:hAnsi="Times New Roman" w:cs="Times New Roman"/>
          <w:sz w:val="24"/>
          <w:szCs w:val="24"/>
        </w:rPr>
        <w:t xml:space="preserve"> 5</w:t>
      </w:r>
      <w:r w:rsidRPr="00723DA9">
        <w:rPr>
          <w:rFonts w:ascii="Times New Roman" w:hAnsi="Times New Roman" w:cs="Times New Roman"/>
          <w:sz w:val="24"/>
          <w:szCs w:val="24"/>
        </w:rPr>
        <w:t xml:space="preserve">. </w:t>
      </w:r>
    </w:p>
    <w:p w14:paraId="555C52ED" w14:textId="77777777" w:rsidR="00666BD3" w:rsidRPr="00723DA9" w:rsidRDefault="00666BD3" w:rsidP="00666BD3">
      <w:pPr>
        <w:pStyle w:val="Captions"/>
        <w:spacing w:after="0"/>
        <w:rPr>
          <w:rFonts w:eastAsia="宋体" w:cs="Times New Roman"/>
        </w:rPr>
      </w:pPr>
    </w:p>
    <w:p w14:paraId="6386EF90" w14:textId="77777777" w:rsidR="00BF29DE" w:rsidRPr="00723DA9" w:rsidRDefault="00BF29DE" w:rsidP="001B41DC">
      <w:pPr>
        <w:spacing w:after="0" w:line="360" w:lineRule="auto"/>
        <w:jc w:val="center"/>
        <w:rPr>
          <w:rFonts w:ascii="Times New Roman" w:hAnsi="Times New Roman" w:cs="Times New Roman"/>
          <w:sz w:val="24"/>
          <w:szCs w:val="24"/>
        </w:rPr>
      </w:pPr>
      <w:r w:rsidRPr="00723DA9">
        <w:rPr>
          <w:rFonts w:ascii="Times New Roman" w:hAnsi="Times New Roman" w:cs="Times New Roman"/>
          <w:noProof/>
        </w:rPr>
        <w:lastRenderedPageBreak/>
        <w:drawing>
          <wp:inline distT="0" distB="0" distL="0" distR="0" wp14:anchorId="2B3599D6" wp14:editId="1B257908">
            <wp:extent cx="5486400" cy="5257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5257800"/>
                    </a:xfrm>
                    <a:prstGeom prst="rect">
                      <a:avLst/>
                    </a:prstGeom>
                    <a:noFill/>
                    <a:ln>
                      <a:noFill/>
                    </a:ln>
                  </pic:spPr>
                </pic:pic>
              </a:graphicData>
            </a:graphic>
          </wp:inline>
        </w:drawing>
      </w:r>
    </w:p>
    <w:p w14:paraId="4AA15B3A" w14:textId="32AE2A1E" w:rsidR="00BF29DE" w:rsidRPr="00723DA9" w:rsidRDefault="00410356" w:rsidP="00966FCE">
      <w:pPr>
        <w:pStyle w:val="Captions"/>
        <w:spacing w:after="0"/>
        <w:rPr>
          <w:rFonts w:cs="Times New Roman"/>
        </w:rPr>
      </w:pPr>
      <w:bookmarkStart w:id="172" w:name="_Toc21624044"/>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4</w:t>
      </w:r>
      <w:r w:rsidR="00771F99" w:rsidRPr="00723DA9">
        <w:rPr>
          <w:rFonts w:cs="Times New Roman"/>
          <w:noProof/>
        </w:rPr>
        <w:fldChar w:fldCharType="end"/>
      </w:r>
      <w:r w:rsidR="00BF29DE" w:rsidRPr="00723DA9">
        <w:rPr>
          <w:rFonts w:cs="Times New Roman"/>
        </w:rPr>
        <w:t xml:space="preserve"> </w:t>
      </w:r>
      <w:bookmarkStart w:id="173" w:name="OLE_LINK36"/>
      <w:r w:rsidR="00BF29DE" w:rsidRPr="00723DA9">
        <w:rPr>
          <w:rFonts w:cs="Times New Roman"/>
        </w:rPr>
        <w:t>Radius-height cross-section of the isopleths of the azimuthal mean NRF (m s</w:t>
      </w:r>
      <w:r w:rsidR="00BF29DE" w:rsidRPr="00723DA9">
        <w:rPr>
          <w:rFonts w:cs="Times New Roman"/>
          <w:vertAlign w:val="superscript"/>
        </w:rPr>
        <w:t>-1</w:t>
      </w:r>
      <w:r w:rsidR="00BF29DE" w:rsidRPr="00723DA9">
        <w:rPr>
          <w:rFonts w:cs="Times New Roman"/>
        </w:rPr>
        <w:t xml:space="preserve"> s</w:t>
      </w:r>
      <w:r w:rsidR="00BF29DE" w:rsidRPr="00723DA9">
        <w:rPr>
          <w:rFonts w:cs="Times New Roman"/>
          <w:vertAlign w:val="superscript"/>
        </w:rPr>
        <w:t>-1</w:t>
      </w:r>
      <w:r w:rsidR="00BF29DE" w:rsidRPr="00723DA9">
        <w:rPr>
          <w:rFonts w:cs="Times New Roman"/>
        </w:rPr>
        <w:t xml:space="preserve">) for (a), (d) </w:t>
      </w:r>
      <w:proofErr w:type="spellStart"/>
      <w:r w:rsidR="00BF29DE" w:rsidRPr="00723DA9">
        <w:rPr>
          <w:rFonts w:cs="Times New Roman"/>
        </w:rPr>
        <w:t>NoDA</w:t>
      </w:r>
      <w:proofErr w:type="spellEnd"/>
      <w:r w:rsidR="00BF29DE" w:rsidRPr="00723DA9">
        <w:rPr>
          <w:rFonts w:cs="Times New Roman"/>
        </w:rPr>
        <w:t>, (b), (e) VM and (c), (f) DA analysis at 1800 UTC 22 Oct 2015. (a)~(c) is a zoom-in plot for (d)~(f) below 700 hPa and within 90 km radii</w:t>
      </w:r>
      <w:bookmarkEnd w:id="173"/>
      <w:r w:rsidR="00BF29DE" w:rsidRPr="00723DA9">
        <w:rPr>
          <w:rFonts w:cs="Times New Roman"/>
        </w:rPr>
        <w:t>.  The sum of Centrifugal Force and Coriolis Force (m s</w:t>
      </w:r>
      <w:r w:rsidR="00BF29DE" w:rsidRPr="00723DA9">
        <w:rPr>
          <w:rFonts w:cs="Times New Roman"/>
          <w:vertAlign w:val="superscript"/>
        </w:rPr>
        <w:t>-1</w:t>
      </w:r>
      <w:r w:rsidR="00BF29DE" w:rsidRPr="00723DA9">
        <w:rPr>
          <w:rFonts w:cs="Times New Roman"/>
        </w:rPr>
        <w:t xml:space="preserve"> s</w:t>
      </w:r>
      <w:r w:rsidR="00BF29DE" w:rsidRPr="00723DA9">
        <w:rPr>
          <w:rFonts w:cs="Times New Roman"/>
          <w:vertAlign w:val="superscript"/>
        </w:rPr>
        <w:t>-1</w:t>
      </w:r>
      <w:r w:rsidR="00BF29DE" w:rsidRPr="00723DA9">
        <w:rPr>
          <w:rFonts w:cs="Times New Roman"/>
        </w:rPr>
        <w:t xml:space="preserve">) at 1-km height are also given for (g) </w:t>
      </w:r>
      <w:proofErr w:type="spellStart"/>
      <w:r w:rsidR="00BF29DE" w:rsidRPr="00723DA9">
        <w:rPr>
          <w:rFonts w:cs="Times New Roman"/>
        </w:rPr>
        <w:t>NoDA</w:t>
      </w:r>
      <w:proofErr w:type="spellEnd"/>
      <w:r w:rsidR="00BF29DE" w:rsidRPr="00723DA9">
        <w:rPr>
          <w:rFonts w:cs="Times New Roman"/>
        </w:rPr>
        <w:t>, (h) VM, (</w:t>
      </w:r>
      <w:proofErr w:type="spellStart"/>
      <w:r w:rsidR="00BF29DE" w:rsidRPr="00723DA9">
        <w:rPr>
          <w:rFonts w:cs="Times New Roman"/>
        </w:rPr>
        <w:t>i</w:t>
      </w:r>
      <w:proofErr w:type="spellEnd"/>
      <w:r w:rsidR="00BF29DE" w:rsidRPr="00723DA9">
        <w:rPr>
          <w:rFonts w:cs="Times New Roman"/>
        </w:rPr>
        <w:t>) DA, and (j) HRD radar composite.</w:t>
      </w:r>
      <w:bookmarkEnd w:id="172"/>
    </w:p>
    <w:p w14:paraId="5235F4F3" w14:textId="77777777" w:rsidR="00BF29DE" w:rsidRPr="00723DA9" w:rsidRDefault="00BF29DE" w:rsidP="00966FCE">
      <w:pPr>
        <w:pStyle w:val="Captions"/>
        <w:spacing w:after="0"/>
        <w:rPr>
          <w:rFonts w:cs="Times New Roman"/>
        </w:rPr>
      </w:pPr>
    </w:p>
    <w:p w14:paraId="062A77CC" w14:textId="75F3D208"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To further diagnose the differences among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VM and DA, the gradient wind balance (GWB) relationship within each experiment is investigated.  Following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{"citationItems":[{"id":"ITEM-1","itemData":{"DOI":"10.1002/qj","ISBN":"0035-9009","ISSN":"00359009","PMID":"19706430","abstract":"We present numerical experiments to investigate axisymmetric interpretations of tropical cyclone spin-up in a three-dimensional model. Two mechanisms are identified for the spin-up of the mean tangential circulation. The first involves the convergence of absolute angular momentum above the boundary layer and is a mechanism to spin up the outer circulation, i.e. to increase the vortex size. The second involves the convergence of absolute angular momentum within the boundary layer and is a mechanism to spin up the inner core. It is associated with the development of supergradient wind speeds in the boundary layer. The existence of these two mechanisms provides a plausible physical explanation for certain long-standing observations of typhoons by Weatherford and Gray, which indicate that inner-core changes in the azimuthal-mean tangential wind speed often occur independently from those in the outer core. The unbalanced dynamics in the inner-core region are important in determining the maximum radial and tangential flow speeds that can be attained, and therefore important in determining the azimuthal-mean intensity of the vortex. We illustrate the importance of unbalanced flow in the boundary layer with a simple thought experiment. The analyses and interpretations presented are novel and support a recent hypothesis of the boundary layer in the inner-core region.","author":[{"dropping-particle":"","family":"Smith","given":"Roger K.","non-dropping-particle":"","parse-names":false,"suffix":""},{"dropping-particle":"","family":"Montgomeryb","given":"Michael T.","non-dropping-particle":"","parse-names":false,"suffix":""},{"dropping-particle":"Van","family":"Sang","given":"Nguyen","non-dropping-particle":"","parse-names":false,"suffix":""}],"container-title":"Quarterly Journal of the Royal Meteorological Society","id":"ITEM-1","issued":{"date-parts":[["2009"]]},"page":"1321-1335","title":"Tropical cyclone spin-up revisited","type":"article-journal","volume":"135"},"uris":["http://www.mendeley.com/documents/?uuid=59f483dd-751c-4f43-b850-ecb67d1b4936"]}],"mendeley":{"formattedCitation":"(Smith et al. 2009)","manualFormatting":"Smith et al. (2009)","plainTextFormattedCitation":"(Smith et al. 2009)","previouslyFormattedCitation":"(Smith et al. 2009)"},"properties":{"noteIndex":0},"schema":"https://github.com/citation-style-language/schema/raw/master/csl-citation.json"}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Smith et al. (2009)</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a net radial force (</w:t>
      </w:r>
      <w:bookmarkStart w:id="174" w:name="OLE_LINK110"/>
      <w:bookmarkStart w:id="175" w:name="OLE_LINK109"/>
      <w:r w:rsidRPr="00723DA9">
        <w:rPr>
          <w:rFonts w:ascii="Times New Roman" w:hAnsi="Times New Roman" w:cs="Times New Roman"/>
          <w:sz w:val="24"/>
          <w:szCs w:val="24"/>
        </w:rPr>
        <w:t>NRF</w:t>
      </w:r>
      <w:bookmarkEnd w:id="174"/>
      <w:bookmarkEnd w:id="175"/>
      <w:r w:rsidRPr="00723DA9">
        <w:rPr>
          <w:rFonts w:ascii="Times New Roman" w:hAnsi="Times New Roman" w:cs="Times New Roman"/>
          <w:sz w:val="24"/>
          <w:szCs w:val="24"/>
        </w:rPr>
        <w:t xml:space="preserve">) field defined as the difference between the local radial pressure gradient force and the sum of centrifugal force and Coriolis force is used to describe the GWB relationship. This NRF is calculated on the pressure coordinates following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10.1175/2009JAS3121.1","ISBN":"0022-4928","ISSN":"0022-4928","author":[{"dropping-particle":"","family":"Pu","given":"Zhaoxia","non-dropping-particle":"","parse-names":false,"suffix":""},{"dropping-particle":"","family":"Li","given":"Xuanli","non-dropping-particle":"","parse-names":false,"suffix":""},{"dropping-particle":"","family":"Sun","given":"Juanzhen","non-dropping-particle":"","parse-names":false,"suffix":""}],"container-title":"Journal of the Atmospheric Sciences","id":"ITEM-1","issue":"11","issued":{"date-parts":[["2009"]]},"page":"3351-3365","title":"Impact of Airborne Doppler Radar Data Assimilation on the Numerical Simulation of Intensity Changes of Hurricane Dennis near a Landfall","type":"article-journal","volume":"66"},"uris":["http://www.mendeley.com/documents/?uuid=2b8f8e73-b47d-4c3d-9a13-150a6ccd287e"]}],"mendeley":{"formattedCitation":"(Pu et al. 2009)","manualFormatting":"Pu et al. (2009)","plainTextFormattedCitation":"(Pu et al. 2009)","previouslyFormattedCitation":"(Pu et al. 2009)"},"properties":{"noteIndex":0},"schema":"https://github.com/citation-style-language/schema/raw/master/csl-citation.json"}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Pu et al. (2009)</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w:t>
      </w:r>
    </w:p>
    <w:p w14:paraId="26428801" w14:textId="0A4725BC" w:rsidR="00C56823" w:rsidRPr="00723DA9" w:rsidRDefault="00C56823" w:rsidP="00771F99">
      <w:pPr>
        <w:spacing w:after="0" w:line="480" w:lineRule="auto"/>
        <w:ind w:firstLine="360"/>
        <w:jc w:val="center"/>
        <w:rPr>
          <w:rFonts w:ascii="Times New Roman" w:hAnsi="Times New Roman" w:cs="Times New Roman"/>
          <w:sz w:val="24"/>
          <w:szCs w:val="24"/>
        </w:rPr>
      </w:pPr>
      <m:oMath>
        <m:r>
          <w:rPr>
            <w:rFonts w:ascii="Cambria Math" w:hAnsi="Cambria Math" w:cs="Times New Roman"/>
            <w:sz w:val="24"/>
            <w:szCs w:val="24"/>
          </w:rPr>
          <m:t>NRF=-g</m:t>
        </m:r>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∂r</m:t>
            </m:r>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num>
          <m:den>
            <m:r>
              <w:rPr>
                <w:rFonts w:ascii="Cambria Math" w:hAnsi="Cambria Math" w:cs="Times New Roman"/>
                <w:sz w:val="24"/>
                <w:szCs w:val="24"/>
              </w:rPr>
              <m:t>r</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r>
          <w:rPr>
            <w:rFonts w:ascii="Cambria Math" w:hAnsi="Cambria Math" w:cs="Times New Roman"/>
            <w:sz w:val="24"/>
            <w:szCs w:val="24"/>
          </w:rPr>
          <m:t>v</m:t>
        </m:r>
      </m:oMath>
      <w:r w:rsidRPr="00723DA9">
        <w:rPr>
          <w:rFonts w:ascii="Times New Roman" w:hAnsi="Times New Roman" w:cs="Times New Roman"/>
          <w:sz w:val="24"/>
          <w:szCs w:val="24"/>
        </w:rPr>
        <w:tab/>
        <w:t xml:space="preserve">   (</w:t>
      </w:r>
      <w:r w:rsidR="001B41DC">
        <w:rPr>
          <w:rFonts w:ascii="Times New Roman" w:hAnsi="Times New Roman" w:cs="Times New Roman"/>
          <w:sz w:val="24"/>
          <w:szCs w:val="24"/>
        </w:rPr>
        <w:t>4.</w:t>
      </w:r>
      <w:r w:rsidRPr="00723DA9">
        <w:rPr>
          <w:rFonts w:ascii="Times New Roman" w:hAnsi="Times New Roman" w:cs="Times New Roman"/>
          <w:sz w:val="24"/>
          <w:szCs w:val="24"/>
        </w:rPr>
        <w:t>1)</w:t>
      </w:r>
    </w:p>
    <w:p w14:paraId="61685F5C" w14:textId="343BF50A" w:rsidR="00C56823" w:rsidRPr="00723DA9" w:rsidRDefault="00C56823" w:rsidP="00771F99">
      <w:pPr>
        <w:spacing w:after="0" w:line="480" w:lineRule="auto"/>
        <w:rPr>
          <w:rFonts w:ascii="Times New Roman" w:hAnsi="Times New Roman" w:cs="Times New Roman"/>
          <w:sz w:val="24"/>
          <w:szCs w:val="24"/>
        </w:rPr>
      </w:pPr>
      <w:r w:rsidRPr="00723DA9">
        <w:rPr>
          <w:rFonts w:ascii="Times New Roman" w:hAnsi="Times New Roman" w:cs="Times New Roman"/>
          <w:sz w:val="24"/>
          <w:szCs w:val="24"/>
        </w:rPr>
        <w:lastRenderedPageBreak/>
        <w:t>where z is the geopotential height, r is the radial distance, v is the tangential wind speed, and g and f</w:t>
      </w:r>
      <w:r w:rsidRPr="00723DA9">
        <w:rPr>
          <w:rFonts w:ascii="Times New Roman" w:hAnsi="Times New Roman" w:cs="Times New Roman"/>
          <w:sz w:val="24"/>
          <w:szCs w:val="24"/>
          <w:vertAlign w:val="subscript"/>
        </w:rPr>
        <w:t>0</w:t>
      </w:r>
      <w:r w:rsidRPr="00723DA9">
        <w:rPr>
          <w:rFonts w:ascii="Times New Roman" w:hAnsi="Times New Roman" w:cs="Times New Roman"/>
          <w:sz w:val="24"/>
          <w:szCs w:val="24"/>
        </w:rPr>
        <w:t xml:space="preserve"> are the constants of gravitational acceleration and Coriolis parameter, respectively. Therefore, the GWB is established when NRF equals 0, and the flow is super-gradient or sub-gradient when NRF is larger or smaller than 0, respectively.  The corresponding azimuthal mean NRF fields for each experiment in the radius-pressure cross-section are shown in Figure </w:t>
      </w:r>
      <w:r w:rsidR="00BF29DE" w:rsidRPr="00723DA9">
        <w:rPr>
          <w:rFonts w:ascii="Times New Roman" w:hAnsi="Times New Roman" w:cs="Times New Roman"/>
          <w:sz w:val="24"/>
          <w:szCs w:val="24"/>
        </w:rPr>
        <w:t>4.</w:t>
      </w:r>
      <w:r w:rsidRPr="00723DA9">
        <w:rPr>
          <w:rFonts w:ascii="Times New Roman" w:hAnsi="Times New Roman" w:cs="Times New Roman"/>
          <w:sz w:val="24"/>
          <w:szCs w:val="24"/>
        </w:rPr>
        <w:t xml:space="preserve">4. </w:t>
      </w:r>
    </w:p>
    <w:p w14:paraId="7C1F33D2" w14:textId="78221CCC"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According to some previous studies, the boundary layer of an intensifying storm is found to be sub-gradient at outer radii and super-gradient at inner radii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{"citationItems":[{"id":"ITEM-1","itemData":{"author":[{"dropping-particle":"","family":"Smith","given":"Roger K.","non-dropping-particle":"","parse-names":false,"suffix":""},{"dropping-particle":"","family":"Montgomery","given":"Michael T.","non-dropping-particle":"","parse-names":false,"suffix":""},{"dropping-particle":"","family":"Vogl","given":"Stefanie","non-dropping-particle":"","parse-names":false,"suffix":""}],"container-title":"QUARTERLY JOURNAL OF THE ROYAL METEOROLOGICAL SOCIETY","id":"ITEM-1","issued":{"date-parts":[["2008"]]},"page":"1-11","title":"A critique of Emanuel’s hurricane model and potential intensity theory","type":"article-journal","volume":"134"},"uris":["http://www.mendeley.com/documents/?uuid=342815a7-87c8-3408-a91f-e772b06dde3c"]},{"id":"ITEM-2","itemData":{"DOI":"10.1002/qj","ISBN":"0035-9009","ISSN":"00359009","PMID":"19706430","abstract":"We present numerical experiments to investigate axisymmetric interpretations of tropical cyclone spin-up in a three-dimensional model. Two mechanisms are identified for the spin-up of the mean tangential circulation. The first involves the convergence of absolute angular momentum above the boundary layer and is a mechanism to spin up the outer circulation, i.e. to increase the vortex size. The second involves the convergence of absolute angular momentum within the boundary layer and is a mechanism to spin up the inner core. It is associated with the development of supergradient wind speeds in the boundary layer. The existence of these two mechanisms provides a plausible physical explanation for certain long-standing observations of typhoons by Weatherford and Gray, which indicate that inner-core changes in the azimuthal-mean tangential wind speed often occur independently from those in the outer core. The unbalanced dynamics in the inner-core region are important in determining the maximum radial and tangential flow speeds that can be attained, and therefore important in determining the azimuthal-mean intensity of the vortex. We illustrate the importance of unbalanced flow in the boundary layer with a simple thought experiment. The analyses and interpretations presented are novel and support a recent hypothesis of the boundary layer in the inner-core region.","author":[{"dropping-particle":"","family":"Smith","given":"Roger K.","non-dropping-particle":"","parse-names":false,"suffix":""},{"dropping-particle":"","family":"Montgomeryb","given":"Michael T.","non-dropping-particle":"","parse-names":false,"suffix":""},{"dropping-particle":"Van","family":"Sang","given":"Nguyen","non-dropping-particle":"","parse-names":false,"suffix":""}],"container-title":"Quarterly Journal of the Royal Meteorological Society","id":"ITEM-2","issued":{"date-parts":[["2009"]]},"page":"1321-1335","title":"Tropical cyclone spin-up revisited","type":"article-journal","volume":"135"},"uris":["http://www.mendeley.com/documents/?uuid=59f483dd-751c-4f43-b850-ecb67d1b4936"]}],"mendeley":{"formattedCitation":"(Smith et al. 2008, 2009)","plainTextFormattedCitation":"(Smith et al. 2008, 2009)","previouslyFormattedCitation":"(Smith et al. 2008, 2009)"},"properties":{"noteIndex":0},"schema":"https://github.com/citation-style-language/schema/raw/master/csl-citation.json"}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(Smith et al. 2008, 2009)</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Fig. 4</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a and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4c show that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and DA are producing consistent boundary layer NRF fields with these theoretical studies.  In the free atmosphere regions above the PBL, previous studies often assumed GWB and hydrostatic balance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{"citationItems":[{"id":"ITEM-1","itemData":{"DOI":"10.1175/1520-0469(1986)043&lt;0585:AASITF&gt;2.0.CO;2","ISBN":"0022-4928","ISSN":"0022-4928","abstract":"Abstract Observations and numerical simulators of tropical cyclones show that evaporation from the sea surface is essential to the development of reasonably intense storms. On the other hand, the CISK hypothesis, in the form originally advanced by Charney and Eliassen, holds that initial development results from the organized release of preexisting conditional instability. In this series of papers, we explore the relative importance of ambient conditional instability and air-sea latent and sensible heat transfer in both the development and maintenance of tropical cyclones using highly idealized models. In particular, we advance the hypothesis that the intensification and maintenance of tropical cyclones depend exclusively on self-induced heat transfer from the ocean. In this sense, these storms may be regarded as resulting from a finite amplitude air-sea interaction instability rather than from a linear instability involving ambient potential buoyancy. In the present paper, we attempt to show that reasona...","author":[{"dropping-particle":"","family":"Emanuel","given":"Kerry A.","non-dropping-particle":"","parse-names":false,"suffix":""}],"container-title":"Journal of the Atmospheric Sciences","id":"ITEM-1","issue":"6","issued":{"date-parts":[["1986"]]},"page":"585-605","title":"An Air-Sea Interaction Theory for Tropical Cyclones. Part I: Steady-State Maintenance","type":"article","volume":"43"},"uris":["http://www.mendeley.com/documents/?uuid=7996be58-273d-4a3c-8b8a-dde41b6a9bde"]},{"id":"ITEM-2","itemData":{"DOI":"10.1175/1520-0469(1995)052&lt;3969:SOTCTS&gt;2.0.CO;2","ISBN":"1520-0469","ISSN":"0022-4928","abstract":"Numerical and theoretical models of tropical cyclones indicate that the maximum wind speed in mature storms is sensitive to the ratio of the enthalpy and momentum surface exchange coefficients and that the spinup time of tropical cyclones varies inversely with the magnitude of these coefficients. At the same time, the Carnot cycle model developed by the author predicts that the central pressure of mature cyclones is independent of the magnitude of the exchange coefficients. The author presents numerical simulations that prove this last prediction false and suggest that the reason for this failure is the neglect of eye dynamics in the steady-state theory. On this basis, the existing theory is modified to account for eye dynamics, and the predictions of the revised theory are compared to the results of numerical simulations. Both the revised theory and the numerical modeling results, when compared to observations, suggest that the ratio of enthalpy to momentum exchange coefficients in real hurricanes lies in the range 0.75&amp;#8211;1.5, contradicting published speculations about the behavior of this ratio at high surface wind speed.","author":[{"dropping-particle":"","family":"Emanuel","given":"Kerry a.","non-dropping-particle":"","parse-names":false,"suffix":""}],"container-title":"Journal of the Atmospheric Sciences","id":"ITEM-2","issue":"22","issued":{"date-parts":[["1995"]]},"page":"3969-3976","title":"Sensitivity of Tropical Cyclones to Surface Exchange Coefficients and a Revised Steady-State Model incorporating Eye Dynamics","type":"article","volume":"52"},"uris":["http://www.mendeley.com/documents/?uuid=27b2450a-39cc-4b2a-b67d-d52b0deeb093"]}],"mendeley":{"formattedCitation":"(Emanuel 1986, 1995)","plainTextFormattedCitation":"(Emanuel 1986, 1995)","previouslyFormattedCitation":"(Emanuel 1986, 1995)"},"properties":{"noteIndex":0},"schema":"https://github.com/citation-style-language/schema/raw/master/csl-citation.json"}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(Emanuel 1986, 1995)</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Consistently,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4d and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4f indicate that the NRF fields in both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and DA are almost 0, or GWB, outside the eyewall region above PBL.  Additionally, as indicated in </w:t>
      </w:r>
      <w:r w:rsidR="0053551D"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1, studies by </w:t>
      </w:r>
      <w:r w:rsidRPr="00723DA9">
        <w:rPr>
          <w:rFonts w:ascii="Times New Roman" w:hAnsi="Times New Roman" w:cs="Times New Roman"/>
          <w:sz w:val="24"/>
          <w:szCs w:val="24"/>
        </w:rPr>
        <w:fldChar w:fldCharType="begin" w:fldLock="1"/>
      </w:r>
      <w:r w:rsidRPr="00723DA9">
        <w:rPr>
          <w:rFonts w:ascii="Times New Roman" w:hAnsi="Times New Roman" w:cs="Times New Roman"/>
          <w:sz w:val="24"/>
          <w:szCs w:val="24"/>
        </w:rPr>
        <w:instrText>ADDIN CSL_CITATION {"citationItems":[{"id":"ITEM-1","itemData":{"DOI":"10.1175/2009JAS3038.1","abstract":"Several studies have shown that the intensity of numerically simulated tropical cyclones can exceed (by 50%) a theoretical upper limit. To investigate the cause, this study evaluates the underlying components of Emanuel's commonly cited analytic theory for potential intensity (herein referred to as E-PI). A review of the derivation of E-PI highlights three primary components: a dynamical component (gradient-wind and hydrostatic balance); a thermodynamical component (reversible or pseudoadiabatic thermodynamics, al-though the pseudoadiabatic assumption yields greater intensity); and a planetary boundary layer (PBL) closure (which relates the horizontal gradients of entropy and angular momentum at the top of the PBL to fluxes and stresses at the ocean surface). These three components are evaluated using output from an axi-symmetric numerical model. The present analysis finds the thermodynamical component and the PBL closure to be sufficiently accurate for several different simulations. In contrast, the dynamical component is clearly violated. Although the balanced portion of the flow (y g , to which E-PI applies) appears to also exceed E-PI, it is shown that this difference is attributable to the method used to calculate y g from the model output. Evi-dence is shown that y g for a truly balanced cyclone does not exceed E-PI. To clearly quantify the impact of unbalanced flow, a more complete analytic model is presented. The model is not expressed in terms of ex-ternal conditions and thus cannot be used to predict maximum intensity for a given environment; however, it does allow for evaluation of the relative contributions to maximum intensity from balanced and unbalanced (i.e., inertial) terms in the governing equations. Using numerical model output, this more complete model is shown to accurately model maximum intensity. Analysis against observations further confirms that the effects of unbalanced flow on maximum intensity are not always negligible. The contribution to intensity from un-balanced flow can become negligible in axisymmetric models as radial turbulence (i.e., viscosity) increases, and this explains why some previous studies concluded that E-PI was an accurate upper bound for their simulations. Conclusions of this study are also compared and contrasted to those from previous studies.","author":[{"dropping-particle":"","family":"Bryan","given":"George H","non-dropping-particle":"","parse-names":false,"suffix":""},{"dropping-particle":"","family":"Rotunno","given":"Richard","non-dropping-particle":"","parse-names":false,"suffix":""}],"container-title":"Journal of the Atmospheric Sciences","id":"ITEM-1","issued":{"date-parts":[["2009"]]},"page":"3042-3060","title":"Evaluation of an Analytical Model for the Maximum Intensity of Tropical Cyclones","type":"article-journal","volume":"66"},"uris":["http://www.mendeley.com/documents/?uuid=652a5db5-72f6-36f6-b5d1-5faadca97017"]}],"mendeley":{"formattedCitation":"(Bryan and Rotunno 2009a)","manualFormatting":"Bryan and Rotunno (2009a, b)","plainTextFormattedCitation":"(Bryan and Rotunno 2009a)","previouslyFormattedCitation":"(Bryan and Rotunno 2009a)"},"properties":{"noteIndex":0},"schema":"https://github.com/citation-style-language/schema/raw/master/csl-citation.json"}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Bryan and Rotunno (2009a, b)</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analytically showed that these hydrostatic and gradient-wind balances are violated near the eyewall region.  They found unbalanced sub-gradient and super-gradient oscillations associated with inflow/outflow oscillations in the vertical directions around the eyewall.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{"citationItems":[{"id":"ITEM-1","itemData":{"DOI":"10.1175/JAS-D-13-0302.1","abstract":"Using airborne Doppler radar data from 39 flights into hurricanes from 2004 to 2010, the authors examine the outward slope of the eyewall, revisiting the recent studies of Stern and Nolan. The slope of the radius of maximum winds (RMW) is found to increase nearly linearly with size and is uncorrelated with intensity. The slope of the eyewall absolute angular momentum surface M increases with increasing size (strong correlation) and decreases with increasing intensity (weak to moderate correlation). Two other measures of eyewall slope are also investigated: the 20-dBZ reflectivity isosurface (dBZ20) and the radius of maximum azimuthal-mean updraft (RWMAX). The slopes of both dBZ20 and RWMAX increase with their size. The slope of dBZ20 decreases with intensity, though the correlation is weak, while the slope of RWMAX is uncorrelated with intensity. The absolute angular momentum decreases on average along the RMW by 9% from 2-to 8-km heights. With this larger dataset, the previous results are generally confirmed: the slope of the eyewall is mostly a function of the size of the RMW. The vertical decay rate of the maximum tangential winds (Vmax) is also reexamined. On average, Vmax decreases by 20% from 2-to 8-km heights, but this varies from 8% to as large as 42%. This percentage decay rate increases with increasing size and decreases with increasing intensity. Three cases are found where Vmax increases with height from 2 to 4 km, which is likely a consequence of unbalanced flow.","author":[{"dropping-particle":"","family":"Stern","given":"Daniel P","non-dropping-particle":"","parse-names":false,"suffix":""},{"dropping-particle":"","family":"Brisbois","given":"James R","non-dropping-particle":"","parse-names":false,"suffix":""},{"dropping-particle":"","family":"Nolan","given":"David S","non-dropping-particle":"","parse-names":false,"suffix":""}],"container-title":"Journal of the Atmospheric Sciences","id":"ITEM-1","issued":{"date-parts":[["2014"]]},"page":"2747-2762","title":"An Expanded Dataset of Hurricane Eyewall Sizes and Slopes","type":"article-journal","volume":"71"},"uris":["http://www.mendeley.com/documents/?uuid=f55cd3a5-2d95-3624-888d-37ebc716d4e1"]},{"id":"ITEM-2","itemData":{"author":[{"dropping-particle":"","family":"Stern","given":"Daniel P.","non-dropping-particle":"","parse-names":false,"suffix":""},{"dropping-particle":"","family":"Doyle","given":"J. D.","non-dropping-particle":"","parse-names":false,"suffix":""},{"dropping-particle":"","family":"Bryan","given":"G. H.","non-dropping-particle":"","parse-names":false,"suffix":""},{"dropping-particle":"","family":"Jepert","given":"J. D.","non-dropping-particle":"","parse-names":false,"suffix":""}],"container-title":"97th American Meteorological Society Annual Meeting","id":"ITEM-2","issued":{"date-parts":[["2017"]]},"title":"Understanding Atypical Mid-Level Wind Speed Maxima in Hurricane Eyewalls","type":"paper-conference"},"uris":["http://www.mendeley.com/documents/?uuid=e5d52e8c-0c1b-463c-bb53-fbfa0041d984"]}],"mendeley":{"formattedCitation":"(Stern et al. 2014, 2017)","manualFormatting":"Stern et al. (2014, 2017)","plainTextFormattedCitation":"(Stern et al. 2014, 2017)","previouslyFormattedCitation":"(Stern et al. 2014, 2017)"},"properties":{"noteIndex":0},"schema":"https://github.com/citation-style-language/schema/raw/master/csl-citation.json"}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Stern et al. (2014, 2017)</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showed evidence from simulations for these unbalanced oscillations in the eyewall with strong small-size storms like Patricia (2015).  Moreover, Stern et al. (2017) suggested that the atypical middle-level wind speed maxima (centered around 6-km) found in Patricia observations on Oct 23 was attributed to the unbalanced flow oscillations.  Consistently, the vertical sub-gradient/super-gradient oscillations are captured by the negative/positive oscillating NRF field around the eyewall in DA analyses above the PBL although it is difficult to verify this due to the lack of enough 3D pressure observations.  Thus, only the verifications of the wind related terms in the GWB equation (sum of centrifugal Force </w:t>
      </w:r>
      <w:r w:rsidRPr="00723DA9">
        <w:rPr>
          <w:rFonts w:ascii="Times New Roman" w:hAnsi="Times New Roman" w:cs="Times New Roman"/>
          <w:sz w:val="24"/>
          <w:szCs w:val="24"/>
        </w:rPr>
        <w:lastRenderedPageBreak/>
        <w:t xml:space="preserve">and Coriolis Force terms) against those calculated from the HRD radar composite are conducted.  The results show that the DA analysis is much more consistent with the verifications than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and VM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4g-j).  In comparison with DA and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4b and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4e indicate that VM is producing a significantly positive NRF field throughout the PBL and above.  The spurious, positive NRF, or super-gradient, field in VM can be found far away from the eyewall even up to the 120 km radii.  This spurious and strong </w:t>
      </w:r>
      <w:bookmarkStart w:id="176" w:name="OLE_LINK40"/>
      <w:r w:rsidRPr="00723DA9">
        <w:rPr>
          <w:rFonts w:ascii="Times New Roman" w:hAnsi="Times New Roman" w:cs="Times New Roman"/>
          <w:sz w:val="24"/>
          <w:szCs w:val="24"/>
        </w:rPr>
        <w:t>super-gradient</w:t>
      </w:r>
      <w:bookmarkEnd w:id="176"/>
      <w:r w:rsidRPr="00723DA9">
        <w:rPr>
          <w:rFonts w:ascii="Times New Roman" w:hAnsi="Times New Roman" w:cs="Times New Roman"/>
          <w:sz w:val="24"/>
          <w:szCs w:val="24"/>
        </w:rPr>
        <w:t xml:space="preserve"> field in VM is a sign of initial vortex imbalance according to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{"citationItems":[{"id":"ITEM-1","itemData":{"DOI":"10.1175/JAS-D-16-0017.1","ISSN":"15200469","abstract":"AbstractAn initial vortex spindown, or strong adjustment to the structure and intensity of a hurricane’s initial vortex, presents a significant problem in hurricane forecasting, as with the NCEP Hurricane Weather Research and Forecasting Model (HWRF), because it can cause significantly degraded intensity forecasts. In this study, the influence of the self-consistent regional ensemble background error covariance on assimilating hurricane inner-core tail Doppler radar (TDR) observations in HWRF is examined with the NCEP gridpoint statistical interpolation (GSI)-based ensemble–three-dimensional variational (3DVAR) hybrid data assimilation system. It is found that the resolution of the background error covariance term, coming from the ensemble forecasts, has notable influence on the assimilation of hurricane inner-core observations and subsequent forecasting results. Specifically, the use of ensemble forecasting at high-resolution native grids results in significant reduction of the vortex spindown problem an...","author":[{"dropping-particle":"","family":"Pu","given":"Zhaoxia","non-dropping-particle":"","parse-names":false,"suffix":""},{"dropping-particle":"","family":"Zhang","given":"Shixuan","non-dropping-particle":"","parse-names":false,"suffix":""},{"dropping-particle":"","family":"Tong","given":"Mingjing","non-dropping-particle":"","parse-names":false,"suffix":""},{"dropping-particle":"","family":"Tallapragada","given":"Vijay","non-dropping-particle":"","parse-names":false,"suffix":""}],"container-title":"Journal of the Atmospheric Sciences","id":"ITEM-1","issue":"12","issued":{"date-parts":[["2016"]]},"page":"4911-4925","title":"Influence of the Self-Consistent Regional Ensemble Background Error Covariance on Hurricane Inner-Core Data Assimilation with the GSI-Based Hybrid System for HWRF","type":"article-journal","volume":"73"},"uris":["http://www.mendeley.com/documents/?uuid=dd4b5d30-3ca3-4d01-9a81-7ca30d07b7f4"]}],"mendeley":{"formattedCitation":"(Pu et al. 2016)","manualFormatting":"Pu et al. (2016)","plainTextFormattedCitation":"(Pu et al. 2016)","previouslyFormattedCitation":"(Pu et al. 2016)"},"properties":{"noteIndex":0},"schema":"https://github.com/citation-style-language/schema/raw/master/csl-citation.json"}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Pu et al. (2016)</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t>
      </w:r>
    </w:p>
    <w:p w14:paraId="51E63AAB" w14:textId="77777777" w:rsidR="00666BD3" w:rsidRPr="00723DA9" w:rsidRDefault="00666BD3" w:rsidP="00666BD3">
      <w:pPr>
        <w:pStyle w:val="Captions"/>
        <w:spacing w:after="0"/>
        <w:rPr>
          <w:rFonts w:eastAsia="宋体" w:cs="Times New Roman"/>
        </w:rPr>
      </w:pPr>
    </w:p>
    <w:p w14:paraId="3C14C6FD" w14:textId="30B5751C" w:rsidR="0053551D" w:rsidRPr="00723DA9" w:rsidRDefault="0053551D" w:rsidP="00966FCE">
      <w:pPr>
        <w:spacing w:after="0" w:line="360" w:lineRule="auto"/>
        <w:jc w:val="center"/>
        <w:rPr>
          <w:rFonts w:ascii="Times New Roman" w:hAnsi="Times New Roman" w:cs="Times New Roman"/>
          <w:sz w:val="24"/>
          <w:szCs w:val="24"/>
        </w:rPr>
      </w:pPr>
      <w:r w:rsidRPr="00723DA9">
        <w:rPr>
          <w:rFonts w:ascii="Times New Roman" w:hAnsi="Times New Roman" w:cs="Times New Roman"/>
          <w:noProof/>
          <w:sz w:val="24"/>
          <w:szCs w:val="24"/>
        </w:rPr>
        <w:drawing>
          <wp:inline distT="0" distB="0" distL="0" distR="0" wp14:anchorId="222D39F2" wp14:editId="2A2EDCBC">
            <wp:extent cx="4494833" cy="4206240"/>
            <wp:effectExtent l="0" t="0" r="127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94833" cy="4206240"/>
                    </a:xfrm>
                    <a:prstGeom prst="rect">
                      <a:avLst/>
                    </a:prstGeom>
                    <a:noFill/>
                    <a:ln>
                      <a:noFill/>
                    </a:ln>
                  </pic:spPr>
                </pic:pic>
              </a:graphicData>
            </a:graphic>
          </wp:inline>
        </w:drawing>
      </w:r>
    </w:p>
    <w:p w14:paraId="0422BC18" w14:textId="10E7C608" w:rsidR="0053551D" w:rsidRPr="00723DA9" w:rsidRDefault="00410356" w:rsidP="00966FCE">
      <w:pPr>
        <w:pStyle w:val="Captions"/>
        <w:spacing w:after="0"/>
        <w:rPr>
          <w:rFonts w:cs="Times New Roman"/>
        </w:rPr>
      </w:pPr>
      <w:bookmarkStart w:id="177" w:name="_Toc21624045"/>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5</w:t>
      </w:r>
      <w:r w:rsidR="00771F99" w:rsidRPr="00723DA9">
        <w:rPr>
          <w:rFonts w:cs="Times New Roman"/>
          <w:noProof/>
        </w:rPr>
        <w:fldChar w:fldCharType="end"/>
      </w:r>
      <w:r w:rsidR="0053551D" w:rsidRPr="00723DA9">
        <w:rPr>
          <w:rFonts w:cs="Times New Roman"/>
        </w:rPr>
        <w:t xml:space="preserve"> (a) 10-m Vmax forecast, (b) MSLP forecast, (c) track forecast and (d) track forecast error for </w:t>
      </w:r>
      <w:proofErr w:type="spellStart"/>
      <w:r w:rsidR="0053551D" w:rsidRPr="00723DA9">
        <w:rPr>
          <w:rFonts w:cs="Times New Roman"/>
        </w:rPr>
        <w:t>NoDA</w:t>
      </w:r>
      <w:proofErr w:type="spellEnd"/>
      <w:r w:rsidR="0053551D" w:rsidRPr="00723DA9">
        <w:rPr>
          <w:rFonts w:cs="Times New Roman"/>
        </w:rPr>
        <w:t xml:space="preserve"> (dotted navy), VM (dashed blue), DA (solid cyan) and best track (solid black) during Patricia initialized from 1800 UTC 22 Oct 2015. The numbers in (c) indicates the corresponding forecast lead time for each track forecast.</w:t>
      </w:r>
      <w:bookmarkEnd w:id="177"/>
    </w:p>
    <w:p w14:paraId="7500CA60" w14:textId="77777777" w:rsidR="0053551D" w:rsidRPr="00723DA9" w:rsidRDefault="0053551D" w:rsidP="00966FCE">
      <w:pPr>
        <w:pStyle w:val="Captions"/>
        <w:spacing w:after="0"/>
        <w:rPr>
          <w:rFonts w:cs="Times New Roman"/>
        </w:rPr>
      </w:pPr>
    </w:p>
    <w:p w14:paraId="375F833E" w14:textId="211237DA" w:rsidR="001B41DC"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In addition to the verifications of the TC structure analyses, the Vmax, MSLP and track forecasts initialized from these analyses are verified against the best track data in Figure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5. </w:t>
      </w:r>
      <w:r w:rsidRPr="00723DA9">
        <w:rPr>
          <w:rFonts w:ascii="Times New Roman" w:hAnsi="Times New Roman" w:cs="Times New Roman"/>
          <w:sz w:val="24"/>
          <w:szCs w:val="24"/>
        </w:rPr>
        <w:lastRenderedPageBreak/>
        <w:t xml:space="preserve">Without any DA or VM,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predicts an intensifying storm.  However, the initial intensity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is too weak and the intensification rate is slower than best track after hour 6 (e.g.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5a,b).  Consequently, the forecasted peak Vmax and MSLP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is about 32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and 58 hPa weaker than the best track, respectively.  In addition, the track forecast from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suggests an eastward bias at the early lead times before landfall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5c).  In comparison with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regardless of the unrealistically large, strong and super-gradient imbalanced analyses shown earlier in this subsection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3c,i and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4b,e), VM apparently improves the Vmax and MSLP forecasts upon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although the track forecast is only slightly improved.  For example, the initial values of Vmax and MSLP in VM are more consistent with the best track due to the intensity modification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5a-b).  Additionally, the peak intensity in VM is also improved over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where the peak values of Vmax and MSLP are now only 24.7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and 39hPa weaker than the best track, respectively.  Nevertheless, the intensification rate of VM is unreasonably slow and the timing of peak intensity in VM is shifted 6 hours earlier as compared to the best track.  In comparison with VM, although DA apparently improves the initial storm structures and the initial Vmax values upon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the intensity forecast from DA is degraded.  In particular, significant Vmax spin-down (about 13 ms</w:t>
      </w:r>
      <w:r w:rsidRPr="00723DA9">
        <w:rPr>
          <w:rFonts w:ascii="Times New Roman" w:hAnsi="Times New Roman" w:cs="Times New Roman"/>
          <w:sz w:val="24"/>
          <w:szCs w:val="24"/>
          <w:vertAlign w:val="superscript"/>
        </w:rPr>
        <w:t xml:space="preserve">-1 </w:t>
      </w:r>
      <w:proofErr w:type="gramStart"/>
      <w:r w:rsidRPr="00723DA9">
        <w:rPr>
          <w:rFonts w:ascii="Times New Roman" w:hAnsi="Times New Roman" w:cs="Times New Roman"/>
          <w:sz w:val="24"/>
          <w:szCs w:val="24"/>
        </w:rPr>
        <w:t>drop</w:t>
      </w:r>
      <w:proofErr w:type="gramEnd"/>
      <w:r w:rsidRPr="00723DA9">
        <w:rPr>
          <w:rFonts w:ascii="Times New Roman" w:hAnsi="Times New Roman" w:cs="Times New Roman"/>
          <w:sz w:val="24"/>
          <w:szCs w:val="24"/>
        </w:rPr>
        <w:t xml:space="preserve"> for the first 6 hours) happens in DA.  As a result, the intensification in DA is delayed and the peak intensity is even weaker than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But regardless of the intensity forecast degradation, the track forecast from DA is overall comparable with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5c-d). </w:t>
      </w:r>
    </w:p>
    <w:p w14:paraId="1C4EECC4" w14:textId="3BFB3FD1" w:rsidR="00C56823" w:rsidRPr="00723DA9" w:rsidRDefault="00C56823" w:rsidP="00A67154">
      <w:pPr>
        <w:pStyle w:val="Heading3"/>
        <w:numPr>
          <w:ilvl w:val="2"/>
          <w:numId w:val="22"/>
        </w:numPr>
        <w:spacing w:before="160" w:after="160" w:line="480" w:lineRule="auto"/>
        <w:rPr>
          <w:rFonts w:ascii="Times New Roman" w:hAnsi="Times New Roman" w:cs="Times New Roman"/>
          <w:b/>
          <w:bCs/>
          <w:i/>
          <w:iCs/>
          <w:color w:val="auto"/>
        </w:rPr>
      </w:pPr>
      <w:bookmarkStart w:id="178" w:name="_Toc21623998"/>
      <w:r w:rsidRPr="00723DA9">
        <w:rPr>
          <w:rFonts w:ascii="Times New Roman" w:hAnsi="Times New Roman" w:cs="Times New Roman"/>
          <w:b/>
          <w:bCs/>
          <w:i/>
          <w:iCs/>
          <w:color w:val="auto"/>
        </w:rPr>
        <w:t>Why did more persistent spin-down occur with a more realistic DA analysis?</w:t>
      </w:r>
      <w:bookmarkEnd w:id="178"/>
    </w:p>
    <w:p w14:paraId="1ADDE77C" w14:textId="702E56D8"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As analyzed in the previous </w:t>
      </w:r>
      <w:r w:rsidR="0053551D"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3</w:t>
      </w:r>
      <w:r w:rsidR="0053551D" w:rsidRPr="00723DA9">
        <w:rPr>
          <w:rFonts w:ascii="Times New Roman" w:hAnsi="Times New Roman" w:cs="Times New Roman"/>
          <w:sz w:val="24"/>
          <w:szCs w:val="24"/>
        </w:rPr>
        <w:t>.1</w:t>
      </w:r>
      <w:r w:rsidRPr="00723DA9">
        <w:rPr>
          <w:rFonts w:ascii="Times New Roman" w:hAnsi="Times New Roman" w:cs="Times New Roman"/>
          <w:sz w:val="24"/>
          <w:szCs w:val="24"/>
        </w:rPr>
        <w:t xml:space="preserve">, VM creates spuriously strong and large storm with spuriously large super-gradient imbalance.  However, this analysis produced by VM somehow improves the Vmax and MSLP forecasts upon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On the contrary, although the DA </w:t>
      </w:r>
      <w:r w:rsidRPr="00723DA9">
        <w:rPr>
          <w:rFonts w:ascii="Times New Roman" w:hAnsi="Times New Roman" w:cs="Times New Roman"/>
          <w:sz w:val="24"/>
          <w:szCs w:val="24"/>
        </w:rPr>
        <w:lastRenderedPageBreak/>
        <w:t xml:space="preserve">analysis is more realistic, or more consistent with both theoretical and observed TC structures, the intensity forecast is significantly degraded upon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due to the Vmax spin-down.  Therefore, diagnostics are performed in this subsection to understand why the more persistent spin-down occurs with the more realistic DA analysis but not the unrealistic VM analysis. </w:t>
      </w:r>
    </w:p>
    <w:p w14:paraId="08659388" w14:textId="77777777" w:rsidR="00666BD3" w:rsidRPr="00723DA9" w:rsidRDefault="00666BD3" w:rsidP="00666BD3">
      <w:pPr>
        <w:pStyle w:val="Captions"/>
        <w:spacing w:after="0"/>
        <w:rPr>
          <w:rFonts w:eastAsia="宋体" w:cs="Times New Roman"/>
        </w:rPr>
      </w:pPr>
    </w:p>
    <w:p w14:paraId="48D7B5DD" w14:textId="399345A5" w:rsidR="0053551D" w:rsidRPr="00723DA9" w:rsidRDefault="0053551D" w:rsidP="00966FCE">
      <w:pPr>
        <w:pStyle w:val="Captions"/>
        <w:spacing w:after="0" w:line="360" w:lineRule="auto"/>
        <w:rPr>
          <w:rFonts w:cs="Times New Roman"/>
          <w:sz w:val="24"/>
          <w:szCs w:val="24"/>
        </w:rPr>
      </w:pPr>
      <w:r w:rsidRPr="00723DA9">
        <w:rPr>
          <w:rFonts w:cs="Times New Roman"/>
          <w:noProof/>
        </w:rPr>
        <w:drawing>
          <wp:inline distT="0" distB="0" distL="0" distR="0" wp14:anchorId="13A555C2" wp14:editId="4755971E">
            <wp:extent cx="5943600" cy="19716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1668B694" w14:textId="0A3CCF40" w:rsidR="0053551D" w:rsidRPr="00723DA9" w:rsidRDefault="00410356" w:rsidP="00966FCE">
      <w:pPr>
        <w:pStyle w:val="Captions"/>
        <w:spacing w:after="0"/>
        <w:rPr>
          <w:rFonts w:cs="Times New Roman"/>
        </w:rPr>
      </w:pPr>
      <w:bookmarkStart w:id="179" w:name="_Toc21624046"/>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6</w:t>
      </w:r>
      <w:r w:rsidR="00771F99" w:rsidRPr="00723DA9">
        <w:rPr>
          <w:rFonts w:cs="Times New Roman"/>
          <w:noProof/>
        </w:rPr>
        <w:fldChar w:fldCharType="end"/>
      </w:r>
      <w:r w:rsidRPr="00723DA9">
        <w:rPr>
          <w:rFonts w:cs="Times New Roman"/>
        </w:rPr>
        <w:t xml:space="preserve"> </w:t>
      </w:r>
      <w:r w:rsidR="0053551D" w:rsidRPr="00723DA9">
        <w:rPr>
          <w:rFonts w:cs="Times New Roman"/>
        </w:rPr>
        <w:t xml:space="preserve">2-hour evolution of (a) 10-m Vmax, (b) MSLP and (c) NMASPT for </w:t>
      </w:r>
      <w:proofErr w:type="spellStart"/>
      <w:r w:rsidR="0053551D" w:rsidRPr="00723DA9">
        <w:rPr>
          <w:rFonts w:cs="Times New Roman"/>
        </w:rPr>
        <w:t>NoDA</w:t>
      </w:r>
      <w:proofErr w:type="spellEnd"/>
      <w:r w:rsidR="0053551D" w:rsidRPr="00723DA9">
        <w:rPr>
          <w:rFonts w:cs="Times New Roman"/>
        </w:rPr>
        <w:t xml:space="preserve"> (black), VM (green), DA (cyan) and DA-HDVD (red) initialized from 1800 UTC 22 Oct 2015. The output are plotted every 2 minutes.</w:t>
      </w:r>
      <w:bookmarkEnd w:id="179"/>
    </w:p>
    <w:p w14:paraId="4806E4EC" w14:textId="77777777" w:rsidR="00410356" w:rsidRPr="00723DA9" w:rsidRDefault="00410356" w:rsidP="00966FCE">
      <w:pPr>
        <w:pStyle w:val="Captions"/>
        <w:spacing w:after="0"/>
        <w:rPr>
          <w:rFonts w:cs="Times New Roman"/>
        </w:rPr>
      </w:pPr>
    </w:p>
    <w:p w14:paraId="4E063013" w14:textId="182827B3"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The 2-min frequency outputs of the intensity forecasts from different experiments are shown in </w:t>
      </w:r>
      <w:r w:rsidR="0053551D" w:rsidRPr="00723DA9">
        <w:rPr>
          <w:rFonts w:ascii="Times New Roman" w:hAnsi="Times New Roman" w:cs="Times New Roman"/>
          <w:sz w:val="24"/>
          <w:szCs w:val="24"/>
        </w:rPr>
        <w:t>F</w:t>
      </w:r>
      <w:r w:rsidRPr="00723DA9">
        <w:rPr>
          <w:rFonts w:ascii="Times New Roman" w:hAnsi="Times New Roman" w:cs="Times New Roman"/>
          <w:sz w:val="24"/>
          <w:szCs w:val="24"/>
        </w:rPr>
        <w:t xml:space="preserve">igure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6 to investigate the detailed Vmax and MSLP evolutions during the first two hours. During the time period,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produces a constantly intensifying storm with steady increase in Vmax and steady decrease in MSLP.  This steady intensification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is consistent with the 6-hour interval outputs shown in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5.  In comparison with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although the 6-hour interval outputs suggest a slow steady intensification in VM, the higher frequency outputs show that VM still suffers from a Vmax drop (6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during the first 10-20 minutes.  Such a Vmax drop is likely to be associated with a dramatic MSLP drop (more than 50 hPa) in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6b.  The huge MSLP drop can be attributed to the super-gradient imbalance found in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4, where the pressure gradient is increased by reducing the central pressure to compensate the strong wind field.  After a brief (about 20~25 min) period of decaying and re-intensification, the intensity becomes near-stationary.  In other words, it takes HWRF a short period of time to regain its </w:t>
      </w:r>
      <w:r w:rsidRPr="00723DA9">
        <w:rPr>
          <w:rFonts w:ascii="Times New Roman" w:hAnsi="Times New Roman" w:cs="Times New Roman"/>
          <w:sz w:val="24"/>
          <w:szCs w:val="24"/>
        </w:rPr>
        <w:lastRenderedPageBreak/>
        <w:t>initial Vmax value although the VM analyzed vortex is unrealistically super-gradient.  In comparison to VM, DA does not suffer from the significant MSLP drop due to the more physically balanced initial condition.  However, the Vmax in DA drops more (about 16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and longer (about 1 hour) than VM.  DA struggles to intensify and it never regains the initial Vmax strength over the first 6 hours.  This Vmax drop, struggling to intensify, and failure to recover are reflected as the spin-down issue shown in Fig.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 xml:space="preserve">5.   </w:t>
      </w:r>
    </w:p>
    <w:p w14:paraId="3BD980FA" w14:textId="77777777" w:rsidR="00666BD3" w:rsidRPr="00723DA9" w:rsidRDefault="00666BD3" w:rsidP="00666BD3">
      <w:pPr>
        <w:pStyle w:val="Captions"/>
        <w:spacing w:after="0"/>
        <w:rPr>
          <w:rFonts w:eastAsia="宋体" w:cs="Times New Roman"/>
        </w:rPr>
      </w:pPr>
    </w:p>
    <w:p w14:paraId="5F4FC15D" w14:textId="77777777" w:rsidR="0053551D" w:rsidRPr="00723DA9" w:rsidRDefault="0053551D" w:rsidP="001B41DC">
      <w:pPr>
        <w:pStyle w:val="Captions"/>
        <w:spacing w:after="0" w:line="360" w:lineRule="auto"/>
        <w:jc w:val="center"/>
        <w:rPr>
          <w:rFonts w:cs="Times New Roman"/>
          <w:sz w:val="24"/>
          <w:szCs w:val="24"/>
        </w:rPr>
      </w:pPr>
      <w:r w:rsidRPr="00723DA9">
        <w:rPr>
          <w:rFonts w:cs="Times New Roman"/>
          <w:noProof/>
        </w:rPr>
        <w:drawing>
          <wp:inline distT="0" distB="0" distL="0" distR="0" wp14:anchorId="25E801BF" wp14:editId="5254A26B">
            <wp:extent cx="5171247" cy="56692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71247" cy="5669280"/>
                    </a:xfrm>
                    <a:prstGeom prst="rect">
                      <a:avLst/>
                    </a:prstGeom>
                    <a:noFill/>
                    <a:ln>
                      <a:noFill/>
                    </a:ln>
                  </pic:spPr>
                </pic:pic>
              </a:graphicData>
            </a:graphic>
          </wp:inline>
        </w:drawing>
      </w:r>
    </w:p>
    <w:p w14:paraId="11B9F490" w14:textId="25BD571B" w:rsidR="0053551D" w:rsidRPr="00723DA9" w:rsidRDefault="00410356" w:rsidP="00966FCE">
      <w:pPr>
        <w:pStyle w:val="Captions"/>
        <w:spacing w:after="0"/>
        <w:rPr>
          <w:rFonts w:cs="Times New Roman"/>
        </w:rPr>
      </w:pPr>
      <w:bookmarkStart w:id="180" w:name="_Toc21624047"/>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7</w:t>
      </w:r>
      <w:r w:rsidR="00771F99" w:rsidRPr="00723DA9">
        <w:rPr>
          <w:rFonts w:cs="Times New Roman"/>
          <w:noProof/>
        </w:rPr>
        <w:fldChar w:fldCharType="end"/>
      </w:r>
      <w:r w:rsidRPr="00723DA9">
        <w:rPr>
          <w:rFonts w:cs="Times New Roman"/>
        </w:rPr>
        <w:t xml:space="preserve"> </w:t>
      </w:r>
      <w:r w:rsidR="0053551D" w:rsidRPr="00723DA9">
        <w:rPr>
          <w:rFonts w:cs="Times New Roman"/>
        </w:rPr>
        <w:t>Time evolution of the azimuthal mean radial wind (shading</w:t>
      </w:r>
      <w:bookmarkStart w:id="181" w:name="OLE_LINK98"/>
      <w:r w:rsidR="0053551D" w:rsidRPr="00723DA9">
        <w:rPr>
          <w:rFonts w:cs="Times New Roman"/>
        </w:rPr>
        <w:t>, m s</w:t>
      </w:r>
      <w:r w:rsidR="0053551D" w:rsidRPr="00723DA9">
        <w:rPr>
          <w:rFonts w:cs="Times New Roman"/>
          <w:vertAlign w:val="superscript"/>
        </w:rPr>
        <w:t>-1</w:t>
      </w:r>
      <w:bookmarkEnd w:id="181"/>
      <w:r w:rsidR="0053551D" w:rsidRPr="00723DA9">
        <w:rPr>
          <w:rFonts w:cs="Times New Roman"/>
        </w:rPr>
        <w:t xml:space="preserve">) and secondary circulation </w:t>
      </w:r>
      <w:r w:rsidR="0053551D" w:rsidRPr="00723DA9">
        <w:rPr>
          <w:rFonts w:cs="Times New Roman"/>
        </w:rPr>
        <w:lastRenderedPageBreak/>
        <w:t>(vectors, m s</w:t>
      </w:r>
      <w:r w:rsidR="0053551D" w:rsidRPr="00723DA9">
        <w:rPr>
          <w:rFonts w:cs="Times New Roman"/>
          <w:vertAlign w:val="superscript"/>
        </w:rPr>
        <w:t>-1</w:t>
      </w:r>
      <w:r w:rsidR="0053551D" w:rsidRPr="00723DA9">
        <w:rPr>
          <w:rFonts w:cs="Times New Roman"/>
        </w:rPr>
        <w:t xml:space="preserve">) for (a)~(e) </w:t>
      </w:r>
      <w:proofErr w:type="spellStart"/>
      <w:r w:rsidR="0053551D" w:rsidRPr="00723DA9">
        <w:rPr>
          <w:rFonts w:cs="Times New Roman"/>
        </w:rPr>
        <w:t>NoDA</w:t>
      </w:r>
      <w:proofErr w:type="spellEnd"/>
      <w:r w:rsidR="0053551D" w:rsidRPr="00723DA9">
        <w:rPr>
          <w:rFonts w:cs="Times New Roman"/>
        </w:rPr>
        <w:t xml:space="preserve">-warm, (f)~(j) </w:t>
      </w:r>
      <w:proofErr w:type="spellStart"/>
      <w:r w:rsidR="0053551D" w:rsidRPr="00723DA9">
        <w:rPr>
          <w:rFonts w:cs="Times New Roman"/>
        </w:rPr>
        <w:t>NoDA</w:t>
      </w:r>
      <w:proofErr w:type="spellEnd"/>
      <w:r w:rsidR="0053551D" w:rsidRPr="00723DA9">
        <w:rPr>
          <w:rFonts w:cs="Times New Roman"/>
        </w:rPr>
        <w:t>, (k)~(o) VM, (p)~(t) DA and (u)~(y) DA-HDVD for the (a), (f), (k), (p), (u) initial analysis; (b), (g), (l), (q), (v) 2-min forecast; (c), (h), (m), (r), (w) 4-min foreca</w:t>
      </w:r>
      <w:r w:rsidR="00786C0C">
        <w:rPr>
          <w:rFonts w:cs="Times New Roman"/>
        </w:rPr>
        <w:t>s</w:t>
      </w:r>
      <w:r w:rsidR="0053551D" w:rsidRPr="00723DA9">
        <w:rPr>
          <w:rFonts w:cs="Times New Roman"/>
        </w:rPr>
        <w:t>t; (d), (</w:t>
      </w:r>
      <w:proofErr w:type="spellStart"/>
      <w:r w:rsidR="0053551D" w:rsidRPr="00723DA9">
        <w:rPr>
          <w:rFonts w:cs="Times New Roman"/>
        </w:rPr>
        <w:t>i</w:t>
      </w:r>
      <w:proofErr w:type="spellEnd"/>
      <w:r w:rsidR="0053551D" w:rsidRPr="00723DA9">
        <w:rPr>
          <w:rFonts w:cs="Times New Roman"/>
        </w:rPr>
        <w:t>), (n), (s), (x) 30-min forecast; and (e), (j), (o), (t), (y) 60-min forecast. Red arrows are added to illustrate the evolution of secondary circulations.</w:t>
      </w:r>
      <w:bookmarkEnd w:id="180"/>
    </w:p>
    <w:p w14:paraId="59C071F4" w14:textId="77777777" w:rsidR="0053551D" w:rsidRPr="00723DA9" w:rsidRDefault="0053551D" w:rsidP="00966FCE">
      <w:pPr>
        <w:pStyle w:val="Captions"/>
        <w:spacing w:after="0"/>
        <w:rPr>
          <w:rFonts w:cs="Times New Roman"/>
        </w:rPr>
      </w:pPr>
    </w:p>
    <w:p w14:paraId="5E6F334D" w14:textId="5C8AF894"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To understand why DA and VM evolve differently in the intensity forecast, the temporal evolution of the secondary circulation is investigated and shown in Figure </w:t>
      </w:r>
      <w:r w:rsidR="0053551D" w:rsidRPr="00723DA9">
        <w:rPr>
          <w:rFonts w:ascii="Times New Roman" w:hAnsi="Times New Roman" w:cs="Times New Roman"/>
          <w:sz w:val="24"/>
          <w:szCs w:val="24"/>
        </w:rPr>
        <w:t>4.</w:t>
      </w:r>
      <w:r w:rsidRPr="00723DA9">
        <w:rPr>
          <w:rFonts w:ascii="Times New Roman" w:hAnsi="Times New Roman" w:cs="Times New Roman"/>
          <w:sz w:val="24"/>
          <w:szCs w:val="24"/>
        </w:rPr>
        <w:t>7.  Since HWRF resets vertical velocity to 0 when it is initialized</w:t>
      </w:r>
      <w:r w:rsidRPr="007A1DFF">
        <w:rPr>
          <w:rStyle w:val="FootnoteReference"/>
        </w:rPr>
        <w:footnoteReference w:id="7"/>
      </w:r>
      <w:r w:rsidRPr="00723DA9">
        <w:rPr>
          <w:rFonts w:ascii="Times New Roman" w:hAnsi="Times New Roman" w:cs="Times New Roman"/>
          <w:sz w:val="24"/>
          <w:szCs w:val="24"/>
        </w:rPr>
        <w:t xml:space="preserve">, and </w:t>
      </w:r>
      <w:r w:rsidR="00642CDC" w:rsidRPr="00723DA9">
        <w:rPr>
          <w:rFonts w:ascii="Times New Roman" w:hAnsi="Times New Roman" w:cs="Times New Roman"/>
          <w:sz w:val="24"/>
          <w:szCs w:val="24"/>
        </w:rPr>
        <w:fldChar w:fldCharType="begin" w:fldLock="1"/>
      </w:r>
      <w:r w:rsidR="0065000F">
        <w:rPr>
          <w:rFonts w:ascii="Times New Roman" w:hAnsi="Times New Roman" w:cs="Times New Roman"/>
          <w:sz w:val="24"/>
          <w:szCs w:val="24"/>
        </w:rPr>
        <w:instrText>ADDIN CSL_CITATION {"citationItems":[{"id":"ITEM-1","itemData":{"DOI":"10.1175/MWR-D-12-00211.1","abstract":"In this study the properties and causes of systematic errors in high-resolution data assimilation of inner-core tropical cyclone (TC) observations were investigated using the Hurricane Weather Research and Forecasting (HWRF) Ensemble Data Assimilation System (HEDAS). Although a recent study by Aksoy et al. demonstrated overall good performance of HEDAS for 83 cases from 2008 to 2011 using airborne observations from research and operational aircraft, some systematic errors were identified in the analyses with respect to independent observation-based estimates. The axisymmetric primary circulation intensity was underestimated for hurricane cases and the secondary circulation was systematically weaker for all cases. The diagnostic analysis in this study shows that the underestimate of primary circulation was caused by the systematic spindown of the vortex core in the short-term forecasts during the cycling with observations. This tendency bias was associated with the systematic errors in the secondary circulation, temperature, and humidity. The biases were reoccurring in each cycle during the assimilation because of the inconsistency between the strength of primary and secondary circulation during the short-term forecasts, the impact of model error in planetary boundary layer dynamics, and the effect of forecast tendency bias on the background error correlations. Although limited to the current analysis the findings in this study point to a generic problem of mutual dependence of short-term forecast tendency and state estimate errors in the data assimilation of TC core observations. The results indicate that such coupling of errors in the assimilation would also lead to short-term intensity forecast bias after the assimilation for the same reasons.","author":[{"dropping-particle":"","family":"Vukicevic","given":"Tomislava","non-dropping-particle":"","parse-names":false,"suffix":""},{"dropping-particle":"","family":"Reasor","given":"Paul","non-dropping-particle":"","parse-names":false,"suffix":""},{"dropping-particle":"","family":"Aberson","given":"Sim D","non-dropping-particle":"","parse-names":false,"suffix":""},{"dropping-particle":"","family":"Sellwood","given":"Kathryn J","non-dropping-particle":"","parse-names":false,"suffix":""}],"container-title":"Monthly Weather Review","id":"ITEM-1","issued":{"date-parts":[["2013"]]},"page":"2992-3006","title":"Joint Impact of Forecast Tendency and State Error Biases in Ensemble Kalman Filter Data Assimilation of Inner-Core Tropical Cyclone Observations","type":"article-journal","volume":"141"},"uris":["http://www.mendeley.com/documents/?uuid=cf314093-df7a-35ae-b22d-899799955bae"]}],"mendeley":{"formattedCitation":"(Vukicevic et al. 2013)","manualFormatting":"Vukicevic et al. (2013)","plainTextFormattedCitation":"(Vukicevic et al. 2013)","previouslyFormattedCitation":"(Vukicevic et al. 2013)"},"properties":{"noteIndex":0},"schema":"https://github.com/citation-style-language/schema/raw/master/csl-citation.json"}</w:instrText>
      </w:r>
      <w:r w:rsidR="00642CDC" w:rsidRPr="00723DA9">
        <w:rPr>
          <w:rFonts w:ascii="Times New Roman" w:hAnsi="Times New Roman" w:cs="Times New Roman"/>
          <w:sz w:val="24"/>
          <w:szCs w:val="24"/>
        </w:rPr>
        <w:fldChar w:fldCharType="separate"/>
      </w:r>
      <w:r w:rsidR="00642CDC" w:rsidRPr="00723DA9">
        <w:rPr>
          <w:rFonts w:ascii="Times New Roman" w:hAnsi="Times New Roman" w:cs="Times New Roman"/>
          <w:noProof/>
          <w:sz w:val="24"/>
          <w:szCs w:val="24"/>
        </w:rPr>
        <w:t>Vukicevic et al. (2013)</w:t>
      </w:r>
      <w:r w:rsidR="00642CDC"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suggested that this could be one of the factors that contribute to the spin-down issue within their HWRF Ensemble Data Assimilation System (HEDAS) system, an extra experiment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is first conducted to investigate the potential impact of this loss of initial velocity on the secondary circulation evolution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7a-e).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the initial secondary circulation consists of four major components: a strong inflow in the boundary layer, a strong outflow in the upper-level, an updraft in the eyewall connecting the boundary layer inflow and upper-level outflow, and a weak downdraft in the upper-level eye region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7a).  These inner-core features are typically found in the conceptual model of a mature hurricane (</w:t>
      </w:r>
      <w:r w:rsidR="00786C0C" w:rsidRPr="00723DA9">
        <w:rPr>
          <w:rFonts w:ascii="Times New Roman" w:hAnsi="Times New Roman" w:cs="Times New Roman"/>
          <w:sz w:val="24"/>
          <w:szCs w:val="24"/>
        </w:rPr>
        <w:t>e.g.</w:t>
      </w:r>
      <w:r w:rsidRPr="00723DA9">
        <w:rPr>
          <w:rFonts w:ascii="Times New Roman" w:hAnsi="Times New Roman" w:cs="Times New Roman"/>
          <w:sz w:val="24"/>
          <w:szCs w:val="24"/>
        </w:rPr>
        <w:t xml:space="preserve">,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{"citationItems":[{"id":"ITEM-1","itemData":{"abstract":"In this study, the inner-core structures of Hurricane Andrew (1992) are explicitly simulated using an improved version of the Penn State–NCAR nonhydrostatic, two-way interactive, movable, triply nested grid mesoscale model (MM5). A modified Betts–Miller cumulus parameterization scheme and an explicit microphysics scheme were used simultaneously to simulate the evolution of the larger-scale flows over the coarser-mesh domains. The intense storm itself is explicitly resolved over the finest-mesh domain using a grid size of 6 km and an explicit microphysics package containing prognostic equations for cloud water, ice, rainwater, snow, and graupel. The model is initialized with the National Centers for Environmental Prediction analysis enhanced by a modified moisture field. A model-generated tropical-storm-like vortex was also incorporated. A 72-h integration was made, which covers the stages from the storm's initial deepening to a near–category 5 hurricane intensity and the landfall over Florida. As verified against various observations and the best analysis, the model captures reasonably well the evolution and inner-core structures of the storm. In particular, the model reproduces the track, the explosive deepening rate (Ͼ1.5 hPa h Ϫ1), the minimum surface pressure of 919 hPa preceding landfall, the strong surface wind (Ͼ65 m s Ϫ1) near the shoreline, as well as the ring of maximum winds, the eye, the eyewall, the spiral rainbands, and other cloud features. Of particular significance is that many simulated kinematics, thermodynamics, and pre-cipitation structures in the core regions compare favorably to previous observations of hurricanes. The results suggest that it may be possible to predict reasonably the track, intensity, and inner-core structures of hurricanes from the tropical synoptic conditions if high grid resolution, realistic model physics, and proper initial vortices (depth, size, and intensity) in relation to their larger-scale conditions (e.g., SST, moisture content, and vertical shear in the lower troposphere) are incorporated.","author":[{"dropping-particle":"","family":"Liu","given":"Yubao","non-dropping-particle":"","parse-names":false,"suffix":""},{"dropping-particle":"","family":"Zhang","given":"Da-Lin","non-dropping-particle":"","parse-names":false,"suffix":""},{"dropping-particle":"","family":"Yau","given":"M K","non-dropping-particle":"","parse-names":false,"suffix":""}],"container-title":"Mon. Wea. Rev.","id":"ITEM-1","issued":{"date-parts":[["1997"]]},"page":"3073-3093","title":"A Multiscale Numerical Study of Hurricane Andrew (1992). Part I: Explicit Simulation and Verification","type":"article-journal","volume":"125"},"uris":["http://www.mendeley.com/documents/?uuid=37914ef1-ec8b-3407-bb47-4c6e17efbccf"]}],"mendeley":{"formattedCitation":"(Liu et al. 1997)","manualFormatting":"Liu et al. 1997)","plainTextFormattedCitation":"(Liu et al. 1997)","previouslyFormattedCitation":"(Liu et al. 1997)"},"properties":{"noteIndex":0},"schema":"https://github.com/citation-style-language/schema/raw/master/csl-citation.json"}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Liu et al. 1997)</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t>
      </w:r>
      <w:bookmarkStart w:id="182" w:name="OLE_LINK2"/>
      <w:r w:rsidRPr="00723DA9">
        <w:rPr>
          <w:rFonts w:ascii="Times New Roman" w:hAnsi="Times New Roman" w:cs="Times New Roman"/>
          <w:sz w:val="24"/>
          <w:szCs w:val="24"/>
        </w:rPr>
        <w:t xml:space="preserve"> Additionally, the inflow and outflow oscillations between the dominant upper-level outflow and boundary layer inflow are also found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As stated in </w:t>
      </w:r>
      <w:r w:rsidR="00BE2FAA"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1, these vertically oscillating features are consistent with previous studies </w:t>
      </w:r>
      <w:r w:rsidRPr="00723DA9">
        <w:rPr>
          <w:rFonts w:ascii="Times New Roman" w:hAnsi="Times New Roman" w:cs="Times New Roman"/>
        </w:rPr>
        <w:fldChar w:fldCharType="begin" w:fldLock="1"/>
      </w:r>
      <w:r w:rsidR="002E0A45" w:rsidRPr="00723DA9">
        <w:rPr>
          <w:rFonts w:ascii="Times New Roman" w:hAnsi="Times New Roman" w:cs="Times New Roman"/>
          <w:sz w:val="24"/>
          <w:szCs w:val="24"/>
        </w:rPr>
        <w:instrText>ADDIN CSL_CITATION {"citationItems":[{"id":"ITEM-1","itemData":{"author":[{"dropping-particle":"","family":"Willoughby","given":"Hugh E.","non-dropping-particle":"","parse-names":false,"suffix":""},{"dropping-particle":"","family":"Jin","given":"Han-Liang","non-dropping-particle":"","parse-names":false,"suffix":""},{"dropping-particle":"","family":"Lord","given":"Stephen J.","non-dropping-particle":"","parse-names":false,"suffix":""},{"dropping-particle":"","family":"Piotrowicz","given":"Jacqueline M.","non-dropping-particle":"","parse-names":false,"suffix":""}],"container-title":"Journal of the Atmospheric Sciences","id":"ITEM-1","issue":"7","issued":{"date-parts":[["1984"]]},"page":"1169-1186","title":"Hurricane Structure and Evolution as Simulated by an Axisymmetric, Nonhydrostatic Numerical Model","type":"article-journal","volume":"41"},"uris":["http://www.mendeley.com/documents/?uuid=e8351693-c3f1-38f6-9322-96c35b411579"]},{"id":"ITEM-2","itemData":{"DOI":"10.1175/1520-0469(1987)044&lt;1296:ICSOHA&gt;2.0.CO;2","ISSN":"0022-4928","abstract":"Airborne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particle...","author":[{"dropping-particle":"","family":"Marks","given":"Frank D.","non-dropping-particle":"","parse-names":false,"suffix":""},{"dropping-particle":"","family":"Houze","given":"Robert a.","non-dropping-particle":"","parse-names":false,"suffix":""}],"container-title":"Journal of the Atmospheric Sciences","id":"ITEM-2","issue":"9","issued":{"date-parts":[["1987"]]},"page":"1296-1317","title":"Inner Core Structure of Hurricane Alicia from Airborne Doppler Radar Observations","type":"article","volume":"44"},"uris":["http://www.mendeley.com/documents/?uuid=baa2ef94-1c58-4dab-9076-034b565b7750"]},{"id":"ITEM-3","itemData":{"DOI":"10.1175/2011JAS3682.1","abstract":"In this study, it is shown that the maximum tangential winds within tropical cyclones decrease with height at a percentage rate that is nearly independent of both the maximum wind speed and the radius of maximum winds (RMW). This can be seen by normalizing the profiles of maximum tangential winds V max by their respective values at 2-km height. From Doppler radar analyses, profiles of maximum normalized tangential wind V maxnorm are found to share a common shape, despite spanning a great range of intensities. There is a systematic dependence of V maxnorm on intensity and size, but it is shown to be small, and the mean profile of V maxnorm can be used to accurately ''predict'' the individual profiles of V max . Using Emanuel's steady-state analytical vortex model, it is shown that V maxnorm is essentially independent of the size of the RMW. It is shown mathematically that the near independence of V maxnorm from size is due to the facts that the RMW is nearly a surface of constant absolute angular momentum M and that its outward slope increases linearly with radius. As the slope of the RMW is not a function of intensity, V maxnorm is also nearly independent of intensity in theory, and this is confirmed using Emanuel's simple time-dependent model. In contrast to intensity, it is shown that V maxnorm increases with potential intensity. A suite of idealized simulations using the Weather Research and Forecasting model (WRF) are used to further examine the manner in which the maximum winds change with height. Above 2-km height, vertical profiles of V maxnorm are nearly independent of both intensity and size. Occasional deviations from this near-universal profile in these simulations are due to unbalanced winds, and it is proposed that this is the cause of occasional observations of maximum winds that are nearly constant with height through the midtroposphere, as in Hurricane Gloria (1985) and Hurricane Dennis (2005).","author":[{"dropping-particle":"","family":"Stern","given":"Daniel P","non-dropping-particle":"","parse-names":false,"suffix":""},{"dropping-particle":"","family":"Nolan","given":"David S","non-dropping-particle":"","parse-names":false,"suffix":""}],"container-title":"Journal of the Atmospheric Sciences","id":"ITEM-3","issued":{"date-parts":[["2011"]]},"page":"2073-2094","title":"On the Vertical Decay Rate of the Maximum Tangential Winds in Tropical Cyclones","type":"article-journal","volume":"68"},"uris":["http://www.mendeley.com/documents/?uuid=a740aace-cac2-3dd5-bbc9-e08c7fe1c534"]},{"id":"ITEM-4","itemData":{"author":[{"dropping-particle":"","family":"Stern","given":"Daniel P.","non-dropping-particle":"","parse-names":false,"suffix":""},{"dropping-particle":"","family":"Doyle","given":"J. D.","non-dropping-particle":"","parse-names":false,"suffix":""},{"dropping-particle":"","family":"Bryan","given":"G. H.","non-dropping-particle":"","parse-names":false,"suffix":""},{"dropping-particle":"","family":"Jepert","given":"J. D.","non-dropping-particle":"","parse-names":false,"suffix":""}],"container-title":"97th American Meteorological Society Annual Meeting","id":"ITEM-4","issued":{"date-parts":[["2017"]]},"title":"Understanding Atypical Mid-Level Wind Speed Maxima in Hurricane Eyewalls","type":"paper-conference"},"uris":["http://www.mendeley.com/documents/?uuid=e5d52e8c-0c1b-463c-bb53-fbfa0041d984"]}],"mendeley":{"formattedCitation":"(Willoughby et al. 1984; Marks and Houze 1987; Stern and Nolan 2011; Stern et al. 2017)","plainTextFormattedCitation":"(Willoughby et al. 1984; Marks and Houze 1987; Stern and Nolan 2011; Stern et al. 2017)","previouslyFormattedCitation":"(Willoughby et al. 1984; Marks and Houze 1987; Stern and Nolan 2011; Stern et al. 2017)"},"properties":{"noteIndex":0},"schema":"https://github.com/citation-style-language/schema/raw/master/csl-citation.json"}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hAnsi="Times New Roman" w:cs="Times New Roman"/>
          <w:noProof/>
          <w:sz w:val="24"/>
          <w:szCs w:val="24"/>
        </w:rPr>
        <w:t>(Willoughby et al. 1984; Marks and Houze 1987; Stern and Nolan 2011; Stern et al. 2017)</w:t>
      </w:r>
      <w:r w:rsidRPr="00723DA9">
        <w:rPr>
          <w:rFonts w:ascii="Times New Roman" w:hAnsi="Times New Roman" w:cs="Times New Roman"/>
        </w:rPr>
        <w:fldChar w:fldCharType="end"/>
      </w:r>
      <w:r w:rsidRPr="00723DA9">
        <w:rPr>
          <w:rFonts w:ascii="Times New Roman" w:hAnsi="Times New Roman" w:cs="Times New Roman"/>
          <w:sz w:val="24"/>
          <w:szCs w:val="24"/>
        </w:rPr>
        <w:t xml:space="preserve"> and are hypothesized to be related to the super-gradient/sub-gradient unbalanced oscillation around the eyewall </w:t>
      </w:r>
      <w:r w:rsidRPr="00723DA9">
        <w:rPr>
          <w:rFonts w:ascii="Times New Roman" w:hAnsi="Times New Roman" w:cs="Times New Roman"/>
        </w:rPr>
        <w:fldChar w:fldCharType="begin" w:fldLock="1"/>
      </w:r>
      <w:r w:rsidR="002E0A45" w:rsidRPr="00723DA9">
        <w:rPr>
          <w:rFonts w:ascii="Times New Roman" w:hAnsi="Times New Roman" w:cs="Times New Roman"/>
          <w:sz w:val="24"/>
          <w:szCs w:val="24"/>
        </w:rPr>
        <w:instrText>ADDIN CSL_CITATION {"citationItems":[{"id":"ITEM-1","itemData":{"DOI":"10.1175/2009JAS3038.1","abstract":"Several studies have shown that the intensity of numerically simulated tropical cyclones can exceed (by 50%) a theoretical upper limit. To investigate the cause, this study evaluates the underlying components of Emanuel's commonly cited analytic theory for potential intensity (herein referred to as E-PI). A review of the derivation of E-PI highlights three primary components: a dynamical component (gradient-wind and hydrostatic balance); a thermodynamical component (reversible or pseudoadiabatic thermodynamics, al-though the pseudoadiabatic assumption yields greater intensity); and a planetary boundary layer (PBL) closure (which relates the horizontal gradients of entropy and angular momentum at the top of the PBL to fluxes and stresses at the ocean surface). These three components are evaluated using output from an axi-symmetric numerical model. The present analysis finds the thermodynamical component and the PBL closure to be sufficiently accurate for several different simulations. In contrast, the dynamical component is clearly violated. Although the balanced portion of the flow (y g , to which E-PI applies) appears to also exceed E-PI, it is shown that this difference is attributable to the method used to calculate y g from the model output. Evi-dence is shown that y g for a truly balanced cyclone does not exceed E-PI. To clearly quantify the impact of unbalanced flow, a more complete analytic model is presented. The model is not expressed in terms of ex-ternal conditions and thus cannot be used to predict maximum intensity for a given environment; however, it does allow for evaluation of the relative contributions to maximum intensity from balanced and unbalanced (i.e., inertial) terms in the governing equations. Using numerical model output, this more complete model is shown to accurately model maximum intensity. Analysis against observations further confirms that the effects of unbalanced flow on maximum intensity are not always negligible. The contribution to intensity from un-balanced flow can become negligible in axisymmetric models as radial turbulence (i.e., viscosity) increases, and this explains why some previous studies concluded that E-PI was an accurate upper bound for their simulations. Conclusions of this study are also compared and contrasted to those from previous studies.","author":[{"dropping-particle":"","family":"Bryan","given":"George H","non-dropping-particle":"","parse-names":false,"suffix":""},{"dropping-particle":"","family":"Rotunno","given":"Richard","non-dropping-particle":"","parse-names":false,"suffix":""}],"container-title":"Journal of the Atmospheric Sciences","id":"ITEM-1","issued":{"date-parts":[["2009"]]},"page":"3042-3060","title":"Evaluation of an Analytical Model for the Maximum Intensity of Tropical Cyclones","type":"article-journal","volume":"66"},"uris":["http://www.mendeley.com/documents/?uuid=652a5db5-72f6-36f6-b5d1-5faadca97017"]}],"mendeley":{"formattedCitation":"(Bryan and Rotunno 2009a)","plainTextFormattedCitation":"(Bryan and Rotunno 2009a)","previouslyFormattedCitation":"(Bryan and Rotunno 2009a)"},"properties":{"noteIndex":0},"schema":"https://github.com/citation-style-language/schema/raw/master/csl-citation.json"}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hAnsi="Times New Roman" w:cs="Times New Roman"/>
          <w:noProof/>
          <w:sz w:val="24"/>
          <w:szCs w:val="24"/>
        </w:rPr>
        <w:t>(Bryan and Rotunno 2009a)</w:t>
      </w:r>
      <w:r w:rsidRPr="00723DA9">
        <w:rPr>
          <w:rFonts w:ascii="Times New Roman" w:hAnsi="Times New Roman" w:cs="Times New Roman"/>
        </w:rPr>
        <w:fldChar w:fldCharType="end"/>
      </w:r>
      <w:r w:rsidRPr="00723DA9">
        <w:rPr>
          <w:rFonts w:ascii="Times New Roman" w:hAnsi="Times New Roman" w:cs="Times New Roman"/>
          <w:sz w:val="24"/>
          <w:szCs w:val="24"/>
        </w:rPr>
        <w:t>.</w:t>
      </w:r>
      <w:bookmarkEnd w:id="182"/>
      <w:r w:rsidRPr="00723DA9">
        <w:rPr>
          <w:rFonts w:ascii="Times New Roman" w:hAnsi="Times New Roman" w:cs="Times New Roman"/>
          <w:sz w:val="24"/>
          <w:szCs w:val="24"/>
        </w:rPr>
        <w:t xml:space="preserve">  As compared to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although vertical velocity is set to 0 at the initial time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7f), after only 2 minutes of model integration, the secondary circulation evolution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becomes comparable with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7b and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7g), suggesting the zeroed out vertical velocity field is not the main cause of the spin-down.  This high similarity in the secondary </w:t>
      </w:r>
      <w:r w:rsidRPr="00723DA9">
        <w:rPr>
          <w:rFonts w:ascii="Times New Roman" w:hAnsi="Times New Roman" w:cs="Times New Roman"/>
          <w:sz w:val="24"/>
          <w:szCs w:val="24"/>
        </w:rPr>
        <w:lastRenderedPageBreak/>
        <w:t xml:space="preserve">circulation evolution between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and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consistently exists over the first thirty minutes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7a-d,f-i), and gradually diverges afterward due to the influences of relocation and GFS replacement in the outmost domain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7e,j). </w:t>
      </w:r>
    </w:p>
    <w:p w14:paraId="0413233F" w14:textId="1AE3A7B3" w:rsidR="00BE2FAA" w:rsidRPr="00723DA9" w:rsidRDefault="00BE2FAA" w:rsidP="001B41DC">
      <w:pPr>
        <w:pStyle w:val="Captions"/>
        <w:spacing w:after="0" w:line="360" w:lineRule="auto"/>
        <w:jc w:val="center"/>
        <w:rPr>
          <w:rFonts w:cs="Times New Roman"/>
          <w:sz w:val="24"/>
          <w:szCs w:val="24"/>
        </w:rPr>
      </w:pPr>
      <w:r w:rsidRPr="00723DA9">
        <w:rPr>
          <w:rFonts w:cs="Times New Roman"/>
          <w:noProof/>
        </w:rPr>
        <w:drawing>
          <wp:inline distT="0" distB="0" distL="0" distR="0" wp14:anchorId="737C5699" wp14:editId="66A85C43">
            <wp:extent cx="5943600" cy="448393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483936"/>
                    </a:xfrm>
                    <a:prstGeom prst="rect">
                      <a:avLst/>
                    </a:prstGeom>
                    <a:noFill/>
                    <a:ln>
                      <a:noFill/>
                    </a:ln>
                  </pic:spPr>
                </pic:pic>
              </a:graphicData>
            </a:graphic>
          </wp:inline>
        </w:drawing>
      </w:r>
    </w:p>
    <w:p w14:paraId="6D3BDE82" w14:textId="15B4F922" w:rsidR="00BE2FAA" w:rsidRPr="00723DA9" w:rsidRDefault="00410356" w:rsidP="00966FCE">
      <w:pPr>
        <w:pStyle w:val="Captions"/>
        <w:spacing w:after="0"/>
        <w:rPr>
          <w:rFonts w:cs="Times New Roman"/>
        </w:rPr>
      </w:pPr>
      <w:bookmarkStart w:id="183" w:name="_Toc21624048"/>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8</w:t>
      </w:r>
      <w:r w:rsidR="00771F99" w:rsidRPr="00723DA9">
        <w:rPr>
          <w:rFonts w:cs="Times New Roman"/>
          <w:noProof/>
        </w:rPr>
        <w:fldChar w:fldCharType="end"/>
      </w:r>
      <w:r w:rsidR="00BE2FAA" w:rsidRPr="00723DA9">
        <w:rPr>
          <w:rFonts w:cs="Times New Roman"/>
        </w:rPr>
        <w:t xml:space="preserve"> Radius-time </w:t>
      </w:r>
      <w:proofErr w:type="spellStart"/>
      <w:r w:rsidR="00BE2FAA" w:rsidRPr="00723DA9">
        <w:rPr>
          <w:rFonts w:cs="Times New Roman"/>
        </w:rPr>
        <w:t>Hovmoller</w:t>
      </w:r>
      <w:proofErr w:type="spellEnd"/>
      <w:r w:rsidR="00BE2FAA" w:rsidRPr="00723DA9">
        <w:rPr>
          <w:rFonts w:cs="Times New Roman"/>
        </w:rPr>
        <w:t xml:space="preserve"> plots of the 500 hPa azimuthal mean vertical velocity (shading, m s</w:t>
      </w:r>
      <w:r w:rsidR="00BE2FAA" w:rsidRPr="00723DA9">
        <w:rPr>
          <w:rFonts w:cs="Times New Roman"/>
          <w:vertAlign w:val="superscript"/>
        </w:rPr>
        <w:t>-1</w:t>
      </w:r>
      <w:r w:rsidR="00BE2FAA" w:rsidRPr="00723DA9">
        <w:rPr>
          <w:rFonts w:cs="Times New Roman"/>
        </w:rPr>
        <w:t>) and 900 hPa tangential wind (contour, m s</w:t>
      </w:r>
      <w:r w:rsidR="00BE2FAA" w:rsidRPr="00723DA9">
        <w:rPr>
          <w:rFonts w:cs="Times New Roman"/>
          <w:vertAlign w:val="superscript"/>
        </w:rPr>
        <w:t>-1</w:t>
      </w:r>
      <w:r w:rsidR="00BE2FAA" w:rsidRPr="00723DA9">
        <w:rPr>
          <w:rFonts w:cs="Times New Roman"/>
        </w:rPr>
        <w:t>, 4 m s</w:t>
      </w:r>
      <w:r w:rsidR="00BE2FAA" w:rsidRPr="00723DA9">
        <w:rPr>
          <w:rFonts w:cs="Times New Roman"/>
          <w:vertAlign w:val="superscript"/>
        </w:rPr>
        <w:t>-1</w:t>
      </w:r>
      <w:r w:rsidR="00BE2FAA" w:rsidRPr="00723DA9">
        <w:rPr>
          <w:rFonts w:cs="Times New Roman"/>
        </w:rPr>
        <w:t xml:space="preserve"> interval) for (a) </w:t>
      </w:r>
      <w:proofErr w:type="spellStart"/>
      <w:r w:rsidR="00BE2FAA" w:rsidRPr="00723DA9">
        <w:rPr>
          <w:rFonts w:cs="Times New Roman"/>
        </w:rPr>
        <w:t>NoDA</w:t>
      </w:r>
      <w:proofErr w:type="spellEnd"/>
      <w:r w:rsidR="00BE2FAA" w:rsidRPr="00723DA9">
        <w:rPr>
          <w:rFonts w:cs="Times New Roman"/>
        </w:rPr>
        <w:t xml:space="preserve">-warm, (b) </w:t>
      </w:r>
      <w:proofErr w:type="spellStart"/>
      <w:r w:rsidR="00BE2FAA" w:rsidRPr="00723DA9">
        <w:rPr>
          <w:rFonts w:cs="Times New Roman"/>
        </w:rPr>
        <w:t>NoDA</w:t>
      </w:r>
      <w:proofErr w:type="spellEnd"/>
      <w:r w:rsidR="00BE2FAA" w:rsidRPr="00723DA9">
        <w:rPr>
          <w:rFonts w:cs="Times New Roman"/>
        </w:rPr>
        <w:t>, (c) VM, (d) DA and (e) DA-HDVD for the first 6 hours. The RMW from the best track is given as solid black line.</w:t>
      </w:r>
      <w:bookmarkEnd w:id="183"/>
    </w:p>
    <w:p w14:paraId="70F388A2" w14:textId="77777777" w:rsidR="00410356" w:rsidRPr="00723DA9" w:rsidRDefault="00410356" w:rsidP="00966FCE">
      <w:pPr>
        <w:pStyle w:val="Captions"/>
        <w:spacing w:after="0"/>
        <w:rPr>
          <w:rFonts w:cs="Times New Roman"/>
        </w:rPr>
      </w:pPr>
    </w:p>
    <w:p w14:paraId="6B0FE81D" w14:textId="294B635F"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To help visualize the temporal evolution of secondary circulation as analyzed above, a </w:t>
      </w:r>
      <w:proofErr w:type="spellStart"/>
      <w:r w:rsidRPr="00723DA9">
        <w:rPr>
          <w:rFonts w:ascii="Times New Roman" w:hAnsi="Times New Roman" w:cs="Times New Roman"/>
          <w:sz w:val="24"/>
          <w:szCs w:val="24"/>
        </w:rPr>
        <w:t>Hovmöller</w:t>
      </w:r>
      <w:proofErr w:type="spellEnd"/>
      <w:r w:rsidRPr="00723DA9">
        <w:rPr>
          <w:rFonts w:ascii="Times New Roman" w:hAnsi="Times New Roman" w:cs="Times New Roman"/>
          <w:sz w:val="24"/>
          <w:szCs w:val="24"/>
        </w:rPr>
        <w:t xml:space="preserve"> diagram is given in </w:t>
      </w:r>
      <w:r w:rsidR="00BE2FAA" w:rsidRPr="00723DA9">
        <w:rPr>
          <w:rFonts w:ascii="Times New Roman" w:hAnsi="Times New Roman" w:cs="Times New Roman"/>
          <w:sz w:val="24"/>
          <w:szCs w:val="24"/>
        </w:rPr>
        <w:t>F</w:t>
      </w:r>
      <w:r w:rsidRPr="00723DA9">
        <w:rPr>
          <w:rFonts w:ascii="Times New Roman" w:hAnsi="Times New Roman" w:cs="Times New Roman"/>
          <w:sz w:val="24"/>
          <w:szCs w:val="24"/>
        </w:rPr>
        <w:t xml:space="preserve">igure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8 to mark the time evolution of the eyewall for each experiment.  Consistent with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7a-j,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8a-b again show that although differences can be found, the general feature of the eyewall evolution is overall comparable between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and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especially during the first 2 hours.  These results suggest that the resetting of initial vertical velocity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has minimal impacts on the secondary circulation evolution in </w:t>
      </w:r>
      <w:r w:rsidRPr="00723DA9">
        <w:rPr>
          <w:rFonts w:ascii="Times New Roman" w:hAnsi="Times New Roman" w:cs="Times New Roman"/>
          <w:sz w:val="24"/>
          <w:szCs w:val="24"/>
        </w:rPr>
        <w:lastRenderedPageBreak/>
        <w:t xml:space="preserve">the HWRF model.  Nevertheless, the eyewall in both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and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-warm is spuriously large in size (</w:t>
      </w:r>
      <w:bookmarkStart w:id="184" w:name="OLE_LINK3"/>
      <w:r w:rsidRPr="00723DA9">
        <w:rPr>
          <w:rFonts w:ascii="Times New Roman" w:hAnsi="Times New Roman" w:cs="Times New Roman"/>
          <w:sz w:val="24"/>
          <w:szCs w:val="24"/>
        </w:rPr>
        <w:t>500 hPa radii</w:t>
      </w:r>
      <w:bookmarkEnd w:id="184"/>
      <w:r w:rsidRPr="00723DA9">
        <w:rPr>
          <w:rFonts w:ascii="Times New Roman" w:hAnsi="Times New Roman" w:cs="Times New Roman"/>
          <w:sz w:val="24"/>
          <w:szCs w:val="24"/>
        </w:rPr>
        <w:t xml:space="preserve"> about 45 and 40 km, respectively;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8a-b) compared to the small size (surface RMW about 18 km) from the best track</w:t>
      </w:r>
      <w:r w:rsidRPr="007A1DFF">
        <w:rPr>
          <w:rStyle w:val="FootnoteReference"/>
        </w:rPr>
        <w:footnoteReference w:id="8"/>
      </w:r>
      <w:r w:rsidRPr="00723DA9">
        <w:rPr>
          <w:rFonts w:ascii="Times New Roman" w:hAnsi="Times New Roman" w:cs="Times New Roman"/>
          <w:sz w:val="24"/>
          <w:szCs w:val="24"/>
        </w:rPr>
        <w:t>.</w:t>
      </w:r>
    </w:p>
    <w:p w14:paraId="5C4883E4" w14:textId="07C5676D"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Unlike the similar TC structures between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and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VM modifies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significantly as shown in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3 and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4.  However, the initial radial wind structures produced by VM is similar to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7k).  This result shows that the primary modifications in VM are through enhancing the tangential wind fields, or the primary circulation.  The super-gradient imbalance found in VM starts to impact the secondary circulation structures after the model integrates (e.g. 2 minutes later).  For example, spuriously strong downdraft (greater than 6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is found in the eye region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7l-n).  This strong downdraft is consistent with the dramatic MSLP drop found in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6.  The downdraft warms the eye and hydrostatically lowers the surface pressure as a result of the wind and pressure adjustment.  However, regardless of the spuriously strong downdraft in the eye, the typical TC secondary circulation components like the upper-level outflow, low-level inflow and the linking updraft can still be consistently found during the evolution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7k-o and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8c).  After one hour of model integration, the overly strong downdraft in the eye region is gradually reduced and the secondary circulation structure is more consistent with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although the upper-level outflow is weaker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7o) and the eyewall size is even larger (e.g. 500 hPa radii greater than 40 km;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8c).  </w:t>
      </w:r>
    </w:p>
    <w:p w14:paraId="64F89645" w14:textId="27F622E5"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According to the TCI dropsonde observations, the outflow of Patricia at the analysis time should be centered around 100 hPa at the outer radii of eyewall (30-60 km; shown in </w:t>
      </w:r>
      <w:r w:rsidR="00E22E12" w:rsidRPr="00723DA9">
        <w:rPr>
          <w:rFonts w:ascii="Times New Roman" w:hAnsi="Times New Roman" w:cs="Times New Roman"/>
          <w:sz w:val="24"/>
          <w:szCs w:val="24"/>
        </w:rPr>
        <w:t>Chapter</w:t>
      </w:r>
      <w:r w:rsidR="00403CAF" w:rsidRPr="00723DA9">
        <w:rPr>
          <w:rFonts w:ascii="Times New Roman" w:hAnsi="Times New Roman" w:cs="Times New Roman"/>
          <w:sz w:val="24"/>
          <w:szCs w:val="24"/>
        </w:rPr>
        <w:t xml:space="preserve"> 5</w:t>
      </w:r>
      <w:r w:rsidRPr="00723DA9">
        <w:rPr>
          <w:rFonts w:ascii="Times New Roman" w:hAnsi="Times New Roman" w:cs="Times New Roman"/>
          <w:sz w:val="24"/>
          <w:szCs w:val="24"/>
        </w:rPr>
        <w:t xml:space="preserve">, Fig. </w:t>
      </w:r>
      <w:r w:rsidR="00BE2FAA" w:rsidRPr="00723DA9">
        <w:rPr>
          <w:rFonts w:ascii="Times New Roman" w:hAnsi="Times New Roman" w:cs="Times New Roman"/>
          <w:sz w:val="24"/>
          <w:szCs w:val="24"/>
        </w:rPr>
        <w:t>5.</w:t>
      </w:r>
      <w:r w:rsidR="00541AC7">
        <w:rPr>
          <w:rFonts w:ascii="Times New Roman" w:hAnsi="Times New Roman" w:cs="Times New Roman"/>
          <w:sz w:val="24"/>
          <w:szCs w:val="24"/>
        </w:rPr>
        <w:t>4</w:t>
      </w:r>
      <w:r w:rsidRPr="00723DA9">
        <w:rPr>
          <w:rFonts w:ascii="Times New Roman" w:hAnsi="Times New Roman" w:cs="Times New Roman"/>
          <w:sz w:val="24"/>
          <w:szCs w:val="24"/>
        </w:rPr>
        <w:t xml:space="preserve">a).  However, the outflow at the outer radii of eyewall is located around 150hPa in both </w:t>
      </w:r>
      <w:proofErr w:type="spellStart"/>
      <w:r w:rsidRPr="00723DA9">
        <w:rPr>
          <w:rFonts w:ascii="Times New Roman" w:hAnsi="Times New Roman" w:cs="Times New Roman"/>
          <w:sz w:val="24"/>
          <w:szCs w:val="24"/>
        </w:rPr>
        <w:lastRenderedPageBreak/>
        <w:t>NoDA</w:t>
      </w:r>
      <w:proofErr w:type="spellEnd"/>
      <w:r w:rsidRPr="00723DA9">
        <w:rPr>
          <w:rFonts w:ascii="Times New Roman" w:hAnsi="Times New Roman" w:cs="Times New Roman"/>
          <w:sz w:val="24"/>
          <w:szCs w:val="24"/>
        </w:rPr>
        <w:t xml:space="preserve"> and VM, which is lower than observed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7f and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7k).  DA elevated the outflow to 100 hPa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7p), which is more consistent with the observations (shown in </w:t>
      </w:r>
      <w:r w:rsidR="00E22E12" w:rsidRPr="00723DA9">
        <w:rPr>
          <w:rFonts w:ascii="Times New Roman" w:hAnsi="Times New Roman" w:cs="Times New Roman"/>
          <w:sz w:val="24"/>
          <w:szCs w:val="24"/>
        </w:rPr>
        <w:t>Chapter</w:t>
      </w:r>
      <w:r w:rsidR="00403CAF" w:rsidRPr="00723DA9">
        <w:rPr>
          <w:rFonts w:ascii="Times New Roman" w:hAnsi="Times New Roman" w:cs="Times New Roman"/>
          <w:sz w:val="24"/>
          <w:szCs w:val="24"/>
        </w:rPr>
        <w:t xml:space="preserve"> 5</w:t>
      </w:r>
      <w:r w:rsidRPr="00723DA9">
        <w:rPr>
          <w:rFonts w:ascii="Times New Roman" w:hAnsi="Times New Roman" w:cs="Times New Roman"/>
          <w:sz w:val="24"/>
          <w:szCs w:val="24"/>
        </w:rPr>
        <w:t xml:space="preserve">).  But once the model integrates, it cannot establish a consistent updraft that directly links the elevated upper-level outflow and low-level inflow.  Instead, the updraft in DA is not only weak below 300 hPa, but also oscillated inward and outward in the vertical direction.  The upper part of the updraft is also pushed toward the eye such that the upper eye region is dominated by updraft instead of the typically expected weak downdraft (Fig. </w:t>
      </w:r>
      <w:r w:rsidR="00BE2FAA" w:rsidRPr="00723DA9">
        <w:rPr>
          <w:rFonts w:ascii="Times New Roman" w:hAnsi="Times New Roman" w:cs="Times New Roman"/>
          <w:sz w:val="24"/>
          <w:szCs w:val="24"/>
        </w:rPr>
        <w:t>4.</w:t>
      </w:r>
      <w:r w:rsidRPr="00723DA9">
        <w:rPr>
          <w:rFonts w:ascii="Times New Roman" w:hAnsi="Times New Roman" w:cs="Times New Roman"/>
          <w:sz w:val="24"/>
          <w:szCs w:val="24"/>
        </w:rPr>
        <w:t xml:space="preserve">7q).  This disorganized secondary circulation is likely because the HWRF model is not able to support the strong sub-gradient/super-gradient oscillations in the DA analysis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4c) where sub-gradient produces inflow and super-gradient produces outflow near the eyewall.  The strong sub-gradient/super-gradient oscillation in the DA analysis is consistent with early observational and modeling study of Patricia (Stern et al. 2017).  Consequently, the inflow/outflow oscillations within the updraft produce several closed small secondary circulations.  This disorganized secondary circulation continues throughout the first hour and is consistent with the Vmax spin-down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6a).  As discussed in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1, </w:t>
      </w:r>
      <w:r w:rsidRPr="00723DA9">
        <w:rPr>
          <w:rFonts w:ascii="Times New Roman" w:hAnsi="Times New Roman" w:cs="Times New Roman"/>
          <w:sz w:val="24"/>
          <w:szCs w:val="24"/>
        </w:rPr>
        <w:fldChar w:fldCharType="begin" w:fldLock="1"/>
      </w:r>
      <w:r w:rsidR="002E0A45" w:rsidRPr="00723DA9">
        <w:rPr>
          <w:rFonts w:ascii="Times New Roman" w:hAnsi="Times New Roman" w:cs="Times New Roman"/>
          <w:sz w:val="24"/>
          <w:szCs w:val="24"/>
        </w:rPr>
        <w:instrText>ADDIN CSL_CITATION {"citationItems":[{"id":"ITEM-1","itemData":{"DOI":"10.1175/2009JAS3038.1","abstract":"Several studies have shown that the intensity of numerically simulated tropical cyclones can exceed (by 50%) a theoretical upper limit. To investigate the cause, this study evaluates the underlying components of Emanuel's commonly cited analytic theory for potential intensity (herein referred to as E-PI). A review of the derivation of E-PI highlights three primary components: a dynamical component (gradient-wind and hydrostatic balance); a thermodynamical component (reversible or pseudoadiabatic thermodynamics, al-though the pseudoadiabatic assumption yields greater intensity); and a planetary boundary layer (PBL) closure (which relates the horizontal gradients of entropy and angular momentum at the top of the PBL to fluxes and stresses at the ocean surface). These three components are evaluated using output from an axi-symmetric numerical model. The present analysis finds the thermodynamical component and the PBL closure to be sufficiently accurate for several different simulations. In contrast, the dynamical component is clearly violated. Although the balanced portion of the flow (y g , to which E-PI applies) appears to also exceed E-PI, it is shown that this difference is attributable to the method used to calculate y g from the model output. Evi-dence is shown that y g for a truly balanced cyclone does not exceed E-PI. To clearly quantify the impact of unbalanced flow, a more complete analytic model is presented. The model is not expressed in terms of ex-ternal conditions and thus cannot be used to predict maximum intensity for a given environment; however, it does allow for evaluation of the relative contributions to maximum intensity from balanced and unbalanced (i.e., inertial) terms in the governing equations. Using numerical model output, this more complete model is shown to accurately model maximum intensity. Analysis against observations further confirms that the effects of unbalanced flow on maximum intensity are not always negligible. The contribution to intensity from un-balanced flow can become negligible in axisymmetric models as radial turbulence (i.e., viscosity) increases, and this explains why some previous studies concluded that E-PI was an accurate upper bound for their simulations. Conclusions of this study are also compared and contrasted to those from previous studies.","author":[{"dropping-particle":"","family":"Bryan","given":"George H","non-dropping-particle":"","parse-names":false,"suffix":""},{"dropping-particle":"","family":"Rotunno","given":"Richard","non-dropping-particle":"","parse-names":false,"suffix":""}],"container-title":"Journal of the Atmospheric Sciences","id":"ITEM-1","issued":{"date-parts":[["2009"]]},"page":"3042-3060","title":"Evaluation of an Analytical Model for the Maximum Intensity of Tropical Cyclones","type":"article-journal","volume":"66"},"uris":["http://www.mendeley.com/documents/?uuid=652a5db5-72f6-36f6-b5d1-5faadca97017"]}],"mendeley":{"formattedCitation":"(Bryan and Rotunno 2009a)","manualFormatting":"Bryan and Rotunno (2009)","plainTextFormattedCitation":"(Bryan and Rotunno 2009a)","previouslyFormattedCitation":"(Bryan and Rotunno 2009a)"},"properties":{"noteIndex":0},"schema":"https://github.com/citation-style-language/schema/raw/master/csl-citation.json"}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hAnsi="Times New Roman" w:cs="Times New Roman"/>
          <w:noProof/>
          <w:sz w:val="24"/>
          <w:szCs w:val="24"/>
        </w:rPr>
        <w:t>Bryan and Rotunno (2009)</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found that the vertical variation associated with the unbalanced flow effects can be damped by stronger radial diffusion.  It is hypothesized that one of the reasons that HWRF cannot support the realistically analyzed unbalanced oscillations in the eyewall could be that the horizontal diffusion is too large. </w:t>
      </w:r>
    </w:p>
    <w:p w14:paraId="65E84C45" w14:textId="77777777" w:rsidR="00A67154" w:rsidRPr="00723DA9" w:rsidRDefault="00A67154" w:rsidP="00A67154">
      <w:pPr>
        <w:pStyle w:val="Captions"/>
        <w:spacing w:after="0"/>
        <w:rPr>
          <w:rFonts w:cs="Times New Roman"/>
        </w:rPr>
      </w:pPr>
    </w:p>
    <w:p w14:paraId="50FFBB36" w14:textId="77777777" w:rsidR="00A947DE" w:rsidRPr="00723DA9" w:rsidRDefault="00A947DE" w:rsidP="00E86356">
      <w:pPr>
        <w:spacing w:after="0" w:line="360" w:lineRule="auto"/>
        <w:rPr>
          <w:rFonts w:ascii="Times New Roman" w:hAnsi="Times New Roman" w:cs="Times New Roman"/>
          <w:sz w:val="24"/>
          <w:szCs w:val="24"/>
        </w:rPr>
      </w:pPr>
      <w:r w:rsidRPr="00723DA9">
        <w:rPr>
          <w:rFonts w:ascii="Times New Roman" w:hAnsi="Times New Roman" w:cs="Times New Roman"/>
          <w:noProof/>
        </w:rPr>
        <w:lastRenderedPageBreak/>
        <w:drawing>
          <wp:inline distT="0" distB="0" distL="0" distR="0" wp14:anchorId="7952CEEC" wp14:editId="78D9264C">
            <wp:extent cx="5943600" cy="5029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5029200"/>
                    </a:xfrm>
                    <a:prstGeom prst="rect">
                      <a:avLst/>
                    </a:prstGeom>
                    <a:noFill/>
                    <a:ln>
                      <a:noFill/>
                    </a:ln>
                  </pic:spPr>
                </pic:pic>
              </a:graphicData>
            </a:graphic>
          </wp:inline>
        </w:drawing>
      </w:r>
    </w:p>
    <w:p w14:paraId="7DBDE6F9" w14:textId="6B5559B6" w:rsidR="00A947DE" w:rsidRPr="00723DA9" w:rsidRDefault="00410356" w:rsidP="00E86356">
      <w:pPr>
        <w:pStyle w:val="Captions"/>
        <w:spacing w:after="0"/>
        <w:rPr>
          <w:rFonts w:cs="Times New Roman"/>
        </w:rPr>
      </w:pPr>
      <w:bookmarkStart w:id="185" w:name="_Toc21624049"/>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9</w:t>
      </w:r>
      <w:r w:rsidR="00771F99" w:rsidRPr="00723DA9">
        <w:rPr>
          <w:rFonts w:cs="Times New Roman"/>
          <w:noProof/>
        </w:rPr>
        <w:fldChar w:fldCharType="end"/>
      </w:r>
      <w:r w:rsidRPr="00723DA9">
        <w:rPr>
          <w:rFonts w:cs="Times New Roman"/>
        </w:rPr>
        <w:t xml:space="preserve"> </w:t>
      </w:r>
      <w:r w:rsidR="00A947DE" w:rsidRPr="00723DA9">
        <w:rPr>
          <w:rFonts w:cs="Times New Roman"/>
        </w:rPr>
        <w:t>Same as Fig. 4.7 except the shading for azimuthal mean total condensate (kg kg</w:t>
      </w:r>
      <w:r w:rsidR="00A947DE" w:rsidRPr="00723DA9">
        <w:rPr>
          <w:rFonts w:cs="Times New Roman"/>
          <w:vertAlign w:val="superscript"/>
        </w:rPr>
        <w:t>-1</w:t>
      </w:r>
      <w:r w:rsidR="00A947DE" w:rsidRPr="00723DA9">
        <w:rPr>
          <w:rFonts w:cs="Times New Roman"/>
        </w:rPr>
        <w:t xml:space="preserve">) for (a)~(e) </w:t>
      </w:r>
      <w:proofErr w:type="spellStart"/>
      <w:r w:rsidR="00A947DE" w:rsidRPr="00723DA9">
        <w:rPr>
          <w:rFonts w:cs="Times New Roman"/>
        </w:rPr>
        <w:t>NoDA</w:t>
      </w:r>
      <w:proofErr w:type="spellEnd"/>
      <w:r w:rsidR="00A947DE" w:rsidRPr="00723DA9">
        <w:rPr>
          <w:rFonts w:cs="Times New Roman"/>
        </w:rPr>
        <w:t>, (f)~(j) VM, (k)~(o) DA and (p)~(t) DA-HDVD for the (a), (f), (k), (p) initial analysis; (b), (g), (l), (q) 2-min forecast; (c), (h), (m), (r) 4-min foreca</w:t>
      </w:r>
      <w:r w:rsidR="00786C0C">
        <w:rPr>
          <w:rFonts w:cs="Times New Roman"/>
        </w:rPr>
        <w:t>s</w:t>
      </w:r>
      <w:r w:rsidR="00A947DE" w:rsidRPr="00723DA9">
        <w:rPr>
          <w:rFonts w:cs="Times New Roman"/>
        </w:rPr>
        <w:t>t; (d), (</w:t>
      </w:r>
      <w:proofErr w:type="spellStart"/>
      <w:r w:rsidR="00A947DE" w:rsidRPr="00723DA9">
        <w:rPr>
          <w:rFonts w:cs="Times New Roman"/>
        </w:rPr>
        <w:t>i</w:t>
      </w:r>
      <w:proofErr w:type="spellEnd"/>
      <w:r w:rsidR="00A947DE" w:rsidRPr="00723DA9">
        <w:rPr>
          <w:rFonts w:cs="Times New Roman"/>
        </w:rPr>
        <w:t>), (n), (s) 30-min forecast; and (e), (j), (o), (t) 60-min forecast.</w:t>
      </w:r>
      <w:bookmarkEnd w:id="185"/>
    </w:p>
    <w:p w14:paraId="1DBA1C29" w14:textId="77777777" w:rsidR="00A947DE" w:rsidRPr="00723DA9" w:rsidRDefault="00A947DE" w:rsidP="00E86356">
      <w:pPr>
        <w:pStyle w:val="Captions"/>
        <w:spacing w:after="0"/>
        <w:rPr>
          <w:rFonts w:cs="Times New Roman"/>
        </w:rPr>
      </w:pPr>
    </w:p>
    <w:p w14:paraId="1FBFD4A7" w14:textId="71AE1918" w:rsidR="00812E22" w:rsidRPr="00812E22" w:rsidRDefault="00812E22" w:rsidP="00812E22">
      <w:pPr>
        <w:spacing w:after="0" w:line="480" w:lineRule="auto"/>
        <w:ind w:firstLine="360"/>
        <w:rPr>
          <w:rFonts w:ascii="Times New Roman" w:hAnsi="Times New Roman" w:cs="Times New Roman"/>
          <w:sz w:val="24"/>
          <w:szCs w:val="24"/>
        </w:rPr>
      </w:pPr>
      <w:r w:rsidRPr="00812E22">
        <w:rPr>
          <w:rFonts w:ascii="Times New Roman" w:hAnsi="Times New Roman" w:cs="Times New Roman"/>
          <w:sz w:val="24"/>
          <w:szCs w:val="24"/>
        </w:rPr>
        <w:t xml:space="preserve">Moreover, even after one hour of model integration, the dominant updraft in the eyewall for DA is still not established (Fig. </w:t>
      </w:r>
      <w:r>
        <w:rPr>
          <w:rFonts w:ascii="Times New Roman" w:hAnsi="Times New Roman" w:cs="Times New Roman"/>
          <w:sz w:val="24"/>
          <w:szCs w:val="24"/>
        </w:rPr>
        <w:t>4.7</w:t>
      </w:r>
      <w:r w:rsidRPr="00812E22">
        <w:rPr>
          <w:rFonts w:ascii="Times New Roman" w:hAnsi="Times New Roman" w:cs="Times New Roman"/>
          <w:sz w:val="24"/>
          <w:szCs w:val="24"/>
        </w:rPr>
        <w:t xml:space="preserve">t). </w:t>
      </w:r>
      <w:r>
        <w:rPr>
          <w:rFonts w:ascii="Times New Roman" w:hAnsi="Times New Roman" w:cs="Times New Roman"/>
          <w:sz w:val="24"/>
          <w:szCs w:val="24"/>
        </w:rPr>
        <w:t xml:space="preserve"> </w:t>
      </w:r>
      <w:r w:rsidRPr="00812E22">
        <w:rPr>
          <w:rFonts w:ascii="Times New Roman" w:hAnsi="Times New Roman" w:cs="Times New Roman"/>
          <w:sz w:val="24"/>
          <w:szCs w:val="24"/>
        </w:rPr>
        <w:t xml:space="preserve">Figure </w:t>
      </w:r>
      <w:r>
        <w:rPr>
          <w:rFonts w:ascii="Times New Roman" w:hAnsi="Times New Roman" w:cs="Times New Roman"/>
          <w:sz w:val="24"/>
          <w:szCs w:val="24"/>
        </w:rPr>
        <w:t>4.</w:t>
      </w:r>
      <w:r w:rsidRPr="00812E22">
        <w:rPr>
          <w:rFonts w:ascii="Times New Roman" w:hAnsi="Times New Roman" w:cs="Times New Roman"/>
          <w:sz w:val="24"/>
          <w:szCs w:val="24"/>
        </w:rPr>
        <w:t xml:space="preserve">8d shows that DA is not able to build up a consistent updraft in the eyewall until about 100 min later, although the size of eyewall in DA is more consistent with the best track as compared to either </w:t>
      </w:r>
      <w:proofErr w:type="spellStart"/>
      <w:r w:rsidRPr="00812E22">
        <w:rPr>
          <w:rFonts w:ascii="Times New Roman" w:hAnsi="Times New Roman" w:cs="Times New Roman"/>
          <w:sz w:val="24"/>
          <w:szCs w:val="24"/>
        </w:rPr>
        <w:t>NoDA</w:t>
      </w:r>
      <w:proofErr w:type="spellEnd"/>
      <w:r w:rsidRPr="00812E22">
        <w:rPr>
          <w:rFonts w:ascii="Times New Roman" w:hAnsi="Times New Roman" w:cs="Times New Roman"/>
          <w:sz w:val="24"/>
          <w:szCs w:val="24"/>
        </w:rPr>
        <w:t xml:space="preserve"> or VM. </w:t>
      </w:r>
      <w:r>
        <w:rPr>
          <w:rFonts w:ascii="Times New Roman" w:hAnsi="Times New Roman" w:cs="Times New Roman"/>
          <w:sz w:val="24"/>
          <w:szCs w:val="24"/>
        </w:rPr>
        <w:t xml:space="preserve"> </w:t>
      </w:r>
      <w:r w:rsidRPr="00812E22">
        <w:rPr>
          <w:rFonts w:ascii="Times New Roman" w:hAnsi="Times New Roman" w:cs="Times New Roman"/>
          <w:sz w:val="24"/>
          <w:szCs w:val="24"/>
        </w:rPr>
        <w:t xml:space="preserve">Furthermore, after one-hour of model integration, the updraft in DA (Fig. </w:t>
      </w:r>
      <w:r>
        <w:rPr>
          <w:rFonts w:ascii="Times New Roman" w:hAnsi="Times New Roman" w:cs="Times New Roman"/>
          <w:sz w:val="24"/>
          <w:szCs w:val="24"/>
        </w:rPr>
        <w:t>4.</w:t>
      </w:r>
      <w:r w:rsidRPr="00812E22">
        <w:rPr>
          <w:rFonts w:ascii="Times New Roman" w:hAnsi="Times New Roman" w:cs="Times New Roman"/>
          <w:sz w:val="24"/>
          <w:szCs w:val="24"/>
        </w:rPr>
        <w:t xml:space="preserve">8d) is in general weaker in strength as compared to </w:t>
      </w:r>
      <w:proofErr w:type="spellStart"/>
      <w:r w:rsidRPr="00812E22">
        <w:rPr>
          <w:rFonts w:ascii="Times New Roman" w:hAnsi="Times New Roman" w:cs="Times New Roman"/>
          <w:sz w:val="24"/>
          <w:szCs w:val="24"/>
        </w:rPr>
        <w:t>NoDA</w:t>
      </w:r>
      <w:proofErr w:type="spellEnd"/>
      <w:r w:rsidRPr="00812E22">
        <w:rPr>
          <w:rFonts w:ascii="Times New Roman" w:hAnsi="Times New Roman" w:cs="Times New Roman"/>
          <w:sz w:val="24"/>
          <w:szCs w:val="24"/>
        </w:rPr>
        <w:t xml:space="preserve"> (Fig. </w:t>
      </w:r>
      <w:r>
        <w:rPr>
          <w:rFonts w:ascii="Times New Roman" w:hAnsi="Times New Roman" w:cs="Times New Roman"/>
          <w:sz w:val="24"/>
          <w:szCs w:val="24"/>
        </w:rPr>
        <w:t>4.</w:t>
      </w:r>
      <w:r w:rsidRPr="00812E22">
        <w:rPr>
          <w:rFonts w:ascii="Times New Roman" w:hAnsi="Times New Roman" w:cs="Times New Roman"/>
          <w:sz w:val="24"/>
          <w:szCs w:val="24"/>
        </w:rPr>
        <w:t xml:space="preserve">8b). </w:t>
      </w:r>
      <w:r w:rsidR="00B60A9A">
        <w:rPr>
          <w:rFonts w:ascii="Times New Roman" w:hAnsi="Times New Roman" w:cs="Times New Roman"/>
          <w:sz w:val="24"/>
          <w:szCs w:val="24"/>
        </w:rPr>
        <w:t xml:space="preserve"> </w:t>
      </w:r>
      <w:r w:rsidRPr="00812E22">
        <w:rPr>
          <w:rFonts w:ascii="Times New Roman" w:hAnsi="Times New Roman" w:cs="Times New Roman"/>
          <w:sz w:val="24"/>
          <w:szCs w:val="24"/>
        </w:rPr>
        <w:t xml:space="preserve">This weak updraft cannot reach the realistically elevated upper-level outflow by DA. Therefore, a lower upper-level outflow is therefore spuriously generated </w:t>
      </w:r>
      <w:r w:rsidRPr="00812E22">
        <w:rPr>
          <w:rFonts w:ascii="Times New Roman" w:hAnsi="Times New Roman" w:cs="Times New Roman"/>
          <w:sz w:val="24"/>
          <w:szCs w:val="24"/>
        </w:rPr>
        <w:lastRenderedPageBreak/>
        <w:t xml:space="preserve">during the model integration to satisfy the mass conservation (Fig. </w:t>
      </w:r>
      <w:r>
        <w:rPr>
          <w:rFonts w:ascii="Times New Roman" w:hAnsi="Times New Roman" w:cs="Times New Roman"/>
          <w:sz w:val="24"/>
          <w:szCs w:val="24"/>
        </w:rPr>
        <w:t>4.</w:t>
      </w:r>
      <w:r w:rsidRPr="00812E22">
        <w:rPr>
          <w:rFonts w:ascii="Times New Roman" w:hAnsi="Times New Roman" w:cs="Times New Roman"/>
          <w:sz w:val="24"/>
          <w:szCs w:val="24"/>
        </w:rPr>
        <w:t xml:space="preserve">7t). </w:t>
      </w:r>
      <w:r w:rsidR="00B60A9A">
        <w:rPr>
          <w:rFonts w:ascii="Times New Roman" w:hAnsi="Times New Roman" w:cs="Times New Roman"/>
          <w:sz w:val="24"/>
          <w:szCs w:val="24"/>
        </w:rPr>
        <w:t xml:space="preserve"> </w:t>
      </w:r>
      <w:r w:rsidRPr="00812E22">
        <w:rPr>
          <w:rFonts w:ascii="Times New Roman" w:hAnsi="Times New Roman" w:cs="Times New Roman"/>
          <w:sz w:val="24"/>
          <w:szCs w:val="24"/>
        </w:rPr>
        <w:t xml:space="preserve">The weak updraft is hypothesized to be related to the unrealistically discontinuous vertical diffusion parameterization as mentioned in section </w:t>
      </w:r>
      <w:r>
        <w:rPr>
          <w:rFonts w:ascii="Times New Roman" w:hAnsi="Times New Roman" w:cs="Times New Roman"/>
          <w:sz w:val="24"/>
          <w:szCs w:val="24"/>
        </w:rPr>
        <w:t>4.</w:t>
      </w:r>
      <w:r w:rsidRPr="00812E22">
        <w:rPr>
          <w:rFonts w:ascii="Times New Roman" w:hAnsi="Times New Roman" w:cs="Times New Roman"/>
          <w:sz w:val="24"/>
          <w:szCs w:val="24"/>
        </w:rPr>
        <w:t xml:space="preserve">1 (Fig. </w:t>
      </w:r>
      <w:r>
        <w:rPr>
          <w:rFonts w:ascii="Times New Roman" w:hAnsi="Times New Roman" w:cs="Times New Roman"/>
          <w:sz w:val="24"/>
          <w:szCs w:val="24"/>
        </w:rPr>
        <w:t>4.</w:t>
      </w:r>
      <w:r w:rsidRPr="00812E22">
        <w:rPr>
          <w:rFonts w:ascii="Times New Roman" w:hAnsi="Times New Roman" w:cs="Times New Roman"/>
          <w:sz w:val="24"/>
          <w:szCs w:val="24"/>
        </w:rPr>
        <w:t>1), where the lack of vertical diffusion at the boundary layer top constrains the upward moisture and energy transport and therefore the updraft triggered by latent heat release in the eyewall is constrained.</w:t>
      </w:r>
      <w:r w:rsidR="00B60A9A">
        <w:rPr>
          <w:rFonts w:ascii="Times New Roman" w:hAnsi="Times New Roman" w:cs="Times New Roman"/>
          <w:sz w:val="24"/>
          <w:szCs w:val="24"/>
        </w:rPr>
        <w:t xml:space="preserve"> </w:t>
      </w:r>
      <w:r w:rsidRPr="00812E22">
        <w:rPr>
          <w:rFonts w:ascii="Times New Roman" w:hAnsi="Times New Roman" w:cs="Times New Roman"/>
          <w:sz w:val="24"/>
          <w:szCs w:val="24"/>
        </w:rPr>
        <w:t xml:space="preserve"> Such an inefficient vertical energy and moisture transport is reflected by Figs. </w:t>
      </w:r>
      <w:r>
        <w:rPr>
          <w:rFonts w:ascii="Times New Roman" w:hAnsi="Times New Roman" w:cs="Times New Roman"/>
          <w:sz w:val="24"/>
          <w:szCs w:val="24"/>
        </w:rPr>
        <w:t>4.</w:t>
      </w:r>
      <w:r w:rsidRPr="00812E22">
        <w:rPr>
          <w:rFonts w:ascii="Times New Roman" w:hAnsi="Times New Roman" w:cs="Times New Roman"/>
          <w:sz w:val="24"/>
          <w:szCs w:val="24"/>
        </w:rPr>
        <w:t>9a–o where an unrealistic localized low-level total condensate maximum around 900 hPa is found in all the experiments at any forecast time in HWRF.</w:t>
      </w:r>
    </w:p>
    <w:p w14:paraId="1FBB3D03" w14:textId="77777777"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Overall, diagnostics in this subsection suggest that the spin-down issue in Patricia is a direct response to the secondary circulation evolution.  The disorganized and weak secondary circulation is likely to be attributed to the model physics deficiencies such as the unrealistic horizontal and vertical diffusion parameterization configurations.  In other words, the spin-down happens when the unrealistic model physics parameterization configurations cannot maintain the more realistic analysis produced by DA.  </w:t>
      </w:r>
    </w:p>
    <w:p w14:paraId="6D204F57" w14:textId="7D3298D8"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The mean absolute surface pressure tendency (MASPT) is usually used as a measurement of the incompatibility between the initial condition (or analysis) and the numerical model (e.g. </w:t>
      </w:r>
      <w:bookmarkStart w:id="186" w:name="_Hlk526679588"/>
      <w:r w:rsidRPr="00723DA9">
        <w:rPr>
          <w:rFonts w:ascii="Times New Roman" w:hAnsi="Times New Roman" w:cs="Times New Roman"/>
          <w:sz w:val="24"/>
          <w:szCs w:val="24"/>
        </w:rPr>
        <w:t>Lynch and Huang 1992; Kleist et al. 2008; Wang et al., 2013; Lei and Whitaker, 2016</w:t>
      </w:r>
      <w:bookmarkEnd w:id="186"/>
      <w:r w:rsidRPr="00723DA9">
        <w:rPr>
          <w:rFonts w:ascii="Times New Roman" w:hAnsi="Times New Roman" w:cs="Times New Roman"/>
          <w:sz w:val="24"/>
          <w:szCs w:val="24"/>
        </w:rPr>
        <w:t xml:space="preserve">).  Given the surface pressure tendency will likely be dependent on the model physics itself, to facilitate quantifying the “incompatibility” between the model physics and DA analysis, a normalized mean absolute surface pressure tendency (NMASPT) is calculated in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6c.</w:t>
      </w:r>
      <w:r w:rsidRPr="007A1DFF">
        <w:rPr>
          <w:rStyle w:val="FootnoteReference"/>
        </w:rPr>
        <w:footnoteReference w:id="9"/>
      </w:r>
      <w:r w:rsidRPr="00723DA9">
        <w:rPr>
          <w:rFonts w:ascii="Times New Roman" w:hAnsi="Times New Roman" w:cs="Times New Roman"/>
          <w:sz w:val="24"/>
          <w:szCs w:val="24"/>
        </w:rPr>
        <w:t xml:space="preserve">  This NMASPT is calculated by normalizing MASPT with the relatively balanced free forecast in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-Warm and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-HDVD-Warm.  The larger the NMASPT, the more incompatible between the model and the DA analysis.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6c shows that VM only introduces slightly more incompatibility </w:t>
      </w:r>
      <w:r w:rsidRPr="00723DA9">
        <w:rPr>
          <w:rFonts w:ascii="Times New Roman" w:hAnsi="Times New Roman" w:cs="Times New Roman"/>
          <w:sz w:val="24"/>
          <w:szCs w:val="24"/>
        </w:rPr>
        <w:lastRenderedPageBreak/>
        <w:t xml:space="preserve">compared to </w:t>
      </w:r>
      <w:proofErr w:type="spellStart"/>
      <w:r w:rsidRPr="00723DA9">
        <w:rPr>
          <w:rFonts w:ascii="Times New Roman" w:hAnsi="Times New Roman" w:cs="Times New Roman"/>
          <w:sz w:val="24"/>
          <w:szCs w:val="24"/>
        </w:rPr>
        <w:t>NoDA</w:t>
      </w:r>
      <w:proofErr w:type="spellEnd"/>
      <w:r w:rsidRPr="00723DA9">
        <w:rPr>
          <w:rFonts w:ascii="Times New Roman" w:hAnsi="Times New Roman" w:cs="Times New Roman"/>
          <w:sz w:val="24"/>
          <w:szCs w:val="24"/>
        </w:rPr>
        <w:t xml:space="preserve"> since the composite vortex added in VM is from historical HWRF model forecasts and is therefore more model “compatible”.  In contrast, the confliction between the unrealistic model physics and the realistic analysis by DA shows significantly more incompatibility measured by NMASPT.</w:t>
      </w:r>
    </w:p>
    <w:p w14:paraId="0B909FBD" w14:textId="0000C51C"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Therefore, the spin-down issue is hypothesized to be alleviated for the DA experiment when the model physics are improved.  The hypothesis will be investigated in the next section.</w:t>
      </w:r>
    </w:p>
    <w:p w14:paraId="464CD520" w14:textId="38995831" w:rsidR="00C56823" w:rsidRPr="00723DA9" w:rsidRDefault="00C56823" w:rsidP="00F11C0E">
      <w:pPr>
        <w:pStyle w:val="Heading2"/>
        <w:numPr>
          <w:ilvl w:val="1"/>
          <w:numId w:val="20"/>
        </w:numPr>
        <w:spacing w:line="480" w:lineRule="auto"/>
        <w:ind w:left="0" w:firstLine="0"/>
        <w:rPr>
          <w:rFonts w:ascii="Times New Roman" w:hAnsi="Times New Roman" w:cs="Times New Roman"/>
          <w:b/>
          <w:bCs/>
          <w:color w:val="auto"/>
          <w:sz w:val="24"/>
          <w:szCs w:val="24"/>
        </w:rPr>
      </w:pPr>
      <w:bookmarkStart w:id="187" w:name="_Toc21623999"/>
      <w:r w:rsidRPr="00723DA9">
        <w:rPr>
          <w:rFonts w:ascii="Times New Roman" w:hAnsi="Times New Roman" w:cs="Times New Roman"/>
          <w:b/>
          <w:bCs/>
          <w:color w:val="auto"/>
          <w:sz w:val="24"/>
          <w:szCs w:val="24"/>
        </w:rPr>
        <w:t>Can Modified Model Physics Alleviate the spin-down issue?</w:t>
      </w:r>
      <w:bookmarkEnd w:id="187"/>
    </w:p>
    <w:p w14:paraId="7F8CB3DC" w14:textId="19C2AE39" w:rsidR="00E86356"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As stated in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3</w:t>
      </w:r>
      <w:r w:rsidR="00A947DE" w:rsidRPr="00723DA9">
        <w:rPr>
          <w:rFonts w:ascii="Times New Roman" w:hAnsi="Times New Roman" w:cs="Times New Roman"/>
          <w:sz w:val="24"/>
          <w:szCs w:val="24"/>
        </w:rPr>
        <w:t>.2</w:t>
      </w:r>
      <w:r w:rsidRPr="00723DA9">
        <w:rPr>
          <w:rFonts w:ascii="Times New Roman" w:hAnsi="Times New Roman" w:cs="Times New Roman"/>
          <w:sz w:val="24"/>
          <w:szCs w:val="24"/>
        </w:rPr>
        <w:t>, improving model physics parameterizations, such as the horizontal and vertical diffusion parameterizations, are hypothesized to help alleviate the spin-down issue. Therefore, additional experiments DA-HD and DA-HDVD with physics modifications are conducted and the best performer will be compared with DA in this section to investigate the hypothesis.</w:t>
      </w:r>
    </w:p>
    <w:p w14:paraId="64BC7EDC" w14:textId="0E00DABA" w:rsidR="00C56823" w:rsidRPr="00723DA9" w:rsidRDefault="00C56823" w:rsidP="00F11C0E">
      <w:pPr>
        <w:pStyle w:val="Heading3"/>
        <w:numPr>
          <w:ilvl w:val="2"/>
          <w:numId w:val="23"/>
        </w:numPr>
        <w:spacing w:before="160" w:after="160" w:line="480" w:lineRule="auto"/>
        <w:rPr>
          <w:rFonts w:ascii="Times New Roman" w:hAnsi="Times New Roman" w:cs="Times New Roman"/>
          <w:b/>
          <w:bCs/>
          <w:i/>
          <w:iCs/>
          <w:color w:val="auto"/>
        </w:rPr>
      </w:pPr>
      <w:bookmarkStart w:id="188" w:name="_Toc21624000"/>
      <w:r w:rsidRPr="00723DA9">
        <w:rPr>
          <w:rFonts w:ascii="Times New Roman" w:hAnsi="Times New Roman" w:cs="Times New Roman"/>
          <w:b/>
          <w:bCs/>
          <w:i/>
          <w:iCs/>
          <w:color w:val="auto"/>
        </w:rPr>
        <w:t>Impacts of model physics parameterization modifications on TC analyses and intensity forecasts</w:t>
      </w:r>
      <w:bookmarkEnd w:id="188"/>
      <w:r w:rsidR="00AD4C97" w:rsidRPr="00723DA9">
        <w:rPr>
          <w:rFonts w:ascii="Times New Roman" w:hAnsi="Times New Roman" w:cs="Times New Roman"/>
          <w:b/>
          <w:bCs/>
          <w:i/>
          <w:iCs/>
          <w:color w:val="auto"/>
        </w:rPr>
        <w:t xml:space="preserve"> </w:t>
      </w:r>
    </w:p>
    <w:p w14:paraId="2E5BA1BA" w14:textId="30D69E76"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Although the 6-hour background and ensemble error covariances are different due to the use of different model physics, the DA analyses from these additional experiments are still comparable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3d-f, j-l).  The only exception is that DA-HDVD analysis is less symmetric than the DA analysis.  This more asymmetry in DA-HDVD is reflected by the Fourier decomposition in the relative vorticity, where DA-HDVD is explained more by the higher wavenumber components as compared to DA, especially at wavenumber 2 (not shown).  However, the more compact wind maximum region in DA-HDVD seems to be more consistent with the HRD radar composite.  Overall, all the experiments using the 3DEnVar with inner-core </w:t>
      </w:r>
      <w:r w:rsidRPr="00723DA9">
        <w:rPr>
          <w:rFonts w:ascii="Times New Roman" w:hAnsi="Times New Roman" w:cs="Times New Roman"/>
          <w:sz w:val="24"/>
          <w:szCs w:val="24"/>
        </w:rPr>
        <w:lastRenderedPageBreak/>
        <w:t xml:space="preserve">observations can capture the major TC features at different levels consistent with the verifications as discussed in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3</w:t>
      </w:r>
      <w:r w:rsidR="00A947DE" w:rsidRPr="00723DA9">
        <w:rPr>
          <w:rFonts w:ascii="Times New Roman" w:hAnsi="Times New Roman" w:cs="Times New Roman"/>
          <w:sz w:val="24"/>
          <w:szCs w:val="24"/>
        </w:rPr>
        <w:t>.1</w:t>
      </w:r>
      <w:r w:rsidRPr="00723DA9">
        <w:rPr>
          <w:rFonts w:ascii="Times New Roman" w:hAnsi="Times New Roman" w:cs="Times New Roman"/>
          <w:sz w:val="24"/>
          <w:szCs w:val="24"/>
        </w:rPr>
        <w:t xml:space="preserve">.  For example, the contracted storm size and the weaker wind speed to the southwest of Patricia are both captured. </w:t>
      </w:r>
    </w:p>
    <w:p w14:paraId="197412EC" w14:textId="77777777" w:rsidR="00F11C0E" w:rsidRPr="00723DA9" w:rsidRDefault="00F11C0E" w:rsidP="00F11C0E">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Nevertheless, the intensity and track forecasts initialized from these similar analyses are different as shown in </w:t>
      </w:r>
      <w:r>
        <w:rPr>
          <w:rFonts w:ascii="Times New Roman" w:hAnsi="Times New Roman" w:cs="Times New Roman"/>
          <w:sz w:val="24"/>
          <w:szCs w:val="24"/>
        </w:rPr>
        <w:t>F</w:t>
      </w:r>
      <w:r w:rsidRPr="00723DA9">
        <w:rPr>
          <w:rFonts w:ascii="Times New Roman" w:hAnsi="Times New Roman" w:cs="Times New Roman"/>
          <w:sz w:val="24"/>
          <w:szCs w:val="24"/>
        </w:rPr>
        <w:t>igure 4.10.  Using a reduced horizontal diffusion, DA-HD improves the MSLP forecast and shows apparent alleviation of spin-down in the Vmax forecast as compared to DA (Fig. 4.10a-b) although no improvement is found in the track forecast (Fig. 4.10c-d).</w:t>
      </w:r>
      <w:bookmarkStart w:id="189" w:name="OLE_LINK124"/>
      <w:bookmarkStart w:id="190" w:name="OLE_LINK123"/>
      <w:r w:rsidRPr="00723DA9">
        <w:rPr>
          <w:rFonts w:ascii="Times New Roman" w:hAnsi="Times New Roman" w:cs="Times New Roman"/>
          <w:sz w:val="24"/>
          <w:szCs w:val="24"/>
        </w:rPr>
        <w:t xml:space="preserve"> </w:t>
      </w:r>
      <w:bookmarkEnd w:id="189"/>
      <w:bookmarkEnd w:id="190"/>
      <w:r w:rsidRPr="00723DA9">
        <w:rPr>
          <w:rFonts w:ascii="Times New Roman" w:hAnsi="Times New Roman" w:cs="Times New Roman"/>
          <w:sz w:val="24"/>
          <w:szCs w:val="24"/>
        </w:rPr>
        <w:t xml:space="preserve"> Without the significant spin-down issue, the simulated peak intensity of DA-HD is increased over the peak intensity of </w:t>
      </w:r>
      <w:proofErr w:type="gramStart"/>
      <w:r w:rsidRPr="00723DA9">
        <w:rPr>
          <w:rFonts w:ascii="Times New Roman" w:hAnsi="Times New Roman" w:cs="Times New Roman"/>
          <w:sz w:val="24"/>
          <w:szCs w:val="24"/>
        </w:rPr>
        <w:t>DA, and</w:t>
      </w:r>
      <w:proofErr w:type="gramEnd"/>
      <w:r w:rsidRPr="00723DA9">
        <w:rPr>
          <w:rFonts w:ascii="Times New Roman" w:hAnsi="Times New Roman" w:cs="Times New Roman"/>
          <w:sz w:val="24"/>
          <w:szCs w:val="24"/>
        </w:rPr>
        <w:t xml:space="preserve"> is closer to the best track.  This improved Vmax forecast suggests that the overly large horizontal diffusion is likely one of the reasons for the spin-down issue during the prediction of Patricia as hypothesized.  But the RI rate in DA-HD is still slower than the best track and so is the peak intensity.  This slow and weak intensification in DA-HD is likely still due to the lack of strong updraft connecting the realistically elevated upper-level outflow as suggested in Section 4.3.2 (not shown). </w:t>
      </w:r>
    </w:p>
    <w:p w14:paraId="797D22C7" w14:textId="77777777" w:rsidR="00666BD3" w:rsidRPr="00723DA9" w:rsidRDefault="00666BD3" w:rsidP="00666BD3">
      <w:pPr>
        <w:pStyle w:val="Captions"/>
        <w:spacing w:after="0"/>
        <w:rPr>
          <w:rFonts w:cs="Times New Roman"/>
        </w:rPr>
      </w:pPr>
    </w:p>
    <w:p w14:paraId="6EB18C18" w14:textId="7D8F2739" w:rsidR="00A947DE" w:rsidRPr="00723DA9" w:rsidRDefault="00A947DE" w:rsidP="001B41DC">
      <w:pPr>
        <w:spacing w:after="0" w:line="360" w:lineRule="auto"/>
        <w:jc w:val="center"/>
        <w:rPr>
          <w:rFonts w:ascii="Times New Roman" w:hAnsi="Times New Roman" w:cs="Times New Roman"/>
          <w:sz w:val="24"/>
          <w:szCs w:val="24"/>
        </w:rPr>
      </w:pPr>
      <w:r w:rsidRPr="00723DA9">
        <w:rPr>
          <w:rFonts w:ascii="Times New Roman" w:hAnsi="Times New Roman" w:cs="Times New Roman"/>
          <w:noProof/>
        </w:rPr>
        <w:lastRenderedPageBreak/>
        <w:drawing>
          <wp:inline distT="0" distB="0" distL="0" distR="0" wp14:anchorId="5A9DB18E" wp14:editId="7AD3DA21">
            <wp:extent cx="5872236" cy="5486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72236" cy="5486400"/>
                    </a:xfrm>
                    <a:prstGeom prst="rect">
                      <a:avLst/>
                    </a:prstGeom>
                    <a:noFill/>
                    <a:ln>
                      <a:noFill/>
                    </a:ln>
                  </pic:spPr>
                </pic:pic>
              </a:graphicData>
            </a:graphic>
          </wp:inline>
        </w:drawing>
      </w:r>
    </w:p>
    <w:p w14:paraId="2C586A0F" w14:textId="1A12C632" w:rsidR="00A947DE" w:rsidRPr="00723DA9" w:rsidRDefault="00410356" w:rsidP="00E86356">
      <w:pPr>
        <w:pStyle w:val="Captions"/>
        <w:spacing w:after="0"/>
        <w:rPr>
          <w:rFonts w:cs="Times New Roman"/>
        </w:rPr>
      </w:pPr>
      <w:bookmarkStart w:id="191" w:name="_Toc21624050"/>
      <w:r w:rsidRPr="00723DA9">
        <w:rPr>
          <w:rFonts w:cs="Times New Roman"/>
        </w:rPr>
        <w:t>Figure 4.</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10</w:t>
      </w:r>
      <w:r w:rsidR="00771F99" w:rsidRPr="00723DA9">
        <w:rPr>
          <w:rFonts w:cs="Times New Roman"/>
          <w:noProof/>
        </w:rPr>
        <w:fldChar w:fldCharType="end"/>
      </w:r>
      <w:r w:rsidRPr="00723DA9">
        <w:rPr>
          <w:rFonts w:cs="Times New Roman"/>
        </w:rPr>
        <w:t xml:space="preserve"> </w:t>
      </w:r>
      <w:r w:rsidR="00A947DE" w:rsidRPr="00723DA9">
        <w:rPr>
          <w:rFonts w:cs="Times New Roman"/>
        </w:rPr>
        <w:t>Same as Fig. 4.5 except for DA (cyan), DA-HD (purple), DA-HDVD (red) and best track (black).</w:t>
      </w:r>
      <w:bookmarkEnd w:id="191"/>
    </w:p>
    <w:p w14:paraId="700D741A" w14:textId="77777777" w:rsidR="00A947DE" w:rsidRPr="00723DA9" w:rsidRDefault="00A947DE" w:rsidP="00E86356">
      <w:pPr>
        <w:pStyle w:val="Captions"/>
        <w:spacing w:after="0"/>
        <w:rPr>
          <w:rFonts w:cs="Times New Roman"/>
        </w:rPr>
      </w:pPr>
    </w:p>
    <w:p w14:paraId="2EDBAF70" w14:textId="437CF6F8"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Using the modified turbulent mixing parameterization scheme on top of the reduced horizontal diffusion in DA-HDVD shows further improvement in Vmax, MSLP and track forecasts upon DA-HD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10a-d).  The first 6-hour RI trend in DA-HDVD is now comparable with the best track and the spin-down is significantly alleviated.  Specially, the peak Vmax and MSLP values in DA-HDVD is now 20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larger and 44 hPa smaller than DA, respectively, more consistent with the best track.  More detailed investigations on how the spin-down is alleviated with DA-HDVD will be presented in the next subsection 4</w:t>
      </w:r>
      <w:r w:rsidR="009913D0" w:rsidRPr="00723DA9">
        <w:rPr>
          <w:rFonts w:ascii="Times New Roman" w:hAnsi="Times New Roman" w:cs="Times New Roman"/>
          <w:sz w:val="24"/>
          <w:szCs w:val="24"/>
        </w:rPr>
        <w:t>.4.2</w:t>
      </w:r>
      <w:r w:rsidRPr="00723DA9">
        <w:rPr>
          <w:rFonts w:ascii="Times New Roman" w:hAnsi="Times New Roman" w:cs="Times New Roman"/>
          <w:sz w:val="24"/>
          <w:szCs w:val="24"/>
        </w:rPr>
        <w:t>.</w:t>
      </w:r>
    </w:p>
    <w:p w14:paraId="3CE63561" w14:textId="0E27EE01"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lastRenderedPageBreak/>
        <w:t xml:space="preserve">In general, this subsection confirms the hypothesis proposed at the end of </w:t>
      </w:r>
      <w:r w:rsidR="009913D0"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9913D0" w:rsidRPr="00723DA9">
        <w:rPr>
          <w:rFonts w:ascii="Times New Roman" w:hAnsi="Times New Roman" w:cs="Times New Roman"/>
          <w:sz w:val="24"/>
          <w:szCs w:val="24"/>
        </w:rPr>
        <w:t>4.3.2</w:t>
      </w:r>
      <w:r w:rsidRPr="00723DA9">
        <w:rPr>
          <w:rFonts w:ascii="Times New Roman" w:hAnsi="Times New Roman" w:cs="Times New Roman"/>
          <w:sz w:val="24"/>
          <w:szCs w:val="24"/>
        </w:rPr>
        <w:t xml:space="preserve">: improved model physics are needed to support and maintain the realistically analyzed TC structure from DA during the forecast. </w:t>
      </w:r>
      <w:bookmarkStart w:id="192" w:name="_Hlk494877837"/>
      <w:r w:rsidRPr="00723DA9">
        <w:rPr>
          <w:rFonts w:ascii="Times New Roman" w:hAnsi="Times New Roman" w:cs="Times New Roman"/>
          <w:sz w:val="24"/>
          <w:szCs w:val="24"/>
        </w:rPr>
        <w:t xml:space="preserve"> For the Patricia forecast in particular, both the modified turbulent mixing parameterization scheme and the reduced horizontal diffusion are important for improving the intensity forecast initialized from an improved analysis.</w:t>
      </w:r>
      <w:bookmarkEnd w:id="192"/>
    </w:p>
    <w:p w14:paraId="669A8DF9" w14:textId="07BCFDFB" w:rsidR="00C56823" w:rsidRPr="00723DA9" w:rsidRDefault="00C56823" w:rsidP="00F11C0E">
      <w:pPr>
        <w:pStyle w:val="Heading3"/>
        <w:numPr>
          <w:ilvl w:val="2"/>
          <w:numId w:val="23"/>
        </w:numPr>
        <w:spacing w:before="160" w:after="160" w:line="480" w:lineRule="auto"/>
        <w:rPr>
          <w:rFonts w:ascii="Times New Roman" w:hAnsi="Times New Roman" w:cs="Times New Roman"/>
          <w:b/>
          <w:bCs/>
          <w:i/>
          <w:iCs/>
          <w:color w:val="auto"/>
        </w:rPr>
      </w:pPr>
      <w:bookmarkStart w:id="193" w:name="_Toc21624001"/>
      <w:r w:rsidRPr="00723DA9">
        <w:rPr>
          <w:rFonts w:ascii="Times New Roman" w:hAnsi="Times New Roman" w:cs="Times New Roman"/>
          <w:b/>
          <w:bCs/>
          <w:i/>
          <w:iCs/>
          <w:color w:val="auto"/>
        </w:rPr>
        <w:t>How can the modified model physics parameterizations alleviate spin-down?</w:t>
      </w:r>
      <w:bookmarkEnd w:id="193"/>
    </w:p>
    <w:p w14:paraId="52456B16" w14:textId="5793B074"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To further understand how the improved model physics can alleviate the spin-down issue, detailed diagnostics similar to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3</w:t>
      </w:r>
      <w:r w:rsidR="00A947DE" w:rsidRPr="00723DA9">
        <w:rPr>
          <w:rFonts w:ascii="Times New Roman" w:hAnsi="Times New Roman" w:cs="Times New Roman"/>
          <w:sz w:val="24"/>
          <w:szCs w:val="24"/>
        </w:rPr>
        <w:t>.2</w:t>
      </w:r>
      <w:r w:rsidRPr="00723DA9">
        <w:rPr>
          <w:rFonts w:ascii="Times New Roman" w:hAnsi="Times New Roman" w:cs="Times New Roman"/>
          <w:sz w:val="24"/>
          <w:szCs w:val="24"/>
        </w:rPr>
        <w:t xml:space="preserve"> are performed in this subsection for the best performing DA-HDVD experiment. </w:t>
      </w:r>
    </w:p>
    <w:p w14:paraId="4C2A1ED5" w14:textId="0F1F9EFC"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First of all, the frequent output of Vmax and MSLP in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6a-b shows that although alleviated and is not found in the 6-hour frequency output, DA-HDVD still suffers from a Vmax drop of about 12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within the first hour.  However, this Vmax drop in DA-HDVD is 25% smaller than DA, and DA-HDVD intensifies rapidly and consistently after the first hour of adjustment. The RI in DA-HDVD after hour 1 compensates the Vmax drop and restores the Vmax to the initial value around hour 2.  The Vmax in DA-HDVD keeps growing afterward. Consistent with the Vmax evolution, the MSLP evolution in DA-HDVD shows smaller magnitude of adjustments as compared with DA in the first hour and is followed by a steady intensification afterward. </w:t>
      </w:r>
    </w:p>
    <w:p w14:paraId="06EDA42E" w14:textId="29FA6EB3"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The secondary circulation evolution of DA-HDVD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7u-y) shows that the vertical sub-/super-gradient oscillation in the eyewall is still not well supported during the first several minutes of model integration.  However, the issue is less significant and less persistent due to the reduced horizontal diffusion.  At the end of hour one, there is a clear outward updraft that connects the low-level inflow and realistically elevated upper-level outflow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7y).  </w:t>
      </w:r>
      <w:r w:rsidRPr="00723DA9">
        <w:rPr>
          <w:rFonts w:ascii="Times New Roman" w:hAnsi="Times New Roman" w:cs="Times New Roman"/>
          <w:sz w:val="24"/>
          <w:szCs w:val="24"/>
        </w:rPr>
        <w:lastRenderedPageBreak/>
        <w:t xml:space="preserve">Consistently,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8e shows that the eyewall can be built up quickly in DA-HDVD and well maintained during the evolution.  The 500hPa radius of eyewall in DA-HDVD is comparable with or even slightly smaller than the RMW given by the best track.  The enhanced updraft is likely to be a result of applying the modified turbulent mixing parameterization scheme. Elimination of the vertical diffusion discontinuity in the new parameterization scheme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1) facilitates the vertical communication of heat and moisture.  Consequently, no localized low-level total condensate maximum is found in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9p-t, which suggests that the hydrometeors are well mixed in the eyewall region and can release more latent heat in the eyewall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9t), and eventually enhanced the secondary circulation.  As discussed in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3</w:t>
      </w:r>
      <w:r w:rsidR="00A947DE" w:rsidRPr="00723DA9">
        <w:rPr>
          <w:rFonts w:ascii="Times New Roman" w:hAnsi="Times New Roman" w:cs="Times New Roman"/>
          <w:sz w:val="24"/>
          <w:szCs w:val="24"/>
        </w:rPr>
        <w:t>.2</w:t>
      </w:r>
      <w:r w:rsidRPr="00723DA9">
        <w:rPr>
          <w:rFonts w:ascii="Times New Roman" w:hAnsi="Times New Roman" w:cs="Times New Roman"/>
          <w:sz w:val="24"/>
          <w:szCs w:val="24"/>
        </w:rPr>
        <w:t xml:space="preserve">, the NMASPT is calculated for DA-HDVD as well.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6c shows that consistent with the spin-down alleviation, DA-HDVD reduces the model-analysis incompatibility as compared to DA. </w:t>
      </w:r>
    </w:p>
    <w:p w14:paraId="65C0212C" w14:textId="019F16F6"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Overall, comparisons from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6 to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9 suggest that the spin-down issue in Patricia is likely to be a consequence of the conflict between the unrealistic model physics parameterization and the more realistic DA analysis as hypothesized in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3</w:t>
      </w:r>
      <w:r w:rsidR="00A947DE" w:rsidRPr="00723DA9">
        <w:rPr>
          <w:rFonts w:ascii="Times New Roman" w:hAnsi="Times New Roman" w:cs="Times New Roman"/>
          <w:sz w:val="24"/>
          <w:szCs w:val="24"/>
        </w:rPr>
        <w:t>.2</w:t>
      </w:r>
      <w:r w:rsidRPr="00723DA9">
        <w:rPr>
          <w:rFonts w:ascii="Times New Roman" w:hAnsi="Times New Roman" w:cs="Times New Roman"/>
          <w:sz w:val="24"/>
          <w:szCs w:val="24"/>
        </w:rPr>
        <w:t xml:space="preserve">.  Reducing the confliction by either using an unrealistic but model generated analysis as VM or using a more realistically improved model physics parameterization can help alleviate the spin-down issue.  However, there is still more incompatibility in DA-HDVD in comparison with VM (Fig.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6c) and DA-HDVD do still suffer from the short-term Vmax drop.  These results suggest that further tunings and investigations in the model physics and further improvement of the DA are needed in the future.</w:t>
      </w:r>
    </w:p>
    <w:p w14:paraId="16C57220" w14:textId="1C0D6289" w:rsidR="00C56823" w:rsidRPr="00723DA9" w:rsidRDefault="00C56823" w:rsidP="004F1C22">
      <w:pPr>
        <w:pStyle w:val="Heading2"/>
        <w:numPr>
          <w:ilvl w:val="1"/>
          <w:numId w:val="20"/>
        </w:numPr>
        <w:spacing w:line="480" w:lineRule="auto"/>
        <w:ind w:left="0" w:firstLine="0"/>
        <w:rPr>
          <w:rFonts w:ascii="Times New Roman" w:hAnsi="Times New Roman" w:cs="Times New Roman"/>
          <w:b/>
          <w:bCs/>
          <w:color w:val="auto"/>
          <w:sz w:val="24"/>
          <w:szCs w:val="24"/>
        </w:rPr>
      </w:pPr>
      <w:bookmarkStart w:id="194" w:name="_Toc21624002"/>
      <w:r w:rsidRPr="00723DA9">
        <w:rPr>
          <w:rFonts w:ascii="Times New Roman" w:hAnsi="Times New Roman" w:cs="Times New Roman"/>
          <w:b/>
          <w:bCs/>
          <w:color w:val="auto"/>
          <w:sz w:val="24"/>
          <w:szCs w:val="24"/>
        </w:rPr>
        <w:t>How does model resolution impact on the TC intensity forecast?</w:t>
      </w:r>
      <w:bookmarkEnd w:id="194"/>
    </w:p>
    <w:p w14:paraId="2FB7E0A3" w14:textId="00AA79E0"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As shown in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ection 4</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 the improved model physics parameterization can help alleviate the spin-down issue and improve the TC intensity forecast significantly.  However, the forecasted </w:t>
      </w:r>
      <w:r w:rsidRPr="00723DA9">
        <w:rPr>
          <w:rFonts w:ascii="Times New Roman" w:hAnsi="Times New Roman" w:cs="Times New Roman"/>
          <w:sz w:val="24"/>
          <w:szCs w:val="24"/>
        </w:rPr>
        <w:lastRenderedPageBreak/>
        <w:t>maximum peak intensity is still about 20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or 30 hPa weaker than the peak Vmax or MSLP recorded by the best track.  This remaining gap between the two peak intensities is likely due to the insufficient model resolution considering the small size of Patricia as stated in </w:t>
      </w:r>
      <w:r w:rsidR="00A947DE"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A947DE" w:rsidRPr="00723DA9">
        <w:rPr>
          <w:rFonts w:ascii="Times New Roman" w:hAnsi="Times New Roman" w:cs="Times New Roman"/>
          <w:sz w:val="24"/>
          <w:szCs w:val="24"/>
        </w:rPr>
        <w:t>4.</w:t>
      </w:r>
      <w:r w:rsidRPr="00723DA9">
        <w:rPr>
          <w:rFonts w:ascii="Times New Roman" w:hAnsi="Times New Roman" w:cs="Times New Roman"/>
          <w:sz w:val="24"/>
          <w:szCs w:val="24"/>
        </w:rPr>
        <w:t xml:space="preserve">1.  Therefore, an experiment has been conducted in this study to investigate the impact of model resolution on the peak intensity as well as the spin-down issue. </w:t>
      </w:r>
    </w:p>
    <w:p w14:paraId="5E6EC932" w14:textId="77777777" w:rsidR="004F1C22" w:rsidRPr="00723DA9" w:rsidRDefault="004F1C22" w:rsidP="004F1C22">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Similar to Fig. 4.5, the Vmax, MSLP and track forecasts of the model resolution experiments are verified against the best track in Figure 4.11.  Without changing the model physics parameterization configuration, DA-Hi shows slightly alleviated Vmax spin-down and a significant improvement in the peak intensity in comparison with DA.  However, this spin-down alleviation through the resolution increase is not as significant as the model physics parameterization improvement.  This result suggests the spin-down is largely attributed to the model physics errors rather than the relatively coarse model resolution.  While the peak intensity is improved in DA-Hi as compared to DA, the track forecast is somehow degraded because the predicted TC moves too fast.  Specifically, DA-Hi makes landfall after hour 18 while the best track shows landfall close to hour 30. </w:t>
      </w:r>
    </w:p>
    <w:p w14:paraId="62D66B7C" w14:textId="77777777" w:rsidR="004F1C22" w:rsidRPr="00723DA9" w:rsidRDefault="004F1C22" w:rsidP="004F1C22">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Since the spin-down is already alleviated in DA-HDVD, increasing model resolution with the improved model physics in DA-</w:t>
      </w:r>
      <w:proofErr w:type="spellStart"/>
      <w:r w:rsidRPr="00723DA9">
        <w:rPr>
          <w:rFonts w:ascii="Times New Roman" w:hAnsi="Times New Roman" w:cs="Times New Roman"/>
          <w:sz w:val="24"/>
          <w:szCs w:val="24"/>
        </w:rPr>
        <w:t>HDVDHi</w:t>
      </w:r>
      <w:proofErr w:type="spellEnd"/>
      <w:r w:rsidRPr="00723DA9">
        <w:rPr>
          <w:rFonts w:ascii="Times New Roman" w:hAnsi="Times New Roman" w:cs="Times New Roman"/>
          <w:sz w:val="24"/>
          <w:szCs w:val="24"/>
        </w:rPr>
        <w:t xml:space="preserve"> shows significantly more improvement in the intensification rate and peak intensity.  Although the timing is shifted 6 hours earlier, the peak Vmax in DA-</w:t>
      </w:r>
      <w:proofErr w:type="spellStart"/>
      <w:r w:rsidRPr="00723DA9">
        <w:rPr>
          <w:rFonts w:ascii="Times New Roman" w:hAnsi="Times New Roman" w:cs="Times New Roman"/>
          <w:sz w:val="24"/>
          <w:szCs w:val="24"/>
        </w:rPr>
        <w:t>HDVDHi</w:t>
      </w:r>
      <w:proofErr w:type="spellEnd"/>
      <w:r w:rsidRPr="00723DA9">
        <w:rPr>
          <w:rFonts w:ascii="Times New Roman" w:hAnsi="Times New Roman" w:cs="Times New Roman"/>
          <w:sz w:val="24"/>
          <w:szCs w:val="24"/>
        </w:rPr>
        <w:t xml:space="preserve"> is now comparable with the best track.  The early peak intensity in DA-</w:t>
      </w:r>
      <w:proofErr w:type="spellStart"/>
      <w:r w:rsidRPr="00723DA9">
        <w:rPr>
          <w:rFonts w:ascii="Times New Roman" w:hAnsi="Times New Roman" w:cs="Times New Roman"/>
          <w:sz w:val="24"/>
          <w:szCs w:val="24"/>
        </w:rPr>
        <w:t>HDVDHi</w:t>
      </w:r>
      <w:proofErr w:type="spellEnd"/>
      <w:r w:rsidRPr="00723DA9">
        <w:rPr>
          <w:rFonts w:ascii="Times New Roman" w:hAnsi="Times New Roman" w:cs="Times New Roman"/>
          <w:sz w:val="24"/>
          <w:szCs w:val="24"/>
        </w:rPr>
        <w:t xml:space="preserve"> is also due to the over-fast prediction of track similar to DA-Hi (Fig. 4.11c-d). </w:t>
      </w:r>
    </w:p>
    <w:p w14:paraId="56E66689" w14:textId="77777777" w:rsidR="004F1C22" w:rsidRPr="00723DA9" w:rsidRDefault="004F1C22" w:rsidP="004F1C22">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Altogether, Fig. 4.11 suggests that the model resolution can be an important factor for maximum peak intensity prediction for HWRF model when the model physics are properly </w:t>
      </w:r>
      <w:r w:rsidRPr="00723DA9">
        <w:rPr>
          <w:rFonts w:ascii="Times New Roman" w:hAnsi="Times New Roman" w:cs="Times New Roman"/>
          <w:sz w:val="24"/>
          <w:szCs w:val="24"/>
        </w:rPr>
        <w:lastRenderedPageBreak/>
        <w:t>modified, but the model resolution is not as important as the model physics in the spin-down alleviation for this case.</w:t>
      </w:r>
    </w:p>
    <w:p w14:paraId="50AC3556" w14:textId="77777777" w:rsidR="00666BD3" w:rsidRPr="00723DA9" w:rsidRDefault="00666BD3" w:rsidP="00666BD3">
      <w:pPr>
        <w:pStyle w:val="Captions"/>
        <w:spacing w:after="0"/>
        <w:rPr>
          <w:rFonts w:cs="Times New Roman"/>
        </w:rPr>
      </w:pPr>
    </w:p>
    <w:p w14:paraId="645EAAB2" w14:textId="7D14F3EB" w:rsidR="00A947DE" w:rsidRPr="00723DA9" w:rsidRDefault="00A947DE" w:rsidP="00E86356">
      <w:pPr>
        <w:spacing w:after="0" w:line="360" w:lineRule="auto"/>
        <w:rPr>
          <w:rFonts w:ascii="Times New Roman" w:hAnsi="Times New Roman" w:cs="Times New Roman"/>
          <w:sz w:val="24"/>
          <w:szCs w:val="24"/>
        </w:rPr>
      </w:pPr>
      <w:r w:rsidRPr="00723DA9">
        <w:rPr>
          <w:rFonts w:ascii="Times New Roman" w:hAnsi="Times New Roman" w:cs="Times New Roman"/>
          <w:noProof/>
        </w:rPr>
        <w:drawing>
          <wp:inline distT="0" distB="0" distL="0" distR="0" wp14:anchorId="79A5B005" wp14:editId="12439F71">
            <wp:extent cx="5852160" cy="5486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2160" cy="5486400"/>
                    </a:xfrm>
                    <a:prstGeom prst="rect">
                      <a:avLst/>
                    </a:prstGeom>
                    <a:noFill/>
                    <a:ln>
                      <a:noFill/>
                    </a:ln>
                  </pic:spPr>
                </pic:pic>
              </a:graphicData>
            </a:graphic>
          </wp:inline>
        </w:drawing>
      </w:r>
    </w:p>
    <w:p w14:paraId="1EC76AAC" w14:textId="44F92A24" w:rsidR="00A947DE" w:rsidRPr="00723DA9" w:rsidRDefault="00410356" w:rsidP="00E86356">
      <w:pPr>
        <w:pStyle w:val="Captions"/>
        <w:spacing w:after="0"/>
        <w:rPr>
          <w:rFonts w:cs="Times New Roman"/>
        </w:rPr>
      </w:pPr>
      <w:bookmarkStart w:id="195" w:name="_Toc21624051"/>
      <w:r w:rsidRPr="00723DA9">
        <w:rPr>
          <w:rFonts w:cs="Times New Roman"/>
        </w:rPr>
        <w:t xml:space="preserve">Figure </w:t>
      </w:r>
      <w:r w:rsidR="00514F69" w:rsidRPr="00723DA9">
        <w:rPr>
          <w:rFonts w:cs="Times New Roman"/>
        </w:rPr>
        <w:t>4</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11</w:t>
      </w:r>
      <w:r w:rsidR="00771F99" w:rsidRPr="00723DA9">
        <w:rPr>
          <w:rFonts w:cs="Times New Roman"/>
          <w:noProof/>
        </w:rPr>
        <w:fldChar w:fldCharType="end"/>
      </w:r>
      <w:r w:rsidRPr="00723DA9">
        <w:rPr>
          <w:rFonts w:cs="Times New Roman"/>
        </w:rPr>
        <w:t xml:space="preserve"> </w:t>
      </w:r>
      <w:r w:rsidR="00A947DE" w:rsidRPr="00723DA9">
        <w:rPr>
          <w:rFonts w:cs="Times New Roman"/>
        </w:rPr>
        <w:t>Same as Fig. 4.5 except for DA (solid cyan), DA-Hi (dashed blue), DA-HDVD (solid red), DA-</w:t>
      </w:r>
      <w:proofErr w:type="spellStart"/>
      <w:r w:rsidR="00A947DE" w:rsidRPr="00723DA9">
        <w:rPr>
          <w:rFonts w:cs="Times New Roman"/>
        </w:rPr>
        <w:t>HDVDHi</w:t>
      </w:r>
      <w:proofErr w:type="spellEnd"/>
      <w:r w:rsidR="00A947DE" w:rsidRPr="00723DA9">
        <w:rPr>
          <w:rFonts w:cs="Times New Roman"/>
        </w:rPr>
        <w:t xml:space="preserve"> (dashed orange) and best track (solid black).</w:t>
      </w:r>
      <w:bookmarkEnd w:id="195"/>
    </w:p>
    <w:p w14:paraId="6BBADED5" w14:textId="77777777" w:rsidR="00E86356" w:rsidRPr="00723DA9" w:rsidRDefault="00E86356" w:rsidP="00E86356">
      <w:pPr>
        <w:pStyle w:val="Captions"/>
        <w:spacing w:after="0"/>
        <w:rPr>
          <w:rFonts w:cs="Times New Roman"/>
        </w:rPr>
      </w:pPr>
    </w:p>
    <w:p w14:paraId="4784023A" w14:textId="05656A34" w:rsidR="00C56823" w:rsidRPr="00723DA9" w:rsidRDefault="00C56823" w:rsidP="004F1C22">
      <w:pPr>
        <w:pStyle w:val="Heading2"/>
        <w:numPr>
          <w:ilvl w:val="1"/>
          <w:numId w:val="20"/>
        </w:numPr>
        <w:spacing w:line="480" w:lineRule="auto"/>
        <w:ind w:left="0" w:firstLine="0"/>
        <w:rPr>
          <w:rFonts w:ascii="Times New Roman" w:hAnsi="Times New Roman" w:cs="Times New Roman"/>
          <w:b/>
          <w:bCs/>
          <w:color w:val="auto"/>
          <w:sz w:val="24"/>
          <w:szCs w:val="24"/>
        </w:rPr>
      </w:pPr>
      <w:bookmarkStart w:id="196" w:name="_Toc21624003"/>
      <w:r w:rsidRPr="00723DA9">
        <w:rPr>
          <w:rFonts w:ascii="Times New Roman" w:hAnsi="Times New Roman" w:cs="Times New Roman"/>
          <w:b/>
          <w:bCs/>
          <w:color w:val="auto"/>
          <w:sz w:val="24"/>
          <w:szCs w:val="24"/>
        </w:rPr>
        <w:t>Summary and Discussions</w:t>
      </w:r>
      <w:bookmarkEnd w:id="196"/>
    </w:p>
    <w:p w14:paraId="2E5651A6" w14:textId="0760B3E1"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A newly developed </w:t>
      </w:r>
      <w:bookmarkStart w:id="197" w:name="OLE_LINK1"/>
      <w:r w:rsidRPr="00723DA9">
        <w:rPr>
          <w:rFonts w:ascii="Times New Roman" w:hAnsi="Times New Roman" w:cs="Times New Roman"/>
          <w:sz w:val="24"/>
          <w:szCs w:val="24"/>
        </w:rPr>
        <w:t xml:space="preserve">GSI-based, continuously cycled, dual-resolution hybrid </w:t>
      </w:r>
      <w:proofErr w:type="spellStart"/>
      <w:r w:rsidRPr="00723DA9">
        <w:rPr>
          <w:rFonts w:ascii="Times New Roman" w:hAnsi="Times New Roman" w:cs="Times New Roman"/>
          <w:sz w:val="24"/>
          <w:szCs w:val="24"/>
        </w:rPr>
        <w:t>EnKF</w:t>
      </w:r>
      <w:proofErr w:type="spellEnd"/>
      <w:r w:rsidRPr="00723DA9">
        <w:rPr>
          <w:rFonts w:ascii="Times New Roman" w:hAnsi="Times New Roman" w:cs="Times New Roman"/>
          <w:sz w:val="24"/>
          <w:szCs w:val="24"/>
        </w:rPr>
        <w:t xml:space="preserve">-Var DA system for HWRF </w:t>
      </w:r>
      <w:r w:rsidRPr="00723DA9">
        <w:rPr>
          <w:rFonts w:ascii="Times New Roman" w:hAnsi="Times New Roman" w:cs="Times New Roman"/>
        </w:rPr>
        <w:fldChar w:fldCharType="begin" w:fldLock="1"/>
      </w:r>
      <w:r w:rsidR="0052713F" w:rsidRPr="00723DA9">
        <w:rPr>
          <w:rFonts w:ascii="Times New Roman" w:hAnsi="Times New Roman" w:cs="Times New Roman"/>
          <w:sz w:val="24"/>
          <w:szCs w:val="24"/>
        </w:rPr>
        <w:instrText>ADDIN CSL_CITATION {"citationItems":[{"id":"ITEM-1","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Rev.","id":"ITEM-1","issued":{"date-parts":[["2017"]]},"page":"4877-4898","title":"GSI-based,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with","type":"article-journal","volume":"145"},"uris":["http://www.mendeley.com/documents/?uuid=82ad08b1-34e7-3cff-837b-7355f1a8ba0d"]}],"mendeley":{"formattedCitation":"(Lu et al. 2017b)","plainTextFormattedCitation":"(Lu et al. 2017b)","previouslyFormattedCitation":"(Lu et al. 2017b)"},"properties":{"noteIndex":0},"schema":"https://github.com/citation-style-language/schema/raw/master/csl-citation.json"}</w:instrText>
      </w:r>
      <w:r w:rsidRPr="00723DA9">
        <w:rPr>
          <w:rFonts w:ascii="Times New Roman" w:hAnsi="Times New Roman" w:cs="Times New Roman"/>
        </w:rPr>
        <w:fldChar w:fldCharType="separate"/>
      </w:r>
      <w:r w:rsidR="002E0A45" w:rsidRPr="00723DA9">
        <w:rPr>
          <w:rFonts w:ascii="Times New Roman" w:hAnsi="Times New Roman" w:cs="Times New Roman"/>
          <w:noProof/>
          <w:sz w:val="24"/>
          <w:szCs w:val="24"/>
        </w:rPr>
        <w:t>(Lu et al. 2017b)</w:t>
      </w:r>
      <w:r w:rsidRPr="00723DA9">
        <w:rPr>
          <w:rFonts w:ascii="Times New Roman" w:hAnsi="Times New Roman" w:cs="Times New Roman"/>
        </w:rPr>
        <w:fldChar w:fldCharType="end"/>
      </w:r>
      <w:r w:rsidRPr="00723DA9">
        <w:rPr>
          <w:rFonts w:ascii="Times New Roman" w:hAnsi="Times New Roman" w:cs="Times New Roman"/>
          <w:sz w:val="24"/>
          <w:szCs w:val="24"/>
        </w:rPr>
        <w:t xml:space="preserve"> </w:t>
      </w:r>
      <w:bookmarkEnd w:id="197"/>
      <w:r w:rsidRPr="00723DA9">
        <w:rPr>
          <w:rFonts w:ascii="Times New Roman" w:hAnsi="Times New Roman" w:cs="Times New Roman"/>
          <w:sz w:val="24"/>
          <w:szCs w:val="24"/>
        </w:rPr>
        <w:t xml:space="preserve">is upgraded to be consistent with the 2015 operational </w:t>
      </w:r>
      <w:r w:rsidRPr="00723DA9">
        <w:rPr>
          <w:rFonts w:ascii="Times New Roman" w:hAnsi="Times New Roman" w:cs="Times New Roman"/>
          <w:sz w:val="24"/>
          <w:szCs w:val="24"/>
        </w:rPr>
        <w:lastRenderedPageBreak/>
        <w:t xml:space="preserve">HWRF at a higher model resolution.  Using this upgraded system, abundant field campaign inner-core and near inner-core observations together with the enhanced CIMSS AMVs collected during Hurricane Patricia (2015) are assimilated to provide a realistic 3D analysis of the storm. </w:t>
      </w:r>
      <w:r w:rsidR="00641038">
        <w:rPr>
          <w:rFonts w:ascii="Times New Roman" w:hAnsi="Times New Roman" w:cs="Times New Roman"/>
          <w:sz w:val="24"/>
          <w:szCs w:val="24"/>
        </w:rPr>
        <w:t>As the second part of the dissertation, t</w:t>
      </w:r>
      <w:r w:rsidRPr="00723DA9">
        <w:rPr>
          <w:rFonts w:ascii="Times New Roman" w:hAnsi="Times New Roman" w:cs="Times New Roman"/>
          <w:sz w:val="24"/>
          <w:szCs w:val="24"/>
        </w:rPr>
        <w:t xml:space="preserve">his </w:t>
      </w:r>
      <w:r w:rsidR="00081884">
        <w:rPr>
          <w:rFonts w:ascii="Times New Roman" w:hAnsi="Times New Roman" w:cs="Times New Roman"/>
          <w:sz w:val="24"/>
          <w:szCs w:val="24"/>
        </w:rPr>
        <w:t>c</w:t>
      </w:r>
      <w:r w:rsidR="004575BE">
        <w:rPr>
          <w:rFonts w:ascii="Times New Roman" w:hAnsi="Times New Roman" w:cs="Times New Roman"/>
          <w:sz w:val="24"/>
          <w:szCs w:val="24"/>
        </w:rPr>
        <w:t>hapter</w:t>
      </w:r>
      <w:r w:rsidRPr="00723DA9">
        <w:rPr>
          <w:rFonts w:ascii="Times New Roman" w:hAnsi="Times New Roman" w:cs="Times New Roman"/>
          <w:sz w:val="24"/>
          <w:szCs w:val="24"/>
        </w:rPr>
        <w:t xml:space="preserve"> aims at investigating the source of the spin-down issue associated with the more realistic DA analysis.  Diagnostics have shown that the analysis is consistent with various observations.  Additionally, the analysis produced by DA is more consistent with the GWB and unbalanced force theories.  In contrast, VM creates a spuriously strong super-gradient imbalance throughout the inner-core to near inner-core region.  However, the realistic analysis produced by DA is found to experience significant and persistent Vmax spin-down (e.g. Vmax drop lasts longer than 6 hours) which jeopardizes the subsequent intensity forecast.  On the other hand, the spurious analysis produced through VM is found to produce better intensity forecast without apparent long-lasting Vmax drop.  Therefore, diagnostics are performed in this study to understand why the more persistent spin-down occur when initialized with the more realistic DA analysis but not with the spurious VM analysis. </w:t>
      </w:r>
    </w:p>
    <w:p w14:paraId="40871A55" w14:textId="093056B0" w:rsidR="00C56823" w:rsidRPr="00723DA9" w:rsidRDefault="00C56823" w:rsidP="00771F99">
      <w:pPr>
        <w:spacing w:after="0" w:line="480" w:lineRule="auto"/>
        <w:ind w:firstLine="360"/>
        <w:rPr>
          <w:rFonts w:ascii="Times New Roman" w:hAnsi="Times New Roman" w:cs="Times New Roman"/>
          <w:sz w:val="24"/>
          <w:szCs w:val="24"/>
        </w:rPr>
      </w:pPr>
      <w:r w:rsidRPr="00723DA9">
        <w:rPr>
          <w:rFonts w:ascii="Times New Roman" w:hAnsi="Times New Roman" w:cs="Times New Roman"/>
          <w:sz w:val="24"/>
          <w:szCs w:val="24"/>
        </w:rPr>
        <w:t xml:space="preserve">Frequent outputs from HWRF model show that Vmax drop happens in both DA and VM. The Vmax drop in VM is attributed to the significant wind and pressure adjustment caused by the super-gradient imbalance at the initial time.  This model adjustment in VM is significant but brief.  Vmax is recovered to the strength of the analysis quickly and slowly intensifies afterward. However, the Vmax drop in DA is more severe and persistent than the Vmax drop in VM.  The evolution of secondary circulation and eyewall indicates that this significant Vmax drop in DA is attributed to the defective model physics parameterization schemes that cannot maintain the realistic </w:t>
      </w:r>
      <w:bookmarkStart w:id="198" w:name="OLE_LINK125"/>
      <w:r w:rsidRPr="00723DA9">
        <w:rPr>
          <w:rFonts w:ascii="Times New Roman" w:hAnsi="Times New Roman" w:cs="Times New Roman"/>
          <w:sz w:val="24"/>
          <w:szCs w:val="24"/>
        </w:rPr>
        <w:t xml:space="preserve">sub-/super-gradient oscillations </w:t>
      </w:r>
      <w:bookmarkEnd w:id="198"/>
      <w:r w:rsidRPr="00723DA9">
        <w:rPr>
          <w:rFonts w:ascii="Times New Roman" w:hAnsi="Times New Roman" w:cs="Times New Roman"/>
          <w:sz w:val="24"/>
          <w:szCs w:val="24"/>
        </w:rPr>
        <w:t xml:space="preserve">associated inflow/outflow oscillations around the eyewall.  Additionally, the realistically elevated upper-level outflow by DA is also not supported </w:t>
      </w:r>
      <w:r w:rsidRPr="00723DA9">
        <w:rPr>
          <w:rFonts w:ascii="Times New Roman" w:hAnsi="Times New Roman" w:cs="Times New Roman"/>
          <w:sz w:val="24"/>
          <w:szCs w:val="24"/>
        </w:rPr>
        <w:lastRenderedPageBreak/>
        <w:t xml:space="preserve">by the </w:t>
      </w:r>
      <w:bookmarkStart w:id="199" w:name="OLE_LINK56"/>
      <w:r w:rsidRPr="00723DA9">
        <w:rPr>
          <w:rFonts w:ascii="Times New Roman" w:hAnsi="Times New Roman" w:cs="Times New Roman"/>
          <w:sz w:val="24"/>
          <w:szCs w:val="24"/>
        </w:rPr>
        <w:t xml:space="preserve">model due to the </w:t>
      </w:r>
      <w:bookmarkEnd w:id="199"/>
      <w:r w:rsidRPr="00723DA9">
        <w:rPr>
          <w:rFonts w:ascii="Times New Roman" w:hAnsi="Times New Roman" w:cs="Times New Roman"/>
          <w:sz w:val="24"/>
          <w:szCs w:val="24"/>
        </w:rPr>
        <w:t>unrealistically weak secondary circulation even after the model resumes its balance.  It is hypothesized from these results that better HWRF model physics such as the turbulent horizontal and vertical diffusion parameterizations are needed to alleviate the spin-down initialized by the analysis produced by DA.</w:t>
      </w:r>
    </w:p>
    <w:p w14:paraId="1A09FE3B" w14:textId="77777777" w:rsidR="00C56823" w:rsidRPr="00723DA9" w:rsidRDefault="00C56823" w:rsidP="00771F99">
      <w:pPr>
        <w:spacing w:after="0" w:line="480" w:lineRule="auto"/>
        <w:ind w:firstLine="357"/>
        <w:rPr>
          <w:rFonts w:ascii="Times New Roman" w:hAnsi="Times New Roman" w:cs="Times New Roman"/>
          <w:sz w:val="24"/>
          <w:szCs w:val="24"/>
        </w:rPr>
      </w:pPr>
      <w:r w:rsidRPr="00723DA9">
        <w:rPr>
          <w:rFonts w:ascii="Times New Roman" w:hAnsi="Times New Roman" w:cs="Times New Roman"/>
          <w:sz w:val="24"/>
          <w:szCs w:val="24"/>
        </w:rPr>
        <w:t xml:space="preserve">Further diagnostics with modified model turbulent diffusion parameterizations are therefore conducted in this study to investigate the hypothesis.  Results show that using a reduced horizontal diffusion parameterization configuration is able to better maintain the sub-/super-gradient oscillation from the DA analysis and therefore significantly alleviated the spin-down issue.  Further applying the modified turbulent mixing parameterization scheme with improved vertical diffusion profile significantly increased the intensification rate and peak intensity with enhanced secondary circulation.  However, it should be noted that this study is not trying to suggest that the reduction in the horizontal diffusion or the change of vertical diffusion profile is a final resort to resolve the spin-down issue.  Rather, the experiments conducted in this study demonstrate that the model physics do play an important role in the spin-down alleviation and a realistic DA analysis requires a compatible, realistic model physics to improve the TC intensity forecast. </w:t>
      </w:r>
    </w:p>
    <w:p w14:paraId="0C6ADEA0" w14:textId="18978300" w:rsidR="00C56823" w:rsidRPr="00723DA9" w:rsidRDefault="00C56823" w:rsidP="00771F99">
      <w:pPr>
        <w:spacing w:after="0" w:line="480" w:lineRule="auto"/>
        <w:ind w:firstLine="357"/>
        <w:rPr>
          <w:rFonts w:ascii="Times New Roman" w:hAnsi="Times New Roman" w:cs="Times New Roman"/>
          <w:sz w:val="24"/>
          <w:szCs w:val="24"/>
        </w:rPr>
      </w:pPr>
      <w:r w:rsidRPr="00723DA9">
        <w:rPr>
          <w:rFonts w:ascii="Times New Roman" w:hAnsi="Times New Roman" w:cs="Times New Roman"/>
          <w:sz w:val="24"/>
          <w:szCs w:val="24"/>
        </w:rPr>
        <w:t xml:space="preserve">Considering the small size of Patricia, some initial experiments are also conducted in this study to investigate the impacts of increased model resolution in the intensity forecast.  Results show that by increasing the model resolution, the spin-down issue can be alleviated and the intensification rate and therefore peak intensity can be increased significantly.  However, the spin-down alleviation from the resolution increase is not as significant as the alleviation from the model physics modification.  These results suggest that the model resolution is one key factor that limits the intensification rate and peak intensity, but the model physics plays a more </w:t>
      </w:r>
      <w:r w:rsidRPr="00723DA9">
        <w:rPr>
          <w:rFonts w:ascii="Times New Roman" w:hAnsi="Times New Roman" w:cs="Times New Roman"/>
          <w:sz w:val="24"/>
          <w:szCs w:val="24"/>
        </w:rPr>
        <w:lastRenderedPageBreak/>
        <w:t xml:space="preserve">important role in the spin-down alleviation in this case.  Additionally, the predicted TC moves overly fast with the finer resolution experiments, which requires further investigations in the future work.  In </w:t>
      </w:r>
      <w:r w:rsidR="00E22E12" w:rsidRPr="00723DA9">
        <w:rPr>
          <w:rFonts w:ascii="Times New Roman" w:hAnsi="Times New Roman" w:cs="Times New Roman"/>
          <w:sz w:val="24"/>
          <w:szCs w:val="24"/>
        </w:rPr>
        <w:t>Chapter</w:t>
      </w:r>
      <w:r w:rsidR="00403CAF" w:rsidRPr="00723DA9">
        <w:rPr>
          <w:rFonts w:ascii="Times New Roman" w:hAnsi="Times New Roman" w:cs="Times New Roman"/>
          <w:sz w:val="24"/>
          <w:szCs w:val="24"/>
        </w:rPr>
        <w:t xml:space="preserve"> 5</w:t>
      </w:r>
      <w:r w:rsidRPr="00723DA9">
        <w:rPr>
          <w:rFonts w:ascii="Times New Roman" w:hAnsi="Times New Roman" w:cs="Times New Roman"/>
          <w:sz w:val="24"/>
          <w:szCs w:val="24"/>
        </w:rPr>
        <w:t>, the impact of various field campaign and enhanced CIMSS AMV observations on the analysis and subsequent forecast of Patricia using the improved physics are discussed.  This study focuses on the Vmax spin-down with a time scale of 6 hours or more, based on definition of spin-down from early studies</w:t>
      </w:r>
      <w:r w:rsidR="00A947DE" w:rsidRPr="00723DA9">
        <w:rPr>
          <w:rFonts w:ascii="Times New Roman" w:hAnsi="Times New Roman" w:cs="Times New Roman"/>
          <w:sz w:val="24"/>
          <w:szCs w:val="24"/>
        </w:rPr>
        <w:t xml:space="preserve"> </w:t>
      </w:r>
      <w:r w:rsidR="00A947DE" w:rsidRPr="00723DA9">
        <w:rPr>
          <w:rFonts w:ascii="Times New Roman" w:hAnsi="Times New Roman" w:cs="Times New Roman"/>
          <w:sz w:val="24"/>
          <w:szCs w:val="24"/>
        </w:rPr>
        <w:fldChar w:fldCharType="begin" w:fldLock="1"/>
      </w:r>
      <w:r w:rsidR="00642CDC" w:rsidRPr="00723DA9">
        <w:rPr>
          <w:rFonts w:ascii="Times New Roman" w:hAnsi="Times New Roman" w:cs="Times New Roman"/>
          <w:sz w:val="24"/>
          <w:szCs w:val="24"/>
        </w:rPr>
        <w:instrText>ADDIN CSL_CITATION {"citationItems":[{"id":"ITEM-1","itemData":{"author":[{"dropping-particle":"","family":"Bernardet","given":"Ligia","non-dropping-particle":"","parse-names":false,"suffix":""},{"dropping-particle":"","family":"Tallapragada","given":"","non-dropping-particle":"V.","parse-names":false,"suffix":""},{"dropping-particle":"","family":"C. Holt","given":"","non-dropping-particle":"","parse-names":false,"suffix":""},{"dropping-particle":"","family":"S. Trahan","given":"","non-dropping-particle":"","parse-names":false,"suffix":""},{"dropping-particle":"","family":"M. Biswas","given":"","non-dropping-particle":"","parse-names":false,"suffix":""},{"dropping-particle":"","family":"L. Carson","given":"","non-dropping-particle":"","parse-names":false,"suffix":""},{"dropping-particle":"","family":"H. Shao","given":"","non-dropping-particle":"","parse-names":false,"suffix":""},{"dropping-particle":"","family":"C. Zhou","given":"","non-dropping-particle":"","parse-names":false,"suffix":""}],"container-title":"6th NOAA Testbeds and Proving Grounds Workshop","id":"ITEM-1","issued":{"date-parts":[["2015"]]},"publisher-place":"Boulder, CO","title":"Transition of Research to the Operational Hurricane WRF model: the Role of the Developmental Testbed Center","type":"paper-conference"},"uris":["http://www.mendeley.com/documents/?uuid=2256ac2e-4fb8-3508-89ae-796fd9670344"]},{"id":"ITEM-2","itemData":{"abstract":"In collabora7on with research and opera7onal centers , the Developmental Testbed Center (DTC) workstowardtheimprovementofDataAssimila7on(DA)andini7aliza7onofnumericalmodelsfortropicalcycloneforecas7ng.Recentworkhasbeenperformedintheframeworkofthe2014opera7onalHurricaneWeatherResearchandForecast(HWRF)model,whichappliedsomecri7calupdatestovariousaspectsofthesystemcomparedtothe2013HWRFsystem,including,butnotlimitedto,theupgradedvortexini7aliza7onscheme,andsomeimportantchangestothehybridvaria7onal-­‐ensembleconfigura7onoftheGridpointSta7s7calInterpola7on(GSI)system.Basedondiagnos7csofthetropicalstormintensityforecastsfromtheNa7onalCenterforEnvironmentalPredic7on(NCEP)/EnvironmentalModelingcenter(EMC)2014HWRFpre-­‐implementa7onruns,mul7pletropicalstormcaseshavebeenselectedforextensiveinves7ga7onsinthiswork,whoseintensityforecastschangerapidlyfromtoostrongtotooweakcomparedtotheobservedattheini7alforecasthours.Mul7plerunshavebeenconductedfortheselectedcasestostudytheimpactofnumerousconfigura7onsonhurricaneforecasts,withthemainfocusontacklingthetropicalstormintensityspin-­‐downissueswithinthe2014HWRFruns.Acknowledgments:ThisworkissponsoredbytheHurricaneForecastImprovementProgram(HFIP).","author":[{"dropping-particle":"","family":"Zhou","given":"Chunhua","non-dropping-particle":"","parse-names":false,"suffix":""},{"dropping-particle":"","family":"Shao","given":"Hui","non-dropping-particle":"","parse-names":false,"suffix":""},{"dropping-particle":"","family":"Bernardet","given":"Ligia","non-dropping-particle":"","parse-names":false,"suffix":""}],"container-title":"16th WRF users Workshop","id":"ITEM-2","issued":{"date-parts":[["2015"]]},"title":"Applications of the GSI‐Hybrid Data Assimilation for High‐Resolution Tropical Storm Forecasts: tackling the intensity spin-­down issue in 2014 HWRF","type":"paper-conference"},"uris":["http://www.mendeley.com/documents/?uuid=d4360853-3d14-3757-ac54-0ca97e08e787"]},{"id":"ITEM-3","itemData":{"URL":"https://ams.confex.com/ams/95Annual/webprogram/Paper269008.html","accessed":{"date-parts":[["2017","11","19"]]},"author":[{"dropping-particle":"","family":"Zhou","given":"Chunhua","non-dropping-particle":"","parse-names":false,"suffix":""},{"dropping-particle":"","family":"Shao","given":"H.","non-dropping-particle":"","parse-names":false,"suffix":""},{"dropping-particle":"","family":"Bernardet","given":"L. R.","non-dropping-particle":"","parse-names":false,"suffix":""},{"dropping-particle":"","family":"M. Tong","given":"","non-dropping-particle":"","parse-names":false,"suffix":""},{"dropping-particle":"","family":"Tallapragada","given":"","non-dropping-particle":"V.","parse-names":false,"suffix":""}],"container-title":"95th AMS Annual","id":"ITEM-3","issued":{"date-parts":[["2015"]]},"title":"Regional Applications of the GSI-Hybrid Data Assimilation for High-Resolution Tropical Storm Forecasts (95th American Meteorological Society Annual Meeting)","type":"webpage"},"uris":["http://www.mendeley.com/documents/?uuid=d950c86f-cf87-3969-ac28-e4ed7b50776b"]},{"id":"ITEM-4","itemData":{"DOI":"10.1175/MWR-D-17-0380.1","author":[{"dropping-particle":"","family":"Tong","given":"M","non-dropping-particle":"","parse-names":false,"suffix":""},{"dropping-particle":"","family":"Sippel","given":"J","non-dropping-particle":"","parse-names":false,"suffix":""},{"dropping-particle":"","family":"Tallapragada","given":"V","non-dropping-particle":"","parse-names":false,"suffix":""},{"dropping-particle":"","family":"Liu","given":"E","non-dropping-particle":"","parse-names":false,"suffix":""},{"dropping-particle":"","family":"Kieu","given":"C","non-dropping-particle":"","parse-names":false,"suffix":""},{"dropping-particle":"","family":"Kwon","given":"I","non-dropping-particle":"","parse-names":false,"suffix":""},{"dropping-particle":"","family":"Wang","given":"W","non-dropping-particle":"","parse-names":false,"suffix":""},{"dropping-particle":"","family":"Liu","given":"Q","non-dropping-particle":"","parse-names":false,"suffix":""},{"dropping-particle":"","family":"Ling","given":"Y","non-dropping-particle":"","parse-names":false,"suffix":""},{"dropping-particle":"","family":"Zhang","given":"B","non-dropping-particle":"","parse-names":false,"suffix":""}],"container-title":"Mon. Wea. Rev","id":"ITEM-4","issued":{"date-parts":[["2018"]]},"title":"Impact of Assimilating Aircraft Reconnaissance Observations on Tropical Cyclone Initialization and Prediction using Operational HWRF and GSI Ensemble-Variational Hybrid Data Assimilation","type":"article-journal"},"uris":["http://www.mendeley.com/documents/?uuid=a89a3ac3-1663-30dc-a6dc-ce9fa5f9e93e"]}],"mendeley":{"formattedCitation":"(Bernardet et al. 2015; Zhou et al. 2015a,b; Tong et al. 2018)","plainTextFormattedCitation":"(Bernardet et al. 2015; Zhou et al. 2015a,b; Tong et al. 2018)","previouslyFormattedCitation":"(Bernardet et al. 2015; Zhou et al. 2015a,b; Tong et al. 2018)"},"properties":{"noteIndex":0},"schema":"https://github.com/citation-style-language/schema/raw/master/csl-citation.json"}</w:instrText>
      </w:r>
      <w:r w:rsidR="00A947DE" w:rsidRPr="00723DA9">
        <w:rPr>
          <w:rFonts w:ascii="Times New Roman" w:hAnsi="Times New Roman" w:cs="Times New Roman"/>
          <w:sz w:val="24"/>
          <w:szCs w:val="24"/>
        </w:rPr>
        <w:fldChar w:fldCharType="separate"/>
      </w:r>
      <w:r w:rsidR="00A947DE" w:rsidRPr="00723DA9">
        <w:rPr>
          <w:rFonts w:ascii="Times New Roman" w:hAnsi="Times New Roman" w:cs="Times New Roman"/>
          <w:noProof/>
          <w:sz w:val="24"/>
          <w:szCs w:val="24"/>
        </w:rPr>
        <w:t>(Bernardet et al. 2015; Zhou et al. 2015a,b; Tong et al. 2018)</w:t>
      </w:r>
      <w:r w:rsidR="00A947DE"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The Vmax drop at a much shorter time scale, e.g. over the first 10-20 minutes shown in Fig. </w:t>
      </w:r>
      <w:r w:rsidR="009D0FB2" w:rsidRPr="00723DA9">
        <w:rPr>
          <w:rFonts w:ascii="Times New Roman" w:hAnsi="Times New Roman" w:cs="Times New Roman"/>
          <w:sz w:val="24"/>
          <w:szCs w:val="24"/>
        </w:rPr>
        <w:t>4.</w:t>
      </w:r>
      <w:r w:rsidRPr="00723DA9">
        <w:rPr>
          <w:rFonts w:ascii="Times New Roman" w:hAnsi="Times New Roman" w:cs="Times New Roman"/>
          <w:sz w:val="24"/>
          <w:szCs w:val="24"/>
        </w:rPr>
        <w:t>6a, is worth additional investigation in future studies.</w:t>
      </w:r>
    </w:p>
    <w:p w14:paraId="03A97A01" w14:textId="5AF082FC" w:rsidR="008B33D8" w:rsidRPr="00723DA9" w:rsidRDefault="008B33D8" w:rsidP="00771F99">
      <w:pPr>
        <w:pStyle w:val="Heading1"/>
        <w:spacing w:before="0" w:line="480" w:lineRule="auto"/>
        <w:rPr>
          <w:rFonts w:ascii="Times New Roman" w:hAnsi="Times New Roman" w:cs="Times New Roman"/>
          <w:b/>
          <w:sz w:val="24"/>
          <w:szCs w:val="24"/>
        </w:rPr>
      </w:pPr>
      <w:r w:rsidRPr="00723DA9">
        <w:rPr>
          <w:rFonts w:ascii="Times New Roman" w:hAnsi="Times New Roman" w:cs="Times New Roman"/>
          <w:b/>
          <w:color w:val="auto"/>
          <w:sz w:val="24"/>
          <w:szCs w:val="24"/>
        </w:rPr>
        <w:br w:type="page"/>
      </w:r>
    </w:p>
    <w:p w14:paraId="3379FDCD" w14:textId="2D2BF566" w:rsidR="008B33D8" w:rsidRPr="00723DA9" w:rsidRDefault="00E22E12" w:rsidP="00771F99">
      <w:pPr>
        <w:pStyle w:val="Heading1"/>
        <w:spacing w:before="0" w:after="240" w:line="480" w:lineRule="auto"/>
        <w:rPr>
          <w:rFonts w:ascii="Times New Roman" w:hAnsi="Times New Roman" w:cs="Times New Roman"/>
          <w:b/>
          <w:color w:val="auto"/>
          <w:sz w:val="24"/>
          <w:szCs w:val="24"/>
        </w:rPr>
      </w:pPr>
      <w:bookmarkStart w:id="200" w:name="_Toc21624004"/>
      <w:r w:rsidRPr="00723DA9">
        <w:rPr>
          <w:rFonts w:ascii="Times New Roman" w:hAnsi="Times New Roman" w:cs="Times New Roman"/>
          <w:b/>
          <w:color w:val="auto"/>
          <w:sz w:val="24"/>
          <w:szCs w:val="24"/>
        </w:rPr>
        <w:lastRenderedPageBreak/>
        <w:t>Chapter</w:t>
      </w:r>
      <w:r w:rsidR="008B33D8" w:rsidRPr="00723DA9">
        <w:rPr>
          <w:rFonts w:ascii="Times New Roman" w:hAnsi="Times New Roman" w:cs="Times New Roman"/>
          <w:b/>
          <w:color w:val="auto"/>
          <w:sz w:val="24"/>
          <w:szCs w:val="24"/>
        </w:rPr>
        <w:t xml:space="preserve"> </w:t>
      </w:r>
      <w:r w:rsidR="003952A5" w:rsidRPr="00723DA9">
        <w:rPr>
          <w:rFonts w:ascii="Times New Roman" w:hAnsi="Times New Roman" w:cs="Times New Roman"/>
          <w:b/>
          <w:color w:val="auto"/>
          <w:sz w:val="24"/>
          <w:szCs w:val="24"/>
        </w:rPr>
        <w:t>5</w:t>
      </w:r>
      <w:r w:rsidR="008B33D8" w:rsidRPr="00723DA9">
        <w:rPr>
          <w:rFonts w:ascii="Times New Roman" w:hAnsi="Times New Roman" w:cs="Times New Roman"/>
          <w:b/>
          <w:color w:val="auto"/>
          <w:sz w:val="24"/>
          <w:szCs w:val="24"/>
        </w:rPr>
        <w:t xml:space="preserve">: </w:t>
      </w:r>
      <w:r w:rsidR="00434CE2" w:rsidRPr="00723DA9">
        <w:rPr>
          <w:rFonts w:ascii="Times New Roman" w:hAnsi="Times New Roman" w:cs="Times New Roman"/>
          <w:b/>
          <w:color w:val="auto"/>
          <w:sz w:val="24"/>
          <w:szCs w:val="24"/>
        </w:rPr>
        <w:t>Observation Impacts on the Analysis and Prediction of Patricia (2015)</w:t>
      </w:r>
      <w:bookmarkEnd w:id="200"/>
    </w:p>
    <w:p w14:paraId="012023CE" w14:textId="31883039" w:rsidR="00A40BE3" w:rsidRPr="00723DA9" w:rsidRDefault="00A40BE3" w:rsidP="004F1C22">
      <w:pPr>
        <w:pStyle w:val="Heading2"/>
        <w:numPr>
          <w:ilvl w:val="1"/>
          <w:numId w:val="24"/>
        </w:numPr>
        <w:spacing w:line="480" w:lineRule="auto"/>
        <w:ind w:left="0" w:firstLine="0"/>
        <w:rPr>
          <w:rFonts w:ascii="Times New Roman" w:hAnsi="Times New Roman" w:cs="Times New Roman"/>
          <w:b/>
          <w:bCs/>
          <w:color w:val="auto"/>
          <w:sz w:val="24"/>
          <w:szCs w:val="24"/>
        </w:rPr>
      </w:pPr>
      <w:bookmarkStart w:id="201" w:name="_Toc21624005"/>
      <w:r w:rsidRPr="00723DA9">
        <w:rPr>
          <w:rFonts w:ascii="Times New Roman" w:hAnsi="Times New Roman" w:cs="Times New Roman"/>
          <w:b/>
          <w:bCs/>
          <w:color w:val="auto"/>
          <w:sz w:val="24"/>
          <w:szCs w:val="24"/>
        </w:rPr>
        <w:t>Introduction</w:t>
      </w:r>
      <w:bookmarkEnd w:id="201"/>
      <w:r w:rsidRPr="00723DA9">
        <w:rPr>
          <w:rFonts w:ascii="Times New Roman" w:hAnsi="Times New Roman" w:cs="Times New Roman"/>
          <w:b/>
          <w:bCs/>
          <w:color w:val="auto"/>
          <w:sz w:val="24"/>
          <w:szCs w:val="24"/>
        </w:rPr>
        <w:t xml:space="preserve"> </w:t>
      </w:r>
    </w:p>
    <w:p w14:paraId="033BE044" w14:textId="69CFC451" w:rsidR="00E025CF" w:rsidRPr="00FA14B9" w:rsidRDefault="00E025CF" w:rsidP="00E025CF">
      <w:pPr>
        <w:spacing w:line="480" w:lineRule="auto"/>
        <w:ind w:firstLine="432"/>
        <w:rPr>
          <w:rFonts w:ascii="Times New Roman" w:eastAsia="宋体" w:hAnsi="Times New Roman" w:cs="Times New Roman"/>
          <w:sz w:val="24"/>
          <w:szCs w:val="24"/>
        </w:rPr>
      </w:pPr>
      <w:r w:rsidRPr="00FA14B9">
        <w:rPr>
          <w:rFonts w:ascii="Times New Roman" w:eastAsia="宋体" w:hAnsi="Times New Roman" w:cs="Times New Roman"/>
          <w:sz w:val="24"/>
          <w:szCs w:val="24"/>
        </w:rPr>
        <w:t>Hurricanes are difficult to observe over the open ocean, especially their inner-core regions.  Due to heavy cloud and precipitation, utilization of all-sky satellite radiances is still a challenge and the corresponding research for Tropical Cyclone</w:t>
      </w:r>
      <w:r>
        <w:rPr>
          <w:rFonts w:ascii="Times New Roman" w:eastAsia="宋体" w:hAnsi="Times New Roman" w:cs="Times New Roman"/>
          <w:sz w:val="24"/>
          <w:szCs w:val="24"/>
        </w:rPr>
        <w:t xml:space="preserve"> (TC</w:t>
      </w:r>
      <w:r w:rsidRPr="00FA14B9">
        <w:rPr>
          <w:rFonts w:ascii="Times New Roman" w:eastAsia="宋体" w:hAnsi="Times New Roman" w:cs="Times New Roman"/>
          <w:sz w:val="24"/>
          <w:szCs w:val="24"/>
        </w:rPr>
        <w:t xml:space="preserve">) predictions are just beginning </w:t>
      </w:r>
      <w:r w:rsidRPr="00EB6086">
        <w:rPr>
          <w:rFonts w:ascii="Times New Roman" w:hAnsi="Times New Roman" w:cs="Times New Roman"/>
          <w:sz w:val="24"/>
          <w:szCs w:val="24"/>
        </w:rPr>
        <w:fldChar w:fldCharType="begin" w:fldLock="1"/>
      </w:r>
      <w:r w:rsidRPr="00FA14B9">
        <w:rPr>
          <w:rFonts w:ascii="Times New Roman" w:eastAsia="MS Mincho" w:hAnsi="Times New Roman" w:cs="Times New Roman"/>
          <w:sz w:val="24"/>
          <w:szCs w:val="24"/>
          <w:lang w:eastAsia="en-US"/>
        </w:rPr>
        <w:instrText>ADDIN CSL_CITATION {"citationItems":[{"id":"ITEM-1","itemData":{"DOI":"10.1002/qj.659","ISBN":"1477-870X","ISSN":"00359009","abstract":"This paper assesses the performance of an all-sky (i.e. clear, cloudy and precipitating) direct assimilation of microwave imagers that was introduced operationally in the four-dimensional variational (4D-Var) assimilation system of the European Centre for Medium-Range Weather Forecasts (ECMWF) in March 2009. Results are based on data-denial experiments and are quantified using forecast verification scores and comparisons to observations. The reliability of forecast verification scores is examined. Humidity-based scores can be misleading in the initial three days of forecasts, but scores based on pressure and wind fields are more reliable, because they are less sensitive to the choice of verifying analysis. The new approach is compared with the previous rain and cloud-affected assimilation, which used a 1D+4D-Var technique. One downside of the old technique is that it ‘recycles’ the first guess as new information, which causes misleading ‘improvements’ in forecast scores. The new approach avoids this problem. It also does not require any cloud detection, so unlike the old approach used in clear skies, it is not susceptible to biases caused by undetected cloud. However the new system is implemented with a cautious quality control and large observation errors. Hence, the analysed and forecast tropical humidity fields are constrained only about half as much in the new system as in the old. However, the new approach is comparable in terms of its positive impact on dynamical fields (pressure and vector wind) in the tropical lower troposphere.","author":[{"dropping-particle":"","family":"Bauer","given":"Peter","non-dropping-particle":"","parse-names":false,"suffix":""},{"dropping-particle":"","family":"Geer","given":"Alan J.","non-dropping-particle":"","parse-names":false,"suffix":""},{"dropping-particle":"","family":"Lopez","given":"Philippe","non-dropping-particle":"","parse-names":false,"suffix":""},{"dropping-particle":"","family":"Salmond","given":"Deborah","non-dropping-particle":"","parse-names":false,"suffix":""}],"container-title":"Quarterly Journal of the Royal Meteorological Society","id":"ITEM-1","issue":"652","issued":{"date-parts":[["2010"]]},"page":"1868-1885","title":"Direct 4D-Var assimilation of all-sky radiances. Part I: Implementation","type":"article-journal","volume":"136"},"uris":["http://www.mendeley.com/documents/?uuid=1bee54cc-89b1-4ea0-b474-3f316b43a256"]},{"id":"ITEM-2","itemData":{"DOI":"10.1002/qj.905","ISSN":"00359009","author":[{"dropping-particle":"","family":"Bauer","given":"Peter","non-dropping-particle":"","parse-names":false,"suffix":""},{"dropping-particle":"","family":"Auligné","given":"Thomas","non-dropping-particle":"","parse-names":false,"suffix":""},{"dropping-particle":"","family":"Bell","given":"William","non-dropping-particle":"","parse-names":false,"suffix":""},{"dropping-particle":"","family":"Geer","given":"Alan","non-dropping-particle":"","parse-names":false,"suffix":""},{"dropping-particle":"","family":"Guidard","given":"Vincent","non-dropping-particle":"","parse-names":false,"suffix":""},{"dropping-particle":"","family":"Heilliette","given":"Sylvain","non-dropping-particle":"","parse-names":false,"suffix":""},{"dropping-particle":"","family":"Kazumori","given":"Masahiro","non-dropping-particle":"","parse-names":false,"suffix":""},{"dropping-particle":"","family":"Kim","given":"Min Jeong","non-dropping-particle":"","parse-names":false,"suffix":""},{"dropping-particle":"","family":"Liu","given":"Emily H C","non-dropping-particle":"","parse-names":false,"suffix":""},{"dropping-particle":"","family":"Mcnally","given":"Anthony P.","non-dropping-particle":"","parse-names":false,"suffix":""},{"dropping-particle":"","family":"Macpherson","given":"Bruce","non-dropping-particle":"","parse-names":false,"suffix":""},{"dropping-particle":"","family":"Okamoto","given":"Kozo","non-dropping-particle":"","parse-names":false,"suffix":""},{"dropping-particle":"","family":"Renshaw","given":"Richard","non-dropping-particle":"","parse-names":false,"suffix":""},{"dropping-particle":"","family":"Riishøjgaard","given":"Lars Peter","non-dropping-particle":"","parse-names":false,"suffix":""}],"container-title":"Quarterly Journal of the Royal Meteorological Society","id":"ITEM-2","issue":"661","issued":{"date-parts":[["2011"]]},"page":"1934-1951","title":"Satellite cloud and precipitation assimilation at operational NWP centres","type":"article-journal","volume":"137"},"uris":["http://www.mendeley.com/documents/?uuid=d952a250-3fe4-48a7-83d5-b4721ba15021"]},{"id":"ITEM-3","itemData":{"DOI":"10.3402/tellusa.v68.30917","ISSN":"16000870","author":[{"dropping-particle":"","family":"Yang","given":"Chun","non-dropping-particle":"","parse-names":false,"suffix":""},{"dropping-particle":"","family":"Liu","given":"Zhiquan","non-dropping-particle":"","parse-names":false,"suffix":""},{"dropping-particle":"","family":"Bresch","given":"Jamie","non-dropping-particle":"","parse-names":false,"suffix":""},{"dropping-particle":"","family":"Rizvi","given":"Syed R.H.","non-dropping-particle":"","parse-names":false,"suffix":""},{"dropping-particle":"","family":"Huang","given":"Xiang-Yu","non-dropping-particle":"","parse-names":false,"suffix":""},{"dropping-particle":"","family":"Min","given":"Jinzhong","non-dropping-particle":"","parse-names":false,"suffix":""}],"container-title":"Tellus A","id":"ITEM-3","issue":"30917","issued":{"date-parts":[["2016"]]},"page":"1-19","title":"AMSR2 all-sky radiance assimilation and its impact on the analysis and forecast of Hurricane Sandy with a limited-area data assimilation system","type":"article-journal","volume":"68"},"uris":["http://www.mendeley.com/documents/?uuid=5caf5541-7acc-4cc4-a43c-bae47fb6fd31"]},{"id":"ITEM-4","itemData":{"DOI":"10.1002/2016GL068468","ISSN":"19448007","author":[{"dropping-particle":"","family":"Zhang","given":"Fuqing","non-dropping-particle":"","parse-names":false,"suffix":""},{"dropping-particle":"","family":"Minamide","given":"Masashi","non-dropping-particle":"","parse-names":false,"suffix":""},{"dropping-particle":"","family":"Clothiaux","given":"Eugene E.","non-dropping-particle":"","parse-names":false,"suffix":""}],"container-title":"Geophysical Research Letters","id":"ITEM-4","issued":{"date-parts":[["2016"]]},"page":"2954-2963","title":"Potential impacts of assimilating all-sky infrared satellite radiances from GOES-R on convection-permitting analysis and prediction of tropical cyclones","type":"article-journal","volume":"43"},"uris":["http://www.mendeley.com/documents/?uuid=b0ab02b4-5dc3-445c-b6cb-45b383c636cd"]},{"id":"ITEM-5","itemData":{"DOI":"10.1175/MWR-D-15-0445.1","abstract":"The capability of all-sky microwave radiance assimilation in the Gridpoint Statistical Interpolation (GSI) analysis system has been developed at the National Centers for Environmental Prediction (NCEP). This development effort required the adaptation of quality control, observation error assignment, bias correction, and background error covariance to all-sky conditions within the ensemble–variational (EnVar) framework. The assimilation of cloudy radiances from the Advanced Microwave Sounding Unit-A (AMSU-A) microwave radiometer for ocean fields of view (FOVs) is the primary emphasis of this study. In the original operational hybrid 3D EnVar Global Forecast System (GFS), the clear-sky approach for radiance data assimilation is applied. Changes to data thinning and quality control have allowed all-sky satellite radiances to be assimilated in the GSI. Along with the symmetric observation error assignment, additional situation-dependent observation error inflation is employed for all-sky conditions. Moreover, in addition to the current radiance bias correction, a new bias correction strategy has been applied to all-sky radiances. In this work, the static background error variance and the ensemble spread of cloud water are examined, and the levels of cloud variability from the ensemble forecast in single-and dual-resolution configurations are discussed. Overall, the all-sky approach provides more realistic simulated brightness temperatures and cloud water analysis increments, and improves analysis off the west coasts of the continents by reducing a known bias in stratus. An approximate 10% increase in the use of AMSU-A channels 1–5 and a 12% increase for channel 15 are also observed. The all-sky AMSU-A radiance as-similation became operational in the 4D EnVar GFS system upgrade of 12 May 2016.","author":[{"dropping-particle":"","family":"Zhu","given":"Yanqiu","non-dropping-particle":"","parse-names":false,"suffix":""},{"dropping-particle":"","family":"Liu","given":"Emily","non-dropping-particle":"","parse-names":false,"suffix":""},{"dropping-particle":"","family":"Mahajan","given":"Rahul","non-dropping-particle":"","parse-names":false,"suffix":""},{"dropping-particle":"","family":"Thomas","given":"Catherine","non-dropping-particle":"","parse-names":false,"suffix":""},{"dropping-particle":"","family":"Groff","given":"David","non-dropping-particle":"","parse-names":false,"suffix":""},{"dropping-particle":"Van","family":"Delst","given":"Paul","non-dropping-particle":"","parse-names":false,"suffix":""},{"dropping-particle":"","family":"Collard","given":"And Andrew","non-dropping-particle":"","parse-names":false,"suffix":""},{"dropping-particle":"","family":"Kleist","given":"Daryl","non-dropping-particle":"","parse-names":false,"suffix":""},{"dropping-particle":"","family":"Treadon","given":"Russ","non-dropping-particle":"","parse-names":false,"suffix":""},{"dropping-particle":"","family":"Derber","given":"John C","non-dropping-particle":"","parse-names":false,"suffix":""}],"container-title":"Mon. Wea. Rev.","id":"ITEM-5","issued":{"date-parts":[["2016"]]},"page":"4709-4735","title":"All-Sky Microwave Radiance Assimilation in NCEP's GSI Analysis System","type":"article-journal","volume":"144"},"uris":["http://www.mendeley.com/documents/?uuid=9586dc2c-9964-3e8d-ba98-e30a6bf25938"]},{"id":"ITEM-6","itemData":{"DOI":"10.1002/qj.3202","ISSN":"00359009","author":[{"dropping-particle":"","family":"Geer","given":"A.J.","non-dropping-particle":"","parse-names":false,"suffix":""},{"dropping-particle":"","family":"Lonitz","given":"K.","non-dropping-particle":"","parse-names":false,"suffix":""},{"dropping-particle":"","family":"Weston","given":"P.","non-dropping-particle":"","parse-names":false,"suffix":""},{"dropping-particle":"","family":"Kazumori","given":"M.","non-dropping-particle":"","parse-names":false,"suffix":""},{"dropping-particle":"","family":"Okamoto","given":"K.","non-dropping-particle":"","parse-names":false,"suffix":""},{"dropping-particle":"","family":"Zhu","given":"Y.","non-dropping-particle":"","parse-names":false,"suffix":""},{"dropping-particle":"","family":"Liu","given":"E.H.","non-dropping-particle":"","parse-names":false,"suffix":""},{"dropping-particle":"","family":"Collard","given":"A.","non-dropping-particle":"","parse-names":false,"suffix":""},{"dropping-particle":"","family":"Bell","given":"W.","non-dropping-particle":"","parse-names":false,"suffix":""},{"dropping-particle":"","family":"Migliorini","given":"S.","non-dropping-particle":"","parse-names":false,"suffix":""},{"dropping-particle":"","family":"Chambon","given":"P.","non-dropping-particle":"","parse-names":false,"suffix":""},{"dropping-particle":"","family":"Fourrié","given":"N.","non-dropping-particle":"","parse-names":false,"suffix":""},{"dropping-particle":"","family":"Kim","given":"M.-J.","non-dropping-particle":"","parse-names":false,"suffix":""},{"dropping-particle":"","family":"Köpken-Watts","given":"C.","non-dropping-particle":"","parse-names":false,"suffix":""},{"dropping-particle":"","family":"Schraff","given":"C.","non-dropping-particle":"","parse-names":false,"suffix":""}],"container-title":"Quarterly Journal of the Royal Meteorological Society","id":"ITEM-6","issued":{"date-parts":[["2017","11","14"]]},"publisher":"John Wiley &amp; Sons, Ltd","title":"All-sky satellite data assimilation at operational weather forecasting centres","type":"article-journal"},"uris":["http://www.mendeley.com/documents/?uuid=ff4abeb9-b868-3a00-9a39-905034032e57"]}],"mendeley":{"formattedCitation":"(Bauer et al. 2010, 2011; Yang et al. 2016; Zhang et al. 2016; Zhu et al. 2016b; Geer et al. 2017)","manualFormatting":"(Bauer et al. 2010, 2011; Yang et al. 2016; Zhang et al. 2016; Zhu et al. 2016; Geer et al. 2017)","plainTextFormattedCitation":"(Bauer et al. 2010, 2011; Yang et al. 2016; Zhang et al. 2016; Zhu et al. 2016b; Geer et al. 2017)","previouslyFormattedCitation":"(Bauer et al. 2010, 2011; Yang et al. 2016; Zhang et al. 2016; Zhu et al. 2016b; Geer et al. 2017)"},"properties":{"noteIndex":0},"schema":"https://github.com/citation-style-language/schema/raw/master/csl-citation.json"}</w:instrText>
      </w:r>
      <w:r w:rsidRPr="00EB6086">
        <w:rPr>
          <w:rFonts w:ascii="Times New Roman" w:eastAsia="MS Mincho" w:hAnsi="Times New Roman" w:cs="Times New Roman"/>
          <w:sz w:val="24"/>
          <w:szCs w:val="24"/>
          <w:lang w:eastAsia="en-US"/>
        </w:rPr>
        <w:fldChar w:fldCharType="separate"/>
      </w:r>
      <w:r w:rsidRPr="00FA14B9">
        <w:rPr>
          <w:rFonts w:ascii="Times New Roman" w:eastAsia="MS Mincho" w:hAnsi="Times New Roman" w:cs="Times New Roman"/>
          <w:noProof/>
          <w:sz w:val="24"/>
          <w:szCs w:val="24"/>
          <w:lang w:eastAsia="en-US"/>
        </w:rPr>
        <w:t>(Bauer et al. 2010, 2011; Yang et al. 2016; Zhang et al. 2016; Zhu et al. 2016; Geer et al. 2017)</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 xml:space="preserve"> Therefore, data collected by the manned or unmanned aircraft penetrating hurricanes becomes one of the few options for hurricane inner-core studies </w:t>
      </w:r>
      <w:r w:rsidRPr="00EB6086">
        <w:rPr>
          <w:rFonts w:ascii="Times New Roman" w:hAnsi="Times New Roman" w:cs="Times New Roman"/>
          <w:sz w:val="24"/>
          <w:szCs w:val="24"/>
        </w:rPr>
        <w:fldChar w:fldCharType="begin" w:fldLock="1"/>
      </w:r>
      <w:r w:rsidR="007D0875">
        <w:rPr>
          <w:rFonts w:ascii="Times New Roman" w:eastAsia="宋体" w:hAnsi="Times New Roman" w:cs="Times New Roman"/>
          <w:sz w:val="24"/>
          <w:szCs w:val="24"/>
        </w:rPr>
        <w:instrText>ADDIN CSL_CITATION {"citationItems":[{"id":"ITEM-1","itemData":{"author":[{"dropping-particle":"","family":"Marks","given":"F.G.","non-dropping-particle":"","parse-names":false,"suffix":""},{"dropping-particle":"","family":"Houze","given":"R.A.","non-dropping-particle":"","parse-names":false,"suffix":""}],"container-title":"Bulletin American Meteorological Society","id":"ITEM-1","issued":{"date-parts":[["1984"]]},"page":"569-582","title":"Airborne Doppler Radar Observations in Hurricane Debby","type":"article-journal","volume":"65"},"uris":["http://www.mendeley.com/documents/?uuid=c76c253b-4140-3702-bc7a-f130f37f2b31"]},{"id":"ITEM-2","itemData":{"DOI":"10.1175/1520-0469(1987)044&lt;1296:ICSOHA&gt;2.0.CO;2","ISSN":"0022-4928","abstract":"Airborne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particle...","author":[{"dropping-particle":"","family":"Marks","given":"Frank D.","non-dropping-particle":"","parse-names":false,"suffix":""},{"dropping-particle":"","family":"Houze","given":"Robert a.","non-dropping-particle":"","parse-names":false,"suffix":""}],"container-title":"Journal of the Atmospheric Sciences","id":"ITEM-2","issue":"9","issued":{"date-parts":[["1987"]]},"page":"1296-1317","title":"Inner Core Structure of Hurricane Alicia from Airborne Doppler Radar Observations","type":"article","volume":"44"},"uris":["http://www.mendeley.com/documents/?uuid=baa2ef94-1c58-4dab-9076-034b565b7750"]},{"id":"ITEM-3","itemData":{"author":[{"dropping-particle":"","family":"Gamache","given":"John F.","non-dropping-particle":"","parse-names":false,"suffix":""},{"dropping-particle":"","family":"Robert A. Houze","given":"Jr.","non-dropping-particle":"","parse-names":false,"suffix":""},{"dropping-particle":"","family":"Frank D. Marks","given":"Jr.","non-dropping-particle":"","parse-names":false,"suffix":""}],"container-title":"Journal of the Atmospheric Sciences","id":"ITEM-3","issue":"19","issued":{"date-parts":[["1993"]]},"page":"3221-3243","title":"Dual-Aircraft Investigation of the Inner Core of Hurricane Norbert. Part III: Water Budget","type":"article-journal","volume":"50"},"uris":["http://www.mendeley.com/documents/?uuid=0fbacea7-8d9c-37fe-b7f1-a41b60ac8a70"]},{"id":"ITEM-4","itemData":{"DOI":"10.1175/1520-0493(2000)128&lt;1653:LWSAEO&gt;2.0.CO;2","ISBN":"0027-0644","ISSN":"0027-0644","abstract":"The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Review","id":"ITEM-4","issue":"6","issued":{"date-parts":[["2000"]]},"page":"1653-1680","title":"Low-Wavenumber Structure and Evolution of the Hurricane Inner Core Observed by Airborne Dual-Doppler Radar","type":"article-journal","volume":"128"},"uris":["http://www.mendeley.com/documents/?uuid=328d83df-7672-4fb9-8099-23b603173389"]},{"id":"ITEM-5","itemData":{"DOI":"10.1175/2009MWR2828.1","ISBN":"0027-0644","ISSN":"0027-0644","abstract":"Initialization of the hurricane vortex in weather prediction models is vital to intensity forecasts out to at least 48 h. Airborne Doppler radar (ADR) data have sufficiently high horizontal and vertical resolution to resolve the hurricane vortex and its imbedded structures but have not been extensively used in hurricane initialization. Using the Weather Research and Forecasting (WRF) three-dimensional variational data assimilation (3DVAR) system, the ADR data are assimilated to recover the hurricane vortex dynamic and thermodynamic structures at the WRF model initial time. The impact of the ADR data on three hurricanes, Jeanne (2004), Katrina (2005) and Rita (2005), are examined during their rapid intensification and subsequent weakening periods before landfall. With the ADR wind data assimilated, the three-dimensional winds in the hurricane vortex become stronger and the maximum 10-m winds agree better with independent estimates from best-track data than without ADR data assimilation. Through the multivariate incremental structure in WRF3DVAR analysis, the central sea level pressures (CSLPs) for the three hurricanes are lower in response to the stronger vortex at initialization. The size and inner-core structure of each vortex are adjusted closer to observations of these attributes. Addition of reflectivity data in assimilation produces cloud water and rainwater analyses in the initial vortex. The temperature and moisture are also better represented in the hurricane initialization. Forty-eight-hour forecasts are conducted to evaluate the impact of ADR data using the Advanced Research Hurricane WRF (AHW), a derivative of the Advanced Research WRF (ARW) model. Assimilation of ADR data improves the hurricane-intensity forecasts. Vortex asymmetries, size, and rainbands are also simulated better. Hurricane initialization with ADR data is quite promising toward reducing intensity forecast errors at modest computational expense.","author":[{"dropping-particle":"","family":"Xiao","given":"Qingnong","non-dropping-particle":"","parse-names":false,"suffix":""},{"dropping-particle":"","family":"Zhang","given":"Xiaoyan","non-dropping-particle":"","parse-names":false,"suffix":""},{"dropping-particle":"","family":"Davis","given":"Christopher","non-dropping-particle":"","parse-names":false,"suffix":""},{"dropping-particle":"","family":"Tuttle","given":"John","non-dropping-particle":"","parse-names":false,"suffix":""},{"dropping-particle":"","family":"Holland","given":"Greg","non-dropping-particle":"","parse-names":false,"suffix":""},{"dropping-particle":"","family":"Fitzpatrick","given":"Patrick J.","non-dropping-particle":"","parse-names":false,"suffix":""}],"container-title":"Monthly Weather Review","id":"ITEM-5","issue":"9","issued":{"date-parts":[["2009"]]},"page":"2758-2777","title":"Experiments of Hurricane Initialization with Airborne Doppler Radar Data for the Advanced Research Hurricane WRF (AHW) Model","type":"article-journal","volume":"137"},"uris":["http://www.mendeley.com/documents/?uuid=6a3e0a0a-6311-46b1-b06d-f5cb61d65930"]},{"id":"ITEM-6","itemData":{"DOI":"10.1175/2009MWR2645.1","ISBN":"0027-0644","ISSN":"0027-0644","abstract":"This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 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H.","non-dropping-particle":"","parse-names":false,"suffix":""}],"container-title":"Monthly Weather Review","id":"ITEM-6","issue":"7","issued":{"date-parts":[["2009"]]},"page":"2105-2125","title":"Cloud-Resolving Hurricane Initialization and Prediction through Assimilation of Doppler Radar Observations with an Ensemble Kalman Filter","type":"article-journal","volume":"137"},"uris":["http://www.mendeley.com/documents/?uuid=8ad10eaa-db6f-4beb-9c8d-77cec7153fa1"]},{"id":"ITEM-7","itemData":{"DOI":"10.1029/2011GL048469","ISBN":"00948276","ISSN":"00948276","abstract":"This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Letters","id":"ITEM-7","issue":"15","issued":{"date-parts":[["2011"]]},"page":"2-7","title":"Performance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observations","type":"article-journal","volume":"38"},"uris":["http://www.mendeley.com/documents/?uuid=49d51ce5-38fd-4912-aac8-90ced5dff4af"]},{"id":"ITEM-8","itemData":{"DOI":"10.1175/2011MWR3602.1","ISBN":"0027-0644","ISSN":"0027-0644","abstract":"Through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Review","id":"ITEM-8","issue":"3","issued":{"date-parts":[["2012"]]},"page":"841-859","title":"Assimilating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(2005)","type":"article-journal","volume":"140"},"uris":["http://www.mendeley.com/documents/?uuid=9c276441-a30a-4c8f-a760-f5a89a55b497"]},{"id":"ITEM-9","itemData":{"DOI":"Doi 10.1175/Mwr-D-12-00194.1","ISBN":"0027-0644","ISSN":"0027-0644","abstract":"The Hurricane Weather Research and Forecasting (HWRF) Ensemble Data Assimilation System (HEDAS) is developed to assimilate tropical cyclone inner-core observations for high-resolution vortex initialization. It is based on a serial implementation of the square root ensemble Kalman filter (EnKF). In this study, HWRF is used in an experimental configuration with horizontal grid spacing of 9 (3) km on the outer (inner) domain. HEDAS is applied to 83 cases from years 2008 to 2011. With the exception of two Hurricane Hilary (2011) cases in the eastern North Pacific basin, all cases are observed in the Atlantic basin. Observed storm intensity for these cases ranges from tropical depression to category-4 hurricane. Overall, it is found that high-resolution tropical cyclone observations, when assimilated with an advanced data assimilation technique such as the EnKF, result in analyses of the primary circulation that are realistic in terms of intensity, wavenumber-0 radial structure, as well as wavenumber-1 azimuthal structure. Representing the secondary circulation in the analyses is found to be more challenging with systematic errors in the magnitude and depth of the low-level radial inflow. This is believed to result from a model bias in the experimental HWRF caused by the overdiffusive nature of the planetary boundary layer parameterization utilized. Thermodynamic deviations from the observed structure are believed to be caused by both an imbalance between the number of the kinematic and thermodynamic observations in general and the suboptimal ensemble covariances between kinematic and thermodynamic fields. Future plans are discussed to address these challenges.","author":[{"dropping-particle":"","family":"Aksoy","given":"a","non-dropping-particle":"","parse-names":false,"suffix":""},{"dropping-particle":"","family":"Aberson","given":"S D","non-dropping-particle":"","parse-names":false,"suffix":""},{"dropping-particle":"","family":"Vukicevic","given":"T","non-dropping-particle":"","parse-names":false,"suffix":""},{"dropping-particle":"","family":"Sellwood","given":"K J","non-dropping-particle":"","parse-names":false,"suffix":""},{"dropping-particle":"","family":"Lorsolo","given":"S","non-dropping-particle":"","parse-names":false,"suffix":""},{"dropping-particle":"","family":"Zhang","given":"X J","non-dropping-particle":"","parse-names":false,"suffix":""}],"container-title":"Monthly Weather Review","id":"ITEM-9","issue":"6","issued":{"date-parts":[["2013"]]},"page":"1842-1865","title":"Assimilation of High-Resolution Tropical Cyclone Observations with an Ensemble Kalman Filter Using NOAA/AOML/HRD's HEDAS: Evaluation of the 2008-11 Vortex-Scale Analyses","type":"article-journal","volume":"141"},"uris":["http://www.mendeley.com/documents/?uuid=dadd0527-a3c7-4bfb-9481-e1798e142e70"]},{"id":"ITEM-10","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Society","id":"ITEM-10","issue":"702","issued":{"date-parts":[["2017"]]},"page":"223-239","title":"GSI-based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id":"ITEM-11","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Rev.","id":"ITEM-11","issued":{"date-parts":[["2017"]]},"page":"4877-4898","title":"GSI-based,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with","type":"article-journal","volume":"145"},"uris":["http://www.mendeley.com/documents/?uuid=82ad08b1-34e7-3cff-837b-7355f1a8ba0d"]}],"mendeley":{"formattedCitation":"(Marks and Houze 1984, 1987; Gamache et al. 1993; Reasor et al. 2000; Xiao et al. 2009; Zhang et al. 2009a, 2011; Weng and Zhang 2012; Aksoy et al. 2013; Lu et al. 2017a,b)","plainTextFormattedCitation":"(Marks and Houze 1984, 1987; Gamache et al. 1993; Reasor et al. 2000; Xiao et al. 2009; Zhang et al. 2009a, 2011; Weng and Zhang 2012; Aksoy et al. 2013; Lu et al. 2017a,b)","previouslyFormattedCitation":"(Marks and Houze 1984, 1987; Gamache et al. 1993; Reasor et al. 2000; Xiao et al. 2009; Zhang et al. 2009a, 2011; Weng and Zhang 2012; Aksoy et al. 2013; Lu et al. 2017a,b)"},"properties":{"noteIndex":0},"schema":"https://github.com/citation-style-language/schema/raw/master/csl-citation.json"}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003F0ED0" w:rsidRPr="003F0ED0">
        <w:rPr>
          <w:rFonts w:ascii="Times New Roman" w:eastAsia="宋体" w:hAnsi="Times New Roman" w:cs="Times New Roman"/>
          <w:noProof/>
          <w:sz w:val="24"/>
          <w:szCs w:val="24"/>
        </w:rPr>
        <w:t>(Marks and Houze 1984, 1987; Gamache et al. 1993; Reasor et al. 2000; Xiao et al. 2009; Zhang et al. 2009a, 2011; Weng and Zhang 2012; Aksoy et al. 2013; Lu et al. 2017a,b)</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 xml:space="preserve"> These aircraft are usually supported by different field </w:t>
      </w:r>
      <w:r w:rsidRPr="00FA14B9">
        <w:rPr>
          <w:rFonts w:ascii="Times New Roman" w:eastAsia="宋体" w:hAnsi="Times New Roman" w:cs="Times New Roman"/>
          <w:sz w:val="24"/>
          <w:szCs w:val="24"/>
        </w:rPr>
        <w:t>campaign programs.</w:t>
      </w:r>
    </w:p>
    <w:p w14:paraId="1F17A07C" w14:textId="0609FD82" w:rsidR="00C56823" w:rsidRPr="00723DA9" w:rsidRDefault="00E025CF" w:rsidP="00E025CF">
      <w:pPr>
        <w:spacing w:line="480" w:lineRule="auto"/>
        <w:ind w:firstLine="432"/>
        <w:rPr>
          <w:rFonts w:ascii="Times New Roman" w:eastAsia="宋体" w:hAnsi="Times New Roman" w:cs="Times New Roman"/>
          <w:sz w:val="24"/>
          <w:szCs w:val="24"/>
        </w:rPr>
      </w:pPr>
      <w:r w:rsidRPr="00FA14B9">
        <w:rPr>
          <w:rFonts w:ascii="Times New Roman" w:eastAsia="宋体" w:hAnsi="Times New Roman" w:cs="Times New Roman"/>
          <w:sz w:val="24"/>
          <w:szCs w:val="24"/>
        </w:rPr>
        <w:t xml:space="preserve">Starting from 2005, an Intensity Forecasting Experiment (IFEX) program was conducted by the National Oceanic and Atmospheric Administration (NOAA).  In this multiyear experiment, observations such as Stepped Frequency Microwave Radiometer (SFMR), flight-level (FL) and tail doppler radar (TDR) observations were collected through the NOAA WP-3D aircraft </w:t>
      </w:r>
      <w:r w:rsidRPr="00EB6086">
        <w:rPr>
          <w:rFonts w:ascii="Times New Roman" w:hAnsi="Times New Roman" w:cs="Times New Roman"/>
          <w:sz w:val="24"/>
          <w:szCs w:val="24"/>
        </w:rPr>
        <w:fldChar w:fldCharType="begin" w:fldLock="1"/>
      </w:r>
      <w:r w:rsidRPr="00FA14B9">
        <w:rPr>
          <w:rFonts w:ascii="Times New Roman" w:eastAsia="宋体" w:hAnsi="Times New Roman" w:cs="Times New Roman"/>
          <w:sz w:val="24"/>
          <w:szCs w:val="24"/>
        </w:rPr>
        <w:instrText>ADDIN CSL_CITATION {"citationItems":[{"id":"ITEM-1","itemData":{"DOI":"10.1175/BAMS-87-11-1523","ISSN":"00030007","abstract":"In 2005, NOAA&amp;#39;s Hurricane Research Division (HRD), part of the Atlantic Oceanographic and Meteorological Laboratory, began a multiyear experiment called the Intensity Forecasting Experiment (IFEX). By emphasizing a partnership among NOAA&amp;#39;s HRD, Environmental Modeling Center (EMC), National Hurricane Center (NHC), Aircraft Operations Center (AOC), and National Environmental Satellite Data Information Service (NESDIS), IFEX represents a new approach for conducting hurricane field program operations. IFEX is intended to improve the prediction of tropical cyclone (TC) intensity change by 1) collecting observations that span the TC life cycle in a variety of environments; 2) developing and refining measurement technologies that provide improved real-time monitoring of TC intensity, structure, and environment; and 3) improving the understanding of the physical processes important in intensity change for a TC at all stages of its life cycle. This paper presents a summary of the accomplishments of IFEX during the 2005 hurricane season. New and refined technologies for measuring such fields as surface and three-dimensional wind fields, and the use of unmanned aerial vehicles, were achieved in a variety of field experiments that spanned the life cycle of several tropical cyclones, from formation and early organization to peak intensity and subsequent landfall or extratropical transition. Partnerships with other experiments during 2005 also expanded the spatial and temporal coverage of the data collected in 2005. A brief discussion of the plans for IFEX in 2006 is also provided.","author":[{"dropping-particle":"","family":"Rogers","given":"Robert","non-dropping-particle":"","parse-names":false,"suffix":""},{"dropping-particle":"","family":"Aberson","given":"Sim","non-dropping-particle":"","parse-names":false,"suffix":""},{"dropping-particle":"","family":"Black","given":"Michael","non-dropping-particle":"","parse-names":false,"suffix":""},{"dropping-particle":"","family":"Black","given":"Peter","non-dropping-particle":"","parse-names":false,"suffix":""},{"dropping-particle":"","family":"Cione","given":"Joe","non-dropping-particle":"","parse-names":false,"suffix":""},{"dropping-particle":"","family":"Dodge","given":"Peter","non-dropping-particle":"","parse-names":false,"suffix":""},{"dropping-particle":"","family":"Dunion","given":"Jason","non-dropping-particle":"","parse-names":false,"suffix":""},{"dropping-particle":"","family":"Gamache","given":"John","non-dropping-particle":"","parse-names":false,"suffix":""},{"dropping-particle":"","family":"Kaplan","given":"John","non-dropping-particle":"","parse-names":false,"suffix":""},{"dropping-particle":"","family":"Powell","given":"Mark","non-dropping-particle":"","parse-names":false,"suffix":""},{"dropping-particle":"","family":"Shay","given":"Nick","non-dropping-particle":"","parse-names":false,"suffix":""},{"dropping-particle":"","family":"Surgi","given":"Naomi","non-dropping-particle":"","parse-names":false,"suffix":""},{"dropping-particle":"","family":"Uhlhorn","given":"Eric","non-dropping-particle":"","parse-names":false,"suffix":""}],"container-title":"Bulletin of the American Meteorological Society","id":"ITEM-1","issue":"11","issued":{"date-parts":[["2006"]]},"page":"1523-1537","title":"The intensity forecasting experiment: A NOAA multiyear field program for improving tropical cyclone intensity forecasts","type":"article-journal","volume":"87"},"uris":["http://www.mendeley.com/documents/?uuid=6d962857-7784-4f3f-98f1-ff8b3329574a"]},{"id":"ITEM-2","itemData":{"DOI":"10.1175/BAMS-D-12-00089.1","ISSN":"00030007","author":[{"dropping-particle":"","family":"Rogers","given":"Robert","non-dropping-particle":"","parse-names":false,"suffix":""},{"dropping-particle":"","family":"Aberson","given":"Sim","non-dropping-particle":"","parse-names":false,"suffix":""},{"dropping-particle":"","family":"Aksoy","given":"Altug","non-dropping-particle":"","parse-names":false,"suffix":""},{"dropping-particle":"","family":"Annane","given":"Bachir","non-dropping-particle":"","parse-names":false,"suffix":""},{"dropping-particle":"","family":"Black","given":"Michael","non-dropping-particle":"","parse-names":false,"suffix":""},{"dropping-particle":"","family":"Cione","given":"Joseph","non-dropping-particle":"","parse-names":false,"suffix":""},{"dropping-particle":"","family":"Dorst","given":"Neal","non-dropping-particle":"","parse-names":false,"suffix":""},{"dropping-particle":"","family":"Dunion","given":"Jason","non-dropping-particle":"","parse-names":false,"suffix":""},{"dropping-particle":"","family":"Gamache","given":"John","non-dropping-particle":"","parse-names":false,"suffix":""},{"dropping-particle":"","family":"Goldenberg","given":"Stan","non-dropping-particle":"","parse-names":false,"suffix":""},{"dropping-particle":"","family":"Gopalakrishnan","given":"Sundararaman","non-dropping-particle":"","parse-names":false,"suffix":""},{"dropping-particle":"","family":"Kaplan","given":"John","non-dropping-particle":"","parse-names":false,"suffix":""},{"dropping-particle":"","family":"Klotz","given":"Bradley","non-dropping-particle":"","parse-names":false,"suffix":""},{"dropping-particle":"","family":"Lorsolo","given":"Sylvie","non-dropping-particle":"","parse-names":false,"suffix":""},{"dropping-particle":"","family":"Marks","given":"Frank","non-dropping-particle":"","parse-names":false,"suffix":""},{"dropping-particle":"","family":"Murillo","given":"Shirley","non-dropping-particle":"","parse-names":false,"suffix":""},{"dropping-particle":"","family":"Powell","given":"Mark","non-dropping-particle":"","parse-names":false,"suffix":""},{"dropping-particle":"","family":"Reasor","given":"Paul","non-dropping-particle":"","parse-names":false,"suffix":""},{"dropping-particle":"","family":"Sellwood","given":"Kathryn","non-dropping-particle":"","parse-names":false,"suffix":""},{"dropping-particle":"","family":"Uhlhorn","given":"Eric","non-dropping-particle":"","parse-names":false,"suffix":""},{"dropping-particle":"","family":"Vukicevic","given":"Tomislava","non-dropping-particle":"","parse-names":false,"suffix":""},{"dropping-particle":"","family":"Zhang","given":"Jun","non-dropping-particle":"","parse-names":false,"suffix":""},{"dropping-particle":"","family":"Zhang","given":"Xuejin","non-dropping-particle":"","parse-names":false,"suffix":""}],"container-title":"Bulletin of the American Meteorological Society","id":"ITEM-2","issue":"6","issued":{"date-parts":[["2013"]]},"page":"859-882","title":"NOAA'S hurricane intensity forecasting experiment: A progress report","type":"article-journal","volume":"94"},"uris":["http://www.mendeley.com/documents/?uuid=7781a0e9-8f89-404c-a717-d583ffcc10e2"]}],"mendeley":{"formattedCitation":"(Rogers et al. 2006, 2013a)","plainTextFormattedCitation":"(Rogers et al. 2006, 2013a)","previouslyFormattedCitation":"(Rogers et al. 2006, 2013a)"},"properties":{"noteIndex":0},"schema":"https://github.com/citation-style-language/schema/raw/master/csl-citation.json"}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Pr="00FA14B9">
        <w:rPr>
          <w:rFonts w:ascii="Times New Roman" w:eastAsia="宋体" w:hAnsi="Times New Roman" w:cs="Times New Roman"/>
          <w:noProof/>
          <w:sz w:val="24"/>
          <w:szCs w:val="24"/>
        </w:rPr>
        <w:t>(Rogers et al. 2006, 2013a)</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 xml:space="preserve"> The different observations primarily focus on the inner-core structures of hurricanes</w:t>
      </w:r>
      <w:r w:rsidRPr="00FA14B9">
        <w:rPr>
          <w:rFonts w:ascii="Times New Roman" w:eastAsia="宋体" w:hAnsi="Times New Roman" w:cs="Times New Roman"/>
          <w:sz w:val="24"/>
          <w:szCs w:val="24"/>
        </w:rPr>
        <w:t xml:space="preserve"> at various levels.  For example, the SFMR samples only the surface, the FL observations are usually centered around 700 hPa to 800 hPa, and the TDR scans three-dimensional (3D) structures with the number of observations peaked around 900 hPa (e.g. Fig. </w:t>
      </w:r>
      <w:r w:rsidR="00082A4C">
        <w:rPr>
          <w:rFonts w:ascii="Times New Roman" w:eastAsia="宋体" w:hAnsi="Times New Roman" w:cs="Times New Roman"/>
          <w:sz w:val="24"/>
          <w:szCs w:val="24"/>
        </w:rPr>
        <w:t>5.</w:t>
      </w:r>
      <w:r w:rsidRPr="00FA14B9">
        <w:rPr>
          <w:rFonts w:ascii="Times New Roman" w:eastAsia="宋体" w:hAnsi="Times New Roman" w:cs="Times New Roman"/>
          <w:sz w:val="24"/>
          <w:szCs w:val="24"/>
        </w:rPr>
        <w:t xml:space="preserve">1c).  </w:t>
      </w:r>
    </w:p>
    <w:p w14:paraId="7987069F" w14:textId="77777777" w:rsidR="00666BD3" w:rsidRPr="00723DA9" w:rsidRDefault="00666BD3" w:rsidP="00666BD3">
      <w:pPr>
        <w:pStyle w:val="Captions"/>
        <w:spacing w:after="0"/>
        <w:rPr>
          <w:rFonts w:cs="Times New Roman"/>
        </w:rPr>
      </w:pPr>
    </w:p>
    <w:p w14:paraId="39A28B21" w14:textId="6BAACA6E" w:rsidR="00410356" w:rsidRPr="00723DA9" w:rsidRDefault="0010392C" w:rsidP="00E86356">
      <w:pPr>
        <w:pStyle w:val="Captions"/>
        <w:spacing w:after="0" w:line="360" w:lineRule="auto"/>
        <w:rPr>
          <w:rFonts w:cs="Times New Roman"/>
        </w:rPr>
      </w:pPr>
      <w:r w:rsidRPr="00723DA9">
        <w:rPr>
          <w:rFonts w:eastAsia="宋体" w:cs="Times New Roman"/>
          <w:noProof/>
          <w:sz w:val="24"/>
          <w:szCs w:val="24"/>
        </w:rPr>
        <w:lastRenderedPageBreak/>
        <w:drawing>
          <wp:inline distT="0" distB="0" distL="0" distR="0" wp14:anchorId="1224D2B4" wp14:editId="396FD24A">
            <wp:extent cx="5943600" cy="1975485"/>
            <wp:effectExtent l="0" t="0" r="0" b="5715"/>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1975485"/>
                    </a:xfrm>
                    <a:prstGeom prst="rect">
                      <a:avLst/>
                    </a:prstGeom>
                    <a:noFill/>
                    <a:ln>
                      <a:noFill/>
                    </a:ln>
                  </pic:spPr>
                </pic:pic>
              </a:graphicData>
            </a:graphic>
          </wp:inline>
        </w:drawing>
      </w:r>
    </w:p>
    <w:p w14:paraId="761AE431" w14:textId="55B6C54D" w:rsidR="008733AD" w:rsidRPr="00723DA9" w:rsidRDefault="00410356" w:rsidP="00E86356">
      <w:pPr>
        <w:pStyle w:val="Captions"/>
        <w:spacing w:after="0"/>
        <w:rPr>
          <w:rFonts w:cs="Times New Roman"/>
        </w:rPr>
      </w:pPr>
      <w:bookmarkStart w:id="202" w:name="_Toc21624052"/>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w:t>
      </w:r>
      <w:r w:rsidR="00771F99" w:rsidRPr="00723DA9">
        <w:rPr>
          <w:rFonts w:cs="Times New Roman"/>
          <w:noProof/>
        </w:rPr>
        <w:fldChar w:fldCharType="end"/>
      </w:r>
      <w:r w:rsidR="008733AD" w:rsidRPr="00723DA9">
        <w:rPr>
          <w:rFonts w:cs="Times New Roman"/>
        </w:rPr>
        <w:t xml:space="preserve"> An example of the (a) Temporal, (b) horizontal and (c) vertical distribution of the observations. (b) and (c) are the wind observations assimilated in the innermost domain valid at 1800 UTC 22 Oct 2015 during Patricia. </w:t>
      </w:r>
      <w:r w:rsidR="00111E94" w:rsidRPr="00723DA9">
        <w:rPr>
          <w:rFonts w:cs="Times New Roman"/>
        </w:rPr>
        <w:t xml:space="preserve"> </w:t>
      </w:r>
      <w:r w:rsidR="008733AD" w:rsidRPr="00723DA9">
        <w:rPr>
          <w:rFonts w:cs="Times New Roman"/>
        </w:rPr>
        <w:t xml:space="preserve">Best is short for the best track data form NHC. </w:t>
      </w:r>
      <w:r w:rsidR="00111E94" w:rsidRPr="00723DA9">
        <w:rPr>
          <w:rFonts w:cs="Times New Roman"/>
        </w:rPr>
        <w:t xml:space="preserve"> Note, the x-axis in Fig. 5.1c is in log space.</w:t>
      </w:r>
      <w:bookmarkEnd w:id="202"/>
    </w:p>
    <w:p w14:paraId="3774EF35" w14:textId="77777777" w:rsidR="008733AD" w:rsidRPr="00723DA9" w:rsidRDefault="008733AD" w:rsidP="00E86356">
      <w:pPr>
        <w:spacing w:after="0" w:line="240" w:lineRule="auto"/>
        <w:rPr>
          <w:rStyle w:val="CaptionsChar"/>
          <w:rFonts w:cs="Times New Roman"/>
        </w:rPr>
      </w:pPr>
    </w:p>
    <w:p w14:paraId="1461EACB" w14:textId="742989EE" w:rsidR="00441EFB" w:rsidRPr="00D117D6" w:rsidRDefault="00441EFB" w:rsidP="00441EFB">
      <w:pPr>
        <w:spacing w:line="480" w:lineRule="auto"/>
        <w:ind w:firstLine="432"/>
        <w:rPr>
          <w:rFonts w:ascii="Times New Roman" w:eastAsia="宋体" w:hAnsi="Times New Roman" w:cs="Times New Roman"/>
          <w:sz w:val="24"/>
          <w:szCs w:val="24"/>
        </w:rPr>
      </w:pPr>
      <w:r w:rsidRPr="00FA14B9">
        <w:rPr>
          <w:rFonts w:ascii="Times New Roman" w:eastAsia="宋体" w:hAnsi="Times New Roman" w:cs="Times New Roman"/>
          <w:sz w:val="24"/>
          <w:szCs w:val="24"/>
        </w:rPr>
        <w:t xml:space="preserve">These observations collected from the IFEX field campaign have been widely used in hurricane research for decades.  For instance, the SFMR wind observations are commonly used to validate or estimate the maximum surface wind speed (Vmax) for hurricanes (e.g.: </w:t>
      </w:r>
      <w:r w:rsidRPr="00EB6086">
        <w:rPr>
          <w:rFonts w:ascii="Times New Roman" w:hAnsi="Times New Roman" w:cs="Times New Roman"/>
          <w:sz w:val="24"/>
          <w:szCs w:val="24"/>
        </w:rPr>
        <w:fldChar w:fldCharType="begin" w:fldLock="1"/>
      </w:r>
      <w:r w:rsidRPr="00FA14B9">
        <w:rPr>
          <w:rFonts w:ascii="Times New Roman" w:eastAsia="宋体" w:hAnsi="Times New Roman" w:cs="Times New Roman"/>
          <w:sz w:val="24"/>
          <w:szCs w:val="24"/>
        </w:rPr>
        <w:instrText xml:space="preserve">ADDIN CSL_CITATION {"citationItems":[{"id":"ITEM-1","itemData":{"author":[{"dropping-particle":"","family":"Uhlhorn","given":"Eric W","non-dropping-particle":"","parse-names":false,"suffix":""},{"dropping-particle":"","family":"Black","given":"Peter G","non-dropping-particle":"","parse-names":false,"suffix":""}],"container-title":"Journal of Atmospheric and Oceanic Technology","id":"ITEM-1","issue":"1981","issued":{"date-parts":[["2003"]]},"page":"99-116","title":"Verification of Remotely Sensed Sea Surface Winds in Hurricanes","type":"article-journal","volume":"20"},"uris":["http://www.mendeley.com/documents/?uuid=ba0fa343-0de1-4e83-8094-ec91b5d27e2b"]},{"id":"ITEM-2","itemData":{"DOI":"10.1175/MWR3454.1","ISSN":"0027-0644","abstract":"For the first time, the NOAA/Aircraft Operations Center (AOC) flew stepped frequency microwave radiometers (SFMRs) on both WP-3D research aircraft for operational hurricane surface wind speed measurement in 2005. An unprecedented number of major hurricanes provided ample data to evaluate both instrument performance and surface wind speed retrieval quality up to 70 m s−1 (Saffir–Simpson category 5). To this end, a new microwave emissivity–wind speed model function based on estimates of near-surface winds in hurricanes by global positioning system (GPS) dropwindsondes is proposed. For practical purposes, utilizing this function removes a previously documented high bias in moderate SFMR-measured wind speeds (10–50 m s−1), and additionally corrects an extreme wind speed ({&gt;}60 m s−1) underestimate. The AOC operational SFMRs yield retrievals that are precise to within </w:instrText>
      </w:r>
      <w:r w:rsidRPr="00FA14B9">
        <w:rPr>
          <w:rFonts w:ascii="Cambria Math" w:eastAsia="宋体" w:hAnsi="Cambria Math" w:cs="Cambria Math" w:hint="eastAsia"/>
          <w:sz w:val="24"/>
          <w:szCs w:val="24"/>
        </w:rPr>
        <w:instrText>∼</w:instrText>
      </w:r>
      <w:r w:rsidRPr="00FA14B9">
        <w:rPr>
          <w:rFonts w:ascii="Times New Roman" w:eastAsia="宋体" w:hAnsi="Times New Roman" w:cs="Times New Roman"/>
          <w:sz w:val="24"/>
          <w:szCs w:val="24"/>
        </w:rPr>
        <w:instrText xml:space="preserve">2% at 30 m s−1, which is a factor of 2 improvement over the NOAA Hurricane Research Division’s SFMR, and comparable to the precision found here for GPS dropwindsonde near-surface wind speeds. A small (1.6 m s−1), but statistically significant, overall high bias was found for independent SFMR measurements utilizing emissivity data not used for model function development. Across the range of measured wind speeds (10–70 m s−1), SFMR 10-s averaged wind speeds are within 4 m s−1 (rms) of the dropwindsonde near-surface estimate, or 5%–25% depending on speed. However, an analysis of eyewall peak wind speeds indicates an overall 2.6 m s−1 GPS low bias relative to the peak SFMR estimate on the same flight leg, suggesting a real increase in the maximum wind speed estimate due to SFMR’s high-density sampling. Through a series of statistical tests, the SFMR is shown to reduce the overall bias in the peak surface wind speed estimate by </w:instrText>
      </w:r>
      <w:r w:rsidRPr="00FA14B9">
        <w:rPr>
          <w:rFonts w:ascii="Cambria Math" w:eastAsia="宋体" w:hAnsi="Cambria Math" w:cs="Cambria Math" w:hint="eastAsia"/>
          <w:sz w:val="24"/>
          <w:szCs w:val="24"/>
        </w:rPr>
        <w:instrText>∼</w:instrText>
      </w:r>
      <w:r w:rsidRPr="00FA14B9">
        <w:rPr>
          <w:rFonts w:ascii="Times New Roman" w:eastAsia="宋体" w:hAnsi="Times New Roman" w:cs="Times New Roman"/>
          <w:sz w:val="24"/>
          <w:szCs w:val="24"/>
        </w:rPr>
        <w:instrText>50% over the current flight-level wind reduction method and is comparable at extreme wind speeds. The updated model function is demonstrated to behave differently below and above the hurricane wind speed threshold (</w:instrText>
      </w:r>
      <w:r w:rsidRPr="00FA14B9">
        <w:rPr>
          <w:rFonts w:ascii="Cambria Math" w:eastAsia="宋体" w:hAnsi="Cambria Math" w:cs="Cambria Math" w:hint="eastAsia"/>
          <w:sz w:val="24"/>
          <w:szCs w:val="24"/>
        </w:rPr>
        <w:instrText>∼</w:instrText>
      </w:r>
      <w:r w:rsidRPr="00FA14B9">
        <w:rPr>
          <w:rFonts w:ascii="Times New Roman" w:eastAsia="宋体" w:hAnsi="Times New Roman" w:cs="Times New Roman"/>
          <w:sz w:val="24"/>
          <w:szCs w:val="24"/>
        </w:rPr>
        <w:instrText xml:space="preserve">32 m s−1), which may have implications for air–sea momentum and kinetic energy exchange. The change in behavior is at least qualitatively consistent with recent laboratory and field results concerning the drag coefficient in high wind speed conditions, which show a fairly clear “leveling off” of the drag coefficient with increased wind speed above </w:instrText>
      </w:r>
      <w:r w:rsidRPr="00FA14B9">
        <w:rPr>
          <w:rFonts w:ascii="Cambria Math" w:eastAsia="宋体" w:hAnsi="Cambria Math" w:cs="Cambria Math" w:hint="eastAsia"/>
          <w:sz w:val="24"/>
          <w:szCs w:val="24"/>
        </w:rPr>
        <w:instrText>∼</w:instrText>
      </w:r>
      <w:r w:rsidRPr="00FA14B9">
        <w:rPr>
          <w:rFonts w:ascii="Times New Roman" w:eastAsia="宋体" w:hAnsi="Times New Roman" w:cs="Times New Roman"/>
          <w:sz w:val="24"/>
          <w:szCs w:val="24"/>
        </w:rPr>
        <w:instrText>30 m s−1. Finally, a composite analysis of historical data indicates that the earth-relative SFMR peak wind speed i…","author":[{"dropping-particle":"","family":"Uhlhorn","given":"Eric W","non-dropping-particle":"","parse-names":false,"suffix":""},{"dropping-particle":"","family":"Black","given":"Peter G","non-dropping-particle":"","parse-names":false,"suffix":""},{"dropping-particle":"","family":"Franklin","given":"James L","non-dropping-particle":"","parse-names":false,"suffix":""},{"dropping-particle":"","family":"Goodberlet","given":"Mark","non-dropping-particle":"","parse-names":false,"suffix":""},{"dropping-particle":"","family":"Carswell","given":"James","non-dropping-particle":"","parse-names":false,"suffix":""},{"dropping-particle":"","family":"Goldstein","given":"Alan S","non-dropping-particle":"","parse-names":false,"suffix":""}],"container-title":"Monthly Weather Review","id":"ITEM-2","issue":"9","issued":{"date-parts":[["2007"]]},"page":"3070-3085","title":"Hurricane Surface Wind Measurements from an Operational Stepped Frequency Microwave Radiometer","type":"article-journal","volume":"135"},"uris":["http://www.mendeley.com/documents/?uuid=87d0be5b-7c49-4bd1-9d35-95ee910fb97c"]},{"id":"ITEM-3","itemData":{"DOI":"10.1175/2008WAF2007087.1","author":[{"dropping-particle":"","family":"Powell","given":"Mark D.","non-dropping-particle":"","parse-names":false,"suffix":""},{"dropping-particle":"","family":"Uhlhorn","given":"Eric W.","non-dropping-particle":"","parse-names":false,"suffix":""},{"dropping-particle":"","family":"Kepert","given":"Jeffery D.","non-dropping-particle":"","parse-names":false,"suffix":""}],"container-title":"Weather and Forecasting","id":"ITEM-3","issued":{"date-parts":[["2009"]]},"page":"868-883","title":"Estimating Maximum Surface Winds from Hurricane Reconnaissance Measurements","type":"article-journal","volume":"24"},"uris":["http://www.mendeley.com/documents/?uuid=e9c0354c-8ab9-4ec3-8fab-e59b2c7bc150"]},{"id":"ITEM-4","itemData":{"DOI":"10.1175/2011MWR3602.1","ISBN":"0027-0644","ISSN":"0027-0644","abstract":"Through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Review","id":"ITEM-4","issue":"3","issued":{"date-parts":[["2012"]]},"page":"841-859","title":"Assimilating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(2005)","type":"article-journal","volume":"140"},"uris":["http://www.mendeley.com/documents/?uuid=9c276441-a30a-4c8f-a760-f5a89a55b497"]}],"mendeley":{"formattedCitation":"(Uhlhorn and Black 2003; Uhlhorn et al. 2007; Powell et al. 2009; Weng and Zhang 2012)","manualFormatting":"Uhlhorn and Black 2003; Uhlhorn et al. 2007; Powell et al. 2009; Weng and Zhang 2012)","plainTextFormattedCitation":"(Uhlhorn and Black 2003; Uhlhorn et al. 2007; Powell et al. 2009; Weng and Zhang 2012)","previouslyFormattedCitation":"(Uhlhorn and Black 2003; Uhlhorn et al. 2007; Powell et al. 2009; Weng and Zhang 2012)"},"properties":{"noteIndex":0},"schema":"https://github.com/citation-style-language/schema/raw/master/csl-citation.json"}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Pr="00FA14B9">
        <w:rPr>
          <w:rFonts w:ascii="Times New Roman" w:eastAsia="宋体" w:hAnsi="Times New Roman" w:cs="Times New Roman"/>
          <w:noProof/>
          <w:sz w:val="24"/>
          <w:szCs w:val="24"/>
        </w:rPr>
        <w:t>Uhlhorn and Black 2003; Uhlhorn et al. 2007; Powell et al. 2009; Weng and Zhang 2012)</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 xml:space="preserve">The FL observations </w:t>
      </w:r>
      <w:r w:rsidRPr="00FA14B9">
        <w:rPr>
          <w:rFonts w:ascii="Times New Roman" w:eastAsia="宋体" w:hAnsi="Times New Roman" w:cs="Times New Roman"/>
          <w:sz w:val="24"/>
          <w:szCs w:val="24"/>
        </w:rPr>
        <w:t xml:space="preserve">are often used for the estimation of TC center and the validation of simulated TC inner-core structure </w:t>
      </w:r>
      <w:r w:rsidRPr="00D117D6">
        <w:rPr>
          <w:rFonts w:ascii="Times New Roman" w:eastAsia="宋体" w:hAnsi="Times New Roman" w:cs="Times New Roman"/>
          <w:sz w:val="24"/>
          <w:szCs w:val="24"/>
        </w:rPr>
        <w:fldChar w:fldCharType="begin" w:fldLock="1"/>
      </w:r>
      <w:r w:rsidR="007D0875">
        <w:rPr>
          <w:rFonts w:ascii="Times New Roman" w:eastAsia="宋体" w:hAnsi="Times New Roman" w:cs="Times New Roman"/>
          <w:sz w:val="24"/>
          <w:szCs w:val="24"/>
        </w:rPr>
        <w:instrText>ADDIN CSL_CITATION {"citationItems":[{"id":"ITEM-1","itemData":{"DOI":"Doi 10.1175/Mwr-D-12-00194.1","ISBN":"0027-0644","ISSN":"0027-0644","abstract":"The Hurricane Weather Research and Forecasting (HWRF) Ensemble Data Assimilation System (HEDAS) is developed to assimilate tropical cyclone inner-core observations for high-resolution vortex initialization. It is based on a serial implementation of the square root ensemble Kalman filter (EnKF). In this study, HWRF is used in an experimental configuration with horizontal grid spacing of 9 (3) km on the outer (inner) domain. HEDAS is applied to 83 cases from years 2008 to 2011. With the exception of two Hurricane Hilary (2011) cases in the eastern North Pacific basin, all cases are observed in the Atlantic basin. Observed storm intensity for these cases ranges from tropical depression to category-4 hurricane. Overall, it is found that high-resolution tropical cyclone observations, when assimilated with an advanced data assimilation technique such as the EnKF, result in analyses of the primary circulation that are realistic in terms of intensity, wavenumber-0 radial structure, as well as wavenumber-1 azimuthal structure. Representing the secondary circulation in the analyses is found to be more challenging with systematic errors in the magnitude and depth of the low-level radial inflow. This is believed to result from a model bias in the experimental HWRF caused by the overdiffusive nature of the planetary boundary layer parameterization utilized. Thermodynamic deviations from the observed structure are believed to be caused by both an imbalance between the number of the kinematic and thermodynamic observations in general and the suboptimal ensemble covariances between kinematic and thermodynamic fields. Future plans are discussed to address these challenges.","author":[{"dropping-particle":"","family":"Aksoy","given":"a","non-dropping-particle":"","parse-names":false,"suffix":""},{"dropping-particle":"","family":"Aberson","given":"S D","non-dropping-particle":"","parse-names":false,"suffix":""},{"dropping-particle":"","family":"Vukicevic","given":"T","non-dropping-particle":"","parse-names":false,"suffix":""},{"dropping-particle":"","family":"Sellwood","given":"K J","non-dropping-particle":"","parse-names":false,"suffix":""},{"dropping-particle":"","family":"Lorsolo","given":"S","non-dropping-particle":"","parse-names":false,"suffix":""},{"dropping-particle":"","family":"Zhang","given":"X J","non-dropping-particle":"","parse-names":false,"suffix":""}],"container-title":"Monthly Weather Review","id":"ITEM-1","issue":"6","issued":{"date-parts":[["2013"]]},"page":"1842-1865","title":"Assimilation of High-Resolution Tropical Cyclone Observations with an Ensemble Kalman Filter Using NOAA/AOML/HRD's HEDAS: Evaluation of the 2008-11 Vortex-Scale Analyses","type":"article-journal","volume":"141"},"uris":["http://www.mendeley.com/documents/?uuid=dadd0527-a3c7-4bfb-9481-e1798e142e70"]},{"id":"ITEM-2","itemData":{"DOI":"10.1029/2008GL034774","ISSN":"0094-8276","author":[{"dropping-particle":"","family":"Rogers","given":"Robert","non-dropping-particle":"","parse-names":false,"suffix":""},{"dropping-particle":"","family":"Uhlhorn","given":"Eric","non-dropping-particle":"","parse-names":false,"suffix":""}],"container-title":"Geophysical Research Letters","id":"ITEM-2","issue":"22","issued":{"date-parts":[["2008","11","26"]]},"page":"L22811","title":"Observations of the structure and evolution of surface and flight-level wind asymmetries in Hurricane Rita (2005)","type":"article-journal","volume":"35"},"uris":["http://www.mendeley.com/documents/?uuid=c21cd88b-4459-3e66-87e1-961d8cc5e94a"]},{"id":"ITEM-3","itemData":{"author":[{"dropping-particle":"","family":"Willoughby","given":"Hugh E.","non-dropping-particle":"","parse-names":false,"suffix":""},{"dropping-particle":"","family":"Chelmow","given":"Marcy B.","non-dropping-particle":"","parse-names":false,"suffix":""}],"container-title":"Monthly Weather Review","id":"ITEM-3","issued":{"date-parts":[["1982"]]},"note":"NULL","page":"1298-1305","title":"Objective Determination of Hurricane Tracks from Aircraft Observations","type":"article-journal","volume":"110"},"uris":["http://www.mendeley.com/documents/?uuid=05467364-1e0f-4dea-b0fe-cbae0c91e7dd"]},{"id":"ITEM-4","itemData":{"DOI":"10.1175/MWR2831.1","ISSN":"0027-0644","abstract":"Although numerical models are essential to hurricane forecasting,\\nmany other applications require only statistical depiction of the\\nwind distribution. In Holland's 1980 parametric profile, radius of\\nmaximum wind, maximum wind, and a measure of the profile width describe\\nthe radial variation of the axisymmetric wind. Variants of the Holland\\nprofile are used to predict insurance underwriting risk, ocean response,\\nand storm-surge inundation. Since these calculations guide high-stakes\\nfinancial and emergency managment decisions, it is logical to test\\nthem against observations. The Hurricane Research Division's flight-level\\ndatabase archives observations were obtained by NOAA and U.S. Air\\nForce Reserve aircraft. The data considered here are winds and geopotential\\nheights observed during 606 lower- and midtropospheric flights into\\nAtlantic and eastern Pacific tropical cyclones during 1977–2000.\\nThe 493 profiles that meet quality control criteria are seasonally\\ngeographically representative. Least squares fits of the Holland\\nmodel to these data provide evaluation of the parameters' distributions\\nand critical examination of the profile's realism. Individual fitted\\nprofiles differ from the observations in a consistent pattern. The\\nareas of strong winds in the eyewall and of nearly calm winds at\\nthe vortex center are too wide. Beyond 2 or 3 times the eye radius,\\nthe wind decreases too rapidly with distance from the center. Although\\nthe average bias in fitted profiles is &lt;1 m s-1, the root-mean-square\\nerror is 4.2 m s-1 (5.2 m s-1 for independent data). Maximum winds\\nestimated from the fitted Holland-profile height–wind relation\\naverage 2.5 m s-1 too strong with an rms error of 6.5 m s-1. The\\npattern of too strong wind spread over too much real estate exaggerates\\nthe occurrence of winds stronger than 50 m s-1 by ~50%.","author":[{"dropping-particle":"","family":"Willoughby","given":"H. E.","non-dropping-particle":"","parse-names":false,"suffix":""},{"dropping-particle":"","family":"Rahn","given":"M. E.","non-dropping-particle":"","parse-names":false,"suffix":""}],"container-title":"Monthly Weather Review","id":"ITEM-4","issue":"12","issued":{"date-parts":[["2004"]]},"page":"3033-3048","title":"Parametric Representation of the Primary Hurricane Vortex. Part I: Observations and Evaluation of the Holland (1980) Model","type":"article-journal","volume":"132"},"uris":["http://www.mendeley.com/documents/?uuid=29595b01-c460-4a5e-a57f-61b574191d7d"]},{"id":"ITEM-5","itemData":{"DOI":"10.1175/WAF-D-11-00001.1","ISSN":"0882-8156","abstract":"In this study, a 72-h cloud-permitting numerical prediction of Hurricane\\nWilma (2005), covering its initial 18-h spinup, an 18-h rapid intensification\\n(RI), and the subsequent 36-h weakening stage, is performed using\\nthe Weather Research Forecast Model (WRF) with the finest grid length\\nof 1 km. The model prediction uses the initial and lateral boundary\\nconditions, including the bogus vortex, that are identical to the\\nGeophysical Fluid Dynamics Laboratory</w:instrText>
      </w:r>
      <w:r w:rsidR="007D0875">
        <w:rPr>
          <w:rFonts w:ascii="Tahoma" w:eastAsia="宋体" w:hAnsi="Tahoma" w:cs="Tahoma"/>
          <w:sz w:val="24"/>
          <w:szCs w:val="24"/>
        </w:rPr>
        <w:instrText>�</w:instrText>
      </w:r>
      <w:r w:rsidR="007D0875">
        <w:rPr>
          <w:rFonts w:ascii="Times New Roman" w:eastAsia="宋体" w:hAnsi="Times New Roman" w:cs="Times New Roman"/>
          <w:sz w:val="24"/>
          <w:szCs w:val="24"/>
        </w:rPr>
        <w:instrText>fs then-operational data, except\\nfor the time-independent sea surface temperature field. Results show\\nthat the WRF prediction compares favorably in many aspects to the\\nbest-track analysis, as well as satellite and reconnaissance flight-level\\nobservations. In particular, the model predicts an RI rate of more\\nthan 4 hPa h</w:instrText>
      </w:r>
      <w:r w:rsidR="007D0875">
        <w:rPr>
          <w:rFonts w:ascii="Tahoma" w:eastAsia="宋体" w:hAnsi="Tahoma" w:cs="Tahoma"/>
          <w:sz w:val="24"/>
          <w:szCs w:val="24"/>
        </w:rPr>
        <w:instrText>�</w:instrText>
      </w:r>
      <w:r w:rsidR="007D0875">
        <w:rPr>
          <w:rFonts w:ascii="Times New Roman" w:eastAsia="宋体" w:hAnsi="Times New Roman" w:cs="Times New Roman"/>
          <w:sz w:val="24"/>
          <w:szCs w:val="24"/>
        </w:rPr>
        <w:instrText>|1 for an 18-h period, with the minimum central pressure\\nof less than 889 hPa. Of significance is that the model captures\\na sequence of important inner-core structural variations associated\\nwith Wilma</w:instrText>
      </w:r>
      <w:r w:rsidR="007D0875">
        <w:rPr>
          <w:rFonts w:ascii="Tahoma" w:eastAsia="宋体" w:hAnsi="Tahoma" w:cs="Tahoma"/>
          <w:sz w:val="24"/>
          <w:szCs w:val="24"/>
        </w:rPr>
        <w:instrText>�</w:instrText>
      </w:r>
      <w:r w:rsidR="007D0875">
        <w:rPr>
          <w:rFonts w:ascii="Times New Roman" w:eastAsia="宋体" w:hAnsi="Times New Roman" w:cs="Times New Roman"/>
          <w:sz w:val="24"/>
          <w:szCs w:val="24"/>
        </w:rPr>
        <w:instrText>fs intensity changes, namely, from a partial eyewall open\\nto the west prior to RI to a full eyewall at the onset of RI, rapid\\neyewall contraction during the initial spinup, the formation of double\\neyewalls with a wide moat area in between during the most intense\\nstage, and the subsequent eyewall replacement leading to the weakening\\nof Wilma. In addition, the model reproduces the boundary layer growth\\nup to 750 hPa with an intense inversion layer above in the eye. Recognizing\\nthat a single case does not provide a rigorous test of the model\\npredictability due to the stochastic nature of deep convection, results\\npresented herein suggest that it is possible to improve forecasts\\nof hurricane intensity and intensity changes, and especially RI,\\nif the inner-core structural changes and storm size could be reasonably\\npredicted in an operational setting using high-resolution cloud-permitting\\nmodels with realistic initial conditions and model physical parameterizations.","author":[{"dropping-particle":"","family":"Chen","given":"Hua","non-dropping-particle":"","parse-names":false,"suffix":""},{"dropping-particle":"","family":"Zhang","given":"Da-Lin","non-dropping-particle":"","parse-names":false,"suffix":""},{"dropping-particle":"","family":"Carton","given":"James","non-dropping-particle":"","parse-names":false,"suffix":""},{"dropping-particle":"","family":"Atlas","given":"Robert","non-dropping-particle":"","parse-names":false,"suffix":""}],"container-title":"Weather and Forecasting","id":"ITEM-5","issue":"6","issued":{"date-parts":[["2011"]]},"page":"885-901","title":"On the Rapid Intensification of Hurricane Wilma (2005). Part I: Model Prediction and Structural Changes","type":"article-journal","volume":"26"},"uris":["http://www.mendeley.com/documents/?uuid=46b578ba-78af-4080-b62b-0ae9fc843d73"]}],"mendeley":{"formattedCitation":"(Aksoy et al. 2013; Rogers and Uhlhorn 2008b; Willoughby and Chelmow 1982; Willoughby and Rahn 2004; Chen et al. 2011)","plainTextFormattedCitation":"(Aksoy et al. 2013; Rogers and Uhlhorn 2008b; Willoughby and Chelmow 1982; Willoughby and Rahn 2004; Chen et al. 2011)","previouslyFormattedCitation":"(Aksoy et al. 2013; Rogers and Uhlhorn 2008b; Willoughby and Chelmow 1982; Willoughby and Rahn 2004; Chen et al. 2011)"},"properties":{"noteIndex":0},"schema":"https://github.com/citation-style-language/schema/raw/master/csl-citation.json"}</w:instrText>
      </w:r>
      <w:r w:rsidRPr="00D117D6">
        <w:rPr>
          <w:rFonts w:ascii="Times New Roman" w:eastAsia="宋体" w:hAnsi="Times New Roman" w:cs="Times New Roman"/>
          <w:sz w:val="24"/>
          <w:szCs w:val="24"/>
        </w:rPr>
        <w:fldChar w:fldCharType="separate"/>
      </w:r>
      <w:r w:rsidR="003F0ED0" w:rsidRPr="003F0ED0">
        <w:rPr>
          <w:rFonts w:ascii="Times New Roman" w:eastAsia="宋体" w:hAnsi="Times New Roman" w:cs="Times New Roman"/>
          <w:noProof/>
          <w:sz w:val="24"/>
          <w:szCs w:val="24"/>
        </w:rPr>
        <w:t>(Aksoy et al. 2013; Rogers and Uhlhorn 2008b; Willoughby and Chelmow 1982; Willoughby and Rahn 2004; Chen et al. 2011)</w:t>
      </w:r>
      <w:r w:rsidRPr="00D117D6">
        <w:rPr>
          <w:rFonts w:ascii="Times New Roman" w:eastAsia="宋体" w:hAnsi="Times New Roman" w:cs="Times New Roman"/>
          <w:sz w:val="24"/>
          <w:szCs w:val="24"/>
        </w:rPr>
        <w:fldChar w:fldCharType="end"/>
      </w:r>
      <w:r w:rsidRPr="00FA14B9">
        <w:rPr>
          <w:rFonts w:ascii="Times New Roman" w:eastAsia="宋体" w:hAnsi="Times New Roman" w:cs="Times New Roman"/>
          <w:sz w:val="24"/>
          <w:szCs w:val="24"/>
        </w:rPr>
        <w:t>.</w:t>
      </w:r>
      <w:r w:rsidRPr="00D117D6">
        <w:rPr>
          <w:rFonts w:ascii="Times New Roman" w:eastAsia="宋体" w:hAnsi="Times New Roman" w:cs="Times New Roman"/>
          <w:sz w:val="24"/>
          <w:szCs w:val="24"/>
        </w:rPr>
        <w:t xml:space="preserve">  The TDR radial velocity observations are </w:t>
      </w:r>
      <w:r w:rsidRPr="00FA14B9">
        <w:rPr>
          <w:rFonts w:ascii="Times New Roman" w:eastAsia="宋体" w:hAnsi="Times New Roman" w:cs="Times New Roman"/>
          <w:sz w:val="24"/>
          <w:szCs w:val="24"/>
        </w:rPr>
        <w:t>extensively used for hurricane inner-core data assimilation (DA), and extensive studies have demonstrated the potential of high-resolution inner-core observations in improving high-resolution hurricane predictions using advanced DA methods (</w:t>
      </w:r>
      <w:r w:rsidRPr="00EB6086">
        <w:rPr>
          <w:rFonts w:ascii="Times New Roman" w:hAnsi="Times New Roman" w:cs="Times New Roman"/>
          <w:sz w:val="24"/>
          <w:szCs w:val="24"/>
        </w:rPr>
        <w:fldChar w:fldCharType="begin" w:fldLock="1"/>
      </w:r>
      <w:r w:rsidR="007D0875">
        <w:rPr>
          <w:rFonts w:ascii="Times New Roman" w:eastAsia="宋体" w:hAnsi="Times New Roman" w:cs="Times New Roman"/>
          <w:sz w:val="24"/>
          <w:szCs w:val="24"/>
        </w:rPr>
        <w:instrText>ADDIN CSL_CITATION {"citationItems":[{"id":"ITEM-1","itemData":{"DOI":"10.1175/2009MWR2645.1","ISBN":"0027-0644","ISSN":"0027-0644","abstract":"This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 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author":[{"dropping-particle":"","family":"Zhang","given":"Fuqing","non-dropping-particle":"","parse-names":false,"suffix":""},{"dropping-particle":"","family":"Weng","given":"Yonghui","non-dropping-particle":"","parse-names":false,"suffix":""},{"dropping-particle":"","family":"Sippel","given":"Jason a.","non-dropping-particle":"","parse-names":false,"suffix":""},{"dropping-particle":"","family":"Meng","given":"Zhiyong","non-dropping-particle":"","parse-names":false,"suffix":""},{"dropping-particle":"","family":"Bishop","given":"Craig H.","non-dropping-particle":"","parse-names":false,"suffix":""}],"container-title":"Monthly Weather Review","id":"ITEM-1","issue":"7","issued":{"date-parts":[["2009"]]},"page":"2105-2125","title":"Cloud-Resolving Hurricane Initialization and Prediction through Assimilation of Doppler Radar Observations with an Ensemble Kalman Filter","type":"article-journal","volume":"137"},"uris":["http://www.mendeley.com/documents/?uuid=8ad10eaa-db6f-4beb-9c8d-77cec7153fa1"]},{"id":"ITEM-2","itemData":{"DOI":"10.1029/2011GL048469","ISBN":"00948276","ISSN":"00948276","abstract":"This study examines a hurricane prediction system that uses an ensemble\\nKalman filter (EnKF) to assimilate high-resolution airborne radar\\nobservations for convection-permitting hurricane initialization and\\nforecasting. This system demonstrated very promising performance,\\nespecially on hurricane intensity forecasts, through experiments\\nover all 61 applicable NOAA P-3 airborne Doppler missions during\\nthe 2008-2010 Atlantic hurricane seasons. The mean absolute intensity\\nforecast errors initialized with the EnKF-analysis of the airborne\\nDoppler observations at the 24- to 120-h lead forecast times were\\n20-40% lower than the National Hurricane Center's official forecasts\\nissued at similar times. This prototype system was first implemented\\nin real-time for Hurricane Ike (2008). It represents the first time\\nthat airborne Doppler radar observations were successfully assimilated\\nin real-time into a hurricane prediction model. It also represents\\nthe first time that the convection-permitting ensemble analyses and\\nforecasts for hurricanes were performed in real-time. Also unprecedented\\nwas the on-demand usage of more than 23,000 computer cluster processors\\nsimultaneously in real-time.","author":[{"dropping-particle":"","family":"Zhang","given":"Fuqing","non-dropping-particle":"","parse-names":false,"suffix":""},{"dropping-particle":"","family":"Weng","given":"Yonghui","non-dropping-particle":"","parse-names":false,"suffix":""},{"dropping-particle":"","family":"Gamache","given":"John F.","non-dropping-particle":"","parse-names":false,"suffix":""},{"dropping-particle":"","family":"Marks","given":"Frank D.","non-dropping-particle":"","parse-names":false,"suffix":""}],"container-title":"Geophysical Research Letters","id":"ITEM-2","issue":"15","issued":{"date-parts":[["2011"]]},"page":"2-7","title":"Performance of convection-permitting hurricane initialization and prediction during 2008-2010 with ensemble data assimilation of inner-core airborne Doppler radar observations","type":"article-journal","volume":"38"},"uris":["http://www.mendeley.com/documents/?uuid=49d51ce5-38fd-4912-aac8-90ced5dff4af"]},{"id":"ITEM-3","itemData":{"DOI":"10.1175/2011MWR3602.1","ISBN":"0027-0644","ISSN":"0027-0644","abstract":"Through a Weather Research and Forecasting model (WRF)-based ensemble Kalman filter (EnKF) data assimilation system, the impact of assimilating airborne radar observations for the convection-permitting analysis and prediction of Hurricane Katrina (2005) is examined in this study. A forecast initialized from EnKF analyses of airborne radar observations had substantially smaller hurricane track forecast errors than NOAA's operational forecasts and a control forecast initialized from NCEP analysis data for lead times up to 120 h. Verifications against independent in situ and remotely sensed observations show that EnKF analyses successfully depict the inner-core structure of the hurricane vortex in terms of both dynamic (wind) and thermodynamic (temperature and moisture) fields. In addition to the improved analyses and deterministic forecast, an ensemble of forecasts initiated from the EnKF analyses also provided forecast uncertainty estimates for the hurricane track and intensity. Also documented here are the details of a series of data thinning and quality control procedures that were developed to generate superobservations from large volumes of airborne radial velocity measurements. These procedures have since been implemented operationally on the NOAA hurricane reconnaissance aircraft that allows for more efficient real-time transmission of airborne radar observations to the ground.","author":[{"dropping-particle":"","family":"Weng","given":"Yonghui","non-dropping-particle":"","parse-names":false,"suffix":""},{"dropping-particle":"","family":"Zhang","given":"Fuqing","non-dropping-particle":"","parse-names":false,"suffix":""}],"container-title":"Monthly Weather Review","id":"ITEM-3","issue":"3","issued":{"date-parts":[["2012"]]},"page":"841-859","title":"Assimilating Airborne Doppler Radar Observations with an Ensemble Kalman Filter for Convection-Permitting Hurricane Initialization and Prediction: Katrina (2005)","type":"article-journal","volume":"140"},"uris":["http://www.mendeley.com/documents/?uuid=9c276441-a30a-4c8f-a760-f5a89a55b497"]},{"id":"ITEM-4","itemData":{"DOI":"10.1175/MWR-D-12-00357.1","ISSN":"0027-0644","author":[{"dropping-particle":"","family":"Rogers","given":"Robert","non-dropping-particle":"","parse-names":false,"suffix":""},{"dropping-particle":"","family":"Reasor","given":"Paul","non-dropping-particle":"","parse-names":false,"suffix":""},{"dropping-particle":"","family":"Lorsolo","given":"Sylvie","non-dropping-particle":"","parse-names":false,"suffix":""}],"container-title":"Monthly Weather Review","id":"ITEM-4","issue":"9","issued":{"date-parts":[["2013"]]},"page":"2970-2991","title":"Airborne Doppler Observations of the Inner-Core Structural Differences between Intensifying and Steady-State Tropical Cyclones","type":"article-journal","volume":"141"},"uris":["http://www.mendeley.com/documents/?uuid=95fecc89-2340-4a7f-9a46-b32278229138"]},{"id":"ITEM-5","itemData":{"DOI":"10.1175/MWR-D-13-00305.1","ISSN":"0027-0644","abstract":"AbstractAtmospheric data assimilation methods that estimate flow-dependent forecast statistics from ensembles are sensitive to sampling errors. This sensitivity is investigated in the context of vortex-scale hurricane data assimilation by cycling an ensemble Kalman filter to assimilate observations with a convection-permitting mesoscale model. In a set of numerical experiments, airborne Doppler radar observations are assimilated for Hurricane Katrina (2005) using an ensemble size that ranges from 30 to 300 members, and a varying degree of covariance inflation through relaxation to the prior. The range of ensemble sizes is shown to produce variations in posterior storm structure that persist for days in deterministic forecasts, with the most substantial differences appearing in the vortex outer-core wind and pressure fields. Ensembles with 60 or more members converge toward similar axisymmetric and asymmetric inner-core solutions by the end of the cycling, while producing qualitatively similar sample corre...","author":[{"dropping-particle":"","family":"Poterjoy","given":"Jonathan","non-dropping-particle":"","parse-names":false,"suffix":""},{"dropping-particle":"","family":"Zhang","given":"Fuqing","non-dropping-particle":"","parse-names":false,"suffix":""},{"dropping-particle":"","family":"Weng","given":"Yonghui","non-dropping-particle":"","parse-names":false,"suffix":""}],"container-title":"Monthly Weather Review","id":"ITEM-5","issue":"4","issued":{"date-parts":[["2014"]]},"page":"1609-1630","title":"The Effects of Sampling Errors on the EnKF Assimilation of Inner-Core Hurricane Observations","type":"article-journal","volume":"142"},"uris":["http://www.mendeley.com/documents/?uuid=72f4f08f-4e9f-45dd-9dae-1b1328f49638"]},{"id":"ITEM-6","itemData":{"DOI":"10.1175/BAMS-D-13-00231.1","ISSN":"0003-0007","author":[{"dropping-particle":"","family":"Zhang","given":"Fuqing","non-dropping-particle":"","parse-names":false,"suffix":""},{"dropping-particle":"","family":"Weng","given":"Yonghui","non-dropping-particle":"","parse-names":false,"suffix":""}],"container-title":"Bulletin of the American Meteorological Society","id":"ITEM-6","issue":"1","issued":{"date-parts":[["2015"]]},"page":"25-33","title":"Predicting Hurricane Intensity and Associated Hazards: A Five-Year Real-Time Forecast Experiment with Assimilation of Airborne Doppler Radar Observations","type":"article-journal","volume":"96"},"uris":["http://www.mendeley.com/documents/?uuid=897479bf-a469-45b0-bfbf-4922dc2f84e7"]},{"id":"ITEM-7","itemData":{"DOI":"10.1175/JAS-D-16-0017.1","ISSN":"15200469","abstract":"AbstractAn initial vortex spindown, or strong adjustment to the structure and intensity of a hurricane’s initial vortex, presents a significant problem in hurricane forecasting, as with the NCEP Hurricane Weather Research and Forecasting Model (HWRF), because it can cause significantly degraded intensity forecasts. In this study, the influence of the self-consistent regional ensemble background error covariance on assimilating hurricane inner-core tail Doppler radar (TDR) observations in HWRF is examined with the NCEP gridpoint statistical interpolation (GSI)-based ensemble–three-dimensional variational (3DVAR) hybrid data assimilation system. It is found that the resolution of the background error covariance term, coming from the ensemble forecasts, has notable influence on the assimilation of hurricane inner-core observations and subsequent forecasting results. Specifically, the use of ensemble forecasting at high-resolution native grids results in significant reduction of the vortex spindown problem an...","author":[{"dropping-particle":"","family":"Pu","given":"Zhaoxia","non-dropping-particle":"","parse-names":false,"suffix":""},{"dropping-particle":"","family":"Zhang","given":"Shixuan","non-dropping-particle":"","parse-names":false,"suffix":""},{"dropping-particle":"","family":"Tong","given":"Mingjing","non-dropping-particle":"","parse-names":false,"suffix":""},{"dropping-particle":"","family":"Tallapragada","given":"Vijay","non-dropping-particle":"","parse-names":false,"suffix":""}],"container-title":"Journal of the Atmospheric Sciences","id":"ITEM-7","issue":"12","issued":{"date-parts":[["2016"]]},"page":"4911-4925","title":"Influence of the Self-Consistent Regional Ensemble Background Error Covariance on Hurricane Inner-Core Data Assimilation with the GSI-Based Hybrid System for HWRF","type":"article-journal","volume":"73"},"uris":["http://www.mendeley.com/documents/?uuid=dd4b5d30-3ca3-4d01-9a81-7ca30d07b7f4"]},{"id":"ITEM-8","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Society","id":"ITEM-8","issue":"702","issued":{"date-parts":[["2017"]]},"page":"223-239","title":"GSI-based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id":"ITEM-9","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Rev.","id":"ITEM-9","issued":{"date-parts":[["2017"]]},"page":"4877-4898","title":"GSI-based,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with","type":"article-journal","volume":"145"},"uris":["http://www.mendeley.com/documents/?uuid=82ad08b1-34e7-3cff-837b-7355f1a8ba0d"]}],"mendeley":{"formattedCitation":"(Zhang et al. 2009a, 2011; Weng and Zhang 2012; Rogers et al. 2013b; Poterjoy et al. 2014; Zhang and Weng 2015; Pu et al. 2016; Lu et al. 2017a,b)","manualFormatting":"e.g.: Zhang et al. 2009, 2011; Weng and Zhang 2012; Poterjoy et al. 2014; Zhang and Weng 2015; Pu et al. 2016; Lu et al. 2017a,b)","plainTextFormattedCitation":"(Zhang et al. 2009a, 2011; Weng and Zhang 2012; Rogers et al. 2013b; Poterjoy et al. 2014; Zhang and Weng 2015; Pu et al. 2016; Lu et al. 2017a,b)","previouslyFormattedCitation":"(Zhang et al. 2009a, 2011; Weng and Zhang 2012; Rogers et al. 2013b; Poterjoy et al. 2014; Zhang and Weng 2015; Pu et al. 2016; Lu et al. 2017a,b)"},"properties":{"noteIndex":0},"schema":"https://github.com/citation-style-language/schema/raw/master/csl-citation.json"}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Pr="00FA14B9">
        <w:rPr>
          <w:rFonts w:ascii="Times New Roman" w:eastAsia="宋体" w:hAnsi="Times New Roman" w:cs="Times New Roman"/>
          <w:noProof/>
          <w:sz w:val="24"/>
          <w:szCs w:val="24"/>
        </w:rPr>
        <w:t>e.g.: Zhang et al. 2009, 2011; Weng and Zhang 2012; Poterjoy et al. 2014; Zhang and Weng 2015; Pu et al. 2016; Lu et al. 2017a,b)</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w:t>
      </w:r>
    </w:p>
    <w:p w14:paraId="0B793A67" w14:textId="77777777" w:rsidR="00441EFB" w:rsidRPr="00FA14B9" w:rsidRDefault="00441EFB" w:rsidP="00441EFB">
      <w:pPr>
        <w:spacing w:line="480" w:lineRule="auto"/>
        <w:ind w:firstLine="432"/>
        <w:rPr>
          <w:rFonts w:ascii="Times New Roman" w:eastAsia="宋体" w:hAnsi="Times New Roman" w:cs="Times New Roman"/>
          <w:sz w:val="24"/>
          <w:szCs w:val="24"/>
        </w:rPr>
      </w:pPr>
      <w:r w:rsidRPr="00FA14B9">
        <w:rPr>
          <w:rFonts w:ascii="Times New Roman" w:eastAsia="宋体" w:hAnsi="Times New Roman" w:cs="Times New Roman"/>
          <w:sz w:val="24"/>
          <w:szCs w:val="24"/>
        </w:rPr>
        <w:t xml:space="preserve">In 2015, a Tropical Cyclone Intensity (TCI) program supported by the Office of Naval Research (ONR) was conducted to collect dropsonde observations aiming at sampling the TC outflow as well as the inner-core regions </w:t>
      </w:r>
      <w:r w:rsidRPr="00EB6086">
        <w:rPr>
          <w:rFonts w:ascii="Times New Roman" w:hAnsi="Times New Roman" w:cs="Times New Roman"/>
          <w:sz w:val="24"/>
          <w:szCs w:val="24"/>
        </w:rPr>
        <w:fldChar w:fldCharType="begin" w:fldLock="1"/>
      </w:r>
      <w:r w:rsidRPr="00FA14B9">
        <w:rPr>
          <w:rFonts w:ascii="Times New Roman" w:eastAsia="宋体" w:hAnsi="Times New Roman" w:cs="Times New Roman"/>
          <w:sz w:val="24"/>
          <w:szCs w:val="24"/>
        </w:rPr>
        <w:instrText>ADDIN CSL_CITATION {"citationItems":[{"id":"ITEM-1","itemData":{"DOI":"10.1175/BAMS-D-16-0055.1","ISSN":"0003-0007","author":[{"dropping-particle":"","family":"Doyle","given":"James D.","non-dropping-particle":"","parse-names":false,"suffix":""},{"dropping-particle":"","family":"Moskaitis","given":"Jon","non-dropping-particle":"","parse-names":false,"suffix":""},{"dropping-particle":"","family":"Feldmeier","given":"Joel","non-dropping-particle":"","parse-names":false,"suffix":""},{"dropping-particle":"","family":"Ferek","given":"Ronald","non-dropping-particle":"","parse-names":false,"suffix":""},{"dropping-particle":"","family":"Beaubien","given":"Mark","non-dropping-particle":"","parse-names":false,"suffix":""},{"dropping-particle":"","family":"Bell","given":"Michael","non-dropping-particle":"","parse-names":false,"suffix":""},{"dropping-particle":"","family":"Cecil","given":"Daniel","non-dropping-particle":"","parse-names":false,"suffix":""},{"dropping-particle":"","family":"Creasey","given":"Robert","non-dropping-particle":"","parse-names":false,"suffix":""},{"dropping-particle":"","family":"Duran","given":"Patrick","non-dropping-particle":"","parse-names":false,"suffix":""},{"dropping-particle":"","family":"Elsberry","given":"Russ","non-dropping-particle":"","parse-names":false,"suffix":""},{"dropping-particle":"","family":"Komaromi","given":"Will","non-dropping-particle":"","parse-names":false,"suffix":""},{"dropping-particle":"","family":"Molinari","given":"John","non-dropping-particle":"","parse-names":false,"suffix":""},{"dropping-particle":"","family":"Ryglicki","given":"David","non-dropping-particle":"","parse-names":false,"suffix":""},{"dropping-particle":"","family":"Stern","given":"Daniel","non-dropping-particle":"","parse-names":false,"suffix":""},{"dropping-particle":"","family":"Velden","given":"Chris","non-dropping-particle":"","parse-names":false,"suffix":""},{"dropping-particle":"","family":"Wang","given":"Xuguang","non-dropping-particle":"","parse-names":false,"suffix":""},{"dropping-particle":"","family":"Allen","given":"Todd","non-dropping-particle":"","parse-names":false,"suffix":""},{"dropping-particle":"","family":"Barrett","given":"Bradford","non-dropping-particle":"","parse-names":false,"suffix":""},{"dropping-particle":"","family":"Black","given":"Peter","non-dropping-particle":"","parse-names":false,"suffix":""},{"dropping-particle":"","family":"Dunion","given":"Jason","non-dropping-particle":"","parse-names":false,"suffix":""},{"dropping-particle":"","family":"Emanuel","given":"Kerry","non-dropping-particle":"","parse-names":false,"suffix":""},{"dropping-particle":"","family":"Harr","given":"Pat","non-dropping-particle":"","parse-names":false,"suffix":""},{"dropping-particle":"","family":"Harrison","given":"Lee","non-dropping-particle":"","parse-names":false,"suffix":""},{"dropping-particle":"","family":"Hendricks","given":"Eric","non-dropping-particle":"","parse-names":false,"suffix":""},{"dropping-particle":"","family":"Herndon","given":"Derrick","non-dropping-particle":"","parse-names":false,"suffix":""},{"dropping-particle":"","family":"Jeffries","given":"William","non-dropping-particle":"","parse-names":false,"suffix":""},{"dropping-particle":"","family":"Majumdar","given":"Sharanya J.","non-dropping-particle":"","parse-names":false,"suffix":""},{"dropping-particle":"","family":"Moore","given":"James","non-dropping-particle":"","parse-names":false,"suffix":""},{"dropping-particle":"","family":"Pu","given":"Zhaoxia","non-dropping-particle":"","parse-names":false,"suffix":""},{"dropping-particle":"","family":"Rogers","given":"Robert","non-dropping-particle":"","parse-names":false,"suffix":""},{"dropping-particle":"","family":"Sanabia","given":"Elizabeth","non-dropping-particle":"","parse-names":false,"suffix":""},{"dropping-particle":"","family":"Tripoli","given":"Gregory","non-dropping-particle":"","parse-names":false,"suffix":""},{"dropping-particle":"","family":"Zhang","given":"Da-Lin","non-dropping-particle":"","parse-names":false,"suffix":""}],"container-title":"Bulletin of the American Meteorological Society","id":"ITEM-1","issued":{"date-parts":[["2017"]]},"page":"2113-2134","title":"A View of Tropical Cyclones from Above: The Tropical Cyclone Intensity (TCI) Experiment","type":"article-journal","volume":"98"},"uris":["http://www.mendeley.com/documents/?uuid=60c3c0a0-836e-40e1-9511-4e4e563a9101"]}],"mendeley":{"formattedCitation":"(Doyle et al. 2017)","plainTextFormattedCitation":"(Doyle et al. 2017)","previouslyFormattedCitation":"(Doyle et al. 2017)"},"properties":{"noteIndex":0},"schema":"https://github.com/citation-style-language/schema/raw/master/csl-citation.json"}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Pr="00FA14B9">
        <w:rPr>
          <w:rFonts w:ascii="Times New Roman" w:eastAsia="宋体" w:hAnsi="Times New Roman" w:cs="Times New Roman"/>
          <w:noProof/>
          <w:sz w:val="24"/>
          <w:szCs w:val="24"/>
        </w:rPr>
        <w:t>(Doyle et al. 2017)</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w:t>
      </w:r>
      <w:r w:rsidRPr="00D117D6">
        <w:rPr>
          <w:rFonts w:ascii="Times New Roman" w:eastAsia="宋体" w:hAnsi="Times New Roman" w:cs="Times New Roman"/>
          <w:sz w:val="24"/>
          <w:szCs w:val="24"/>
        </w:rPr>
        <w:t xml:space="preserve">  These dropsondes were released by WB-57 from about </w:t>
      </w:r>
      <w:r w:rsidRPr="00FA14B9">
        <w:rPr>
          <w:rFonts w:ascii="Times New Roman" w:eastAsia="宋体" w:hAnsi="Times New Roman" w:cs="Times New Roman"/>
          <w:sz w:val="24"/>
          <w:szCs w:val="24"/>
        </w:rPr>
        <w:t>the 18-km altitude and sampled all the way down to sea surface.</w:t>
      </w:r>
      <w:r w:rsidRPr="00FA14B9">
        <w:rPr>
          <w:rFonts w:ascii="Times New Roman" w:eastAsia="MS Mincho" w:hAnsi="Times New Roman" w:cs="Times New Roman"/>
          <w:sz w:val="24"/>
          <w:szCs w:val="24"/>
          <w:lang w:eastAsia="en-US"/>
        </w:rPr>
        <w:t xml:space="preserve"> The high </w:t>
      </w:r>
      <w:r w:rsidRPr="00FA14B9">
        <w:rPr>
          <w:rFonts w:ascii="Times New Roman" w:eastAsia="MS Mincho" w:hAnsi="Times New Roman" w:cs="Times New Roman"/>
          <w:sz w:val="24"/>
          <w:szCs w:val="24"/>
          <w:lang w:eastAsia="en-US"/>
        </w:rPr>
        <w:lastRenderedPageBreak/>
        <w:t xml:space="preserve">altitude of the aircraft provided valuable opportunities to sample upper-tropospheric information, especially for the TC outflow region.  Thanks to the </w:t>
      </w:r>
      <w:bookmarkStart w:id="203" w:name="_Hlk18684990"/>
      <w:r w:rsidRPr="00FA14B9">
        <w:rPr>
          <w:rFonts w:ascii="Times New Roman" w:eastAsia="MS Mincho" w:hAnsi="Times New Roman" w:cs="Times New Roman"/>
          <w:sz w:val="24"/>
          <w:szCs w:val="24"/>
          <w:lang w:eastAsia="en-US"/>
        </w:rPr>
        <w:t xml:space="preserve">High Definition Sounding System </w:t>
      </w:r>
      <w:bookmarkEnd w:id="203"/>
      <w:r w:rsidRPr="00FA14B9">
        <w:rPr>
          <w:rFonts w:ascii="Times New Roman" w:eastAsia="MS Mincho" w:hAnsi="Times New Roman" w:cs="Times New Roman"/>
          <w:sz w:val="24"/>
          <w:szCs w:val="24"/>
          <w:lang w:eastAsia="en-US"/>
        </w:rPr>
        <w:t xml:space="preserve">(HDSS) and </w:t>
      </w:r>
      <w:proofErr w:type="spellStart"/>
      <w:r w:rsidRPr="00FA14B9">
        <w:rPr>
          <w:rFonts w:ascii="Times New Roman" w:eastAsia="MS Mincho" w:hAnsi="Times New Roman" w:cs="Times New Roman"/>
          <w:sz w:val="24"/>
          <w:szCs w:val="24"/>
          <w:lang w:eastAsia="en-US"/>
        </w:rPr>
        <w:t>eXpendable</w:t>
      </w:r>
      <w:proofErr w:type="spellEnd"/>
      <w:r w:rsidRPr="00FA14B9">
        <w:rPr>
          <w:rFonts w:ascii="Times New Roman" w:eastAsia="MS Mincho" w:hAnsi="Times New Roman" w:cs="Times New Roman"/>
          <w:sz w:val="24"/>
          <w:szCs w:val="24"/>
          <w:lang w:eastAsia="en-US"/>
        </w:rPr>
        <w:t xml:space="preserve"> Digital Dropsonde (XDD) technology </w:t>
      </w:r>
      <w:r w:rsidRPr="00EB6086">
        <w:rPr>
          <w:rFonts w:ascii="Times New Roman" w:hAnsi="Times New Roman" w:cs="Times New Roman"/>
          <w:sz w:val="24"/>
          <w:szCs w:val="24"/>
        </w:rPr>
        <w:fldChar w:fldCharType="begin" w:fldLock="1"/>
      </w:r>
      <w:r w:rsidRPr="00FA14B9">
        <w:rPr>
          <w:rFonts w:ascii="Times New Roman" w:eastAsia="MS Mincho" w:hAnsi="Times New Roman" w:cs="Times New Roman"/>
          <w:sz w:val="24"/>
          <w:szCs w:val="24"/>
          <w:lang w:eastAsia="en-US"/>
        </w:rPr>
        <w:instrText>ADDIN CSL_CITATION {"citationItems":[{"id":"ITEM-1","itemData":{"DOI":"10.1175/JTECH-D-14-00210.1","abstract":"The High-Definition Sounding System (HDSS) is an automated system deploying the expendable digital dropsonde (XDD) designed to measure wind and pressure–temperature–humidity (PTH) profiles, and skin sea surface temperature (SST) within and around tropical cyclones (TCs) and other high-impact weather events needing high sampling density. Three experiments were conducted to validate the XDD. On two successive days off the California coast, 10 XDDs and 14 Vaisala RD-94s were deployed from the navy's Center for Interdisciplinary Remotely-Piloted Aircraft Studies (CIRPAS) Twin Otter aircraft over offshore buoys. The Twin Otter made spiral descents from 4 km to 60 m at the same descent rate as the sondes. Differences between successive XDD and RD-94 profiles due to true meteorological variability were on the same order as the profile differences between the spirals, XDDs, and RD-94s. XDD SST measured via in-frared microradiometer, referred to as infrared skin SST (SSTir), and surface wind measurements were within 0.58C and 1.5 m s 21 , respectively, of buoy and Twin Otter values. A NASA DC-8 flight launched six XDDs from 12 km between ex-TC Cosme and the Baja California coast. Repeatability was shown with good agreement between features in successive profiles. XDD SSTir mea-surements from 188 to 288C and surface winds agreed well with drifting buoy-and satellite-derived estimates. Excellent agreement was found between PTH and wind profiles measured by XDDs deployed from a NASA WB-57 at 18-km altitude offshore from the Texas coast and NWS radiosonde profiles from Brownsville and Corpus Christi, Texas. Successful XDD profiles were obtained in the clear and within pre-cipitation over an offshore squall line.","author":[{"dropping-particle":"","family":"Black","given":"Peter","non-dropping-particle":"","parse-names":false,"suffix":""},{"dropping-particle":"","family":"Harrison","given":"Lee","non-dropping-particle":"","parse-names":false,"suffix":""},{"dropping-particle":"","family":"Beaubien","given":"Mark","non-dropping-particle":"","parse-names":false,"suffix":""},{"dropping-particle":"","family":"Bluth","given":"Robert","non-dropping-particle":"","parse-names":false,"suffix":""},{"dropping-particle":"","family":"Woods","given":"Roy","non-dropping-particle":"","parse-names":false,"suffix":""},{"dropping-particle":"","family":"Penny","given":"Andrew","non-dropping-particle":"","parse-names":false,"suffix":""},{"dropping-particle":"","family":"Smith","given":"Robert W","non-dropping-particle":"","parse-names":false,"suffix":""},{"dropping-particle":"","family":"Doyle","given":"James D","non-dropping-particle":"","parse-names":false,"suffix":""}],"container-title":"JOURNAL OF ATMOSPHERIC AND OCEANIC TECHNOLOGY","id":"ITEM-1","issued":{"date-parts":[["2017"]]},"page":"777-796","title":"High-Definition Sounding System (HDSS) for Atmospheric Profiling","type":"article-journal","volume":"34"},"uris":["http://www.mendeley.com/documents/?uuid=d2e12548-859a-3924-a5d9-fad17c30d993"]}],"mendeley":{"formattedCitation":"(Black et al. 2017)","plainTextFormattedCitation":"(Black et al. 2017)","previouslyFormattedCitation":"(Black et al. 2017)"},"properties":{"noteIndex":0},"schema":"https://github.com/citation-style-language/schema/raw/master/csl-citation.json"}</w:instrText>
      </w:r>
      <w:r w:rsidRPr="00EB6086">
        <w:rPr>
          <w:rFonts w:ascii="Times New Roman" w:eastAsia="MS Mincho" w:hAnsi="Times New Roman" w:cs="Times New Roman"/>
          <w:sz w:val="24"/>
          <w:szCs w:val="24"/>
          <w:lang w:eastAsia="en-US"/>
        </w:rPr>
        <w:fldChar w:fldCharType="separate"/>
      </w:r>
      <w:r w:rsidRPr="00FA14B9">
        <w:rPr>
          <w:rFonts w:ascii="Times New Roman" w:eastAsia="MS Mincho" w:hAnsi="Times New Roman" w:cs="Times New Roman"/>
          <w:noProof/>
          <w:sz w:val="24"/>
          <w:szCs w:val="24"/>
          <w:lang w:eastAsia="en-US"/>
        </w:rPr>
        <w:t>(Black et al. 2017)</w:t>
      </w:r>
      <w:r w:rsidRPr="00EB6086">
        <w:rPr>
          <w:rFonts w:ascii="Times New Roman" w:hAnsi="Times New Roman" w:cs="Times New Roman"/>
          <w:sz w:val="24"/>
          <w:szCs w:val="24"/>
        </w:rPr>
        <w:fldChar w:fldCharType="end"/>
      </w:r>
      <w:r w:rsidRPr="00FA14B9">
        <w:rPr>
          <w:rFonts w:ascii="Times New Roman" w:eastAsia="MS Mincho" w:hAnsi="Times New Roman" w:cs="Times New Roman"/>
          <w:sz w:val="24"/>
          <w:szCs w:val="24"/>
          <w:lang w:eastAsia="en-US"/>
        </w:rPr>
        <w:t xml:space="preserve">, </w:t>
      </w:r>
      <w:r w:rsidRPr="00D117D6">
        <w:rPr>
          <w:rFonts w:ascii="Times New Roman" w:eastAsia="MS Mincho" w:hAnsi="Times New Roman" w:cs="Times New Roman"/>
          <w:sz w:val="24"/>
          <w:szCs w:val="24"/>
          <w:lang w:eastAsia="en-US"/>
        </w:rPr>
        <w:t xml:space="preserve">these dropsonde observations have </w:t>
      </w:r>
      <w:r w:rsidRPr="00D117D6">
        <w:rPr>
          <w:rFonts w:ascii="Times New Roman" w:eastAsia="宋体" w:hAnsi="Times New Roman" w:cs="Times New Roman"/>
          <w:sz w:val="24"/>
          <w:szCs w:val="24"/>
        </w:rPr>
        <w:t xml:space="preserve">unprecedentedly high vertical spacing (~0.1-hPa) </w:t>
      </w:r>
      <w:r w:rsidRPr="00EB6086">
        <w:rPr>
          <w:rFonts w:ascii="Times New Roman" w:hAnsi="Times New Roman" w:cs="Times New Roman"/>
          <w:sz w:val="24"/>
          <w:szCs w:val="24"/>
        </w:rPr>
        <w:fldChar w:fldCharType="begin" w:fldLock="1"/>
      </w:r>
      <w:r w:rsidRPr="00FA14B9">
        <w:rPr>
          <w:rFonts w:ascii="Times New Roman" w:eastAsia="宋体" w:hAnsi="Times New Roman" w:cs="Times New Roman"/>
          <w:sz w:val="24"/>
          <w:szCs w:val="24"/>
        </w:rPr>
        <w:instrText>ADDIN CSL_CITATION {"citationItems":[{"id":"ITEM-1","itemData":{"URL":"https://data.eol.ucar.edu/dataset/488.004","accessed":{"date-parts":[["2017","11","20"]]},"author":[{"dropping-particle":"","family":"Bell","given":"M. M.","non-dropping-particle":"","parse-names":false,"suffix":""},{"dropping-particle":"","family":"Doyle","given":"Jamse D.","non-dropping-particle":"","parse-names":false,"suffix":""},{"dropping-particle":"","family":"Beaubein","given":"Mark","non-dropping-particle":"","parse-names":false,"suffix":""},{"dropping-particle":"","family":"Allen","given":"Todd","non-dropping-particle":"","parse-names":false,"suffix":""},{"dropping-particle":"","family":"Brown","given":"Bonnie R.","non-dropping-particle":"","parse-names":false,"suffix":""},{"dropping-particle":"","family":"Dunion","given":"Jason","non-dropping-particle":"","parse-names":false,"suffix":""},{"dropping-particle":"","family":"Duran","given":"Patrick","non-dropping-particle":"","parse-names":false,"suffix":""},{"dropping-particle":"","family":"Feldmeier","given":"Joel","non-dropping-particle":"","parse-names":false,"suffix":""},{"dropping-particle":"","family":"Harrison","given":"Lee C.","non-dropping-particle":"","parse-names":false,"suffix":""},{"dropping-particle":"","family":"Hendricks","given":"Eric","non-dropping-particle":"","parse-names":false,"suffix":""},{"dropping-particle":"","family":"Jeffries","given":"Will","non-dropping-particle":"","parse-names":false,"suffix":""},{"dropping-particle":"","family":"Komaromi","given":"William","non-dropping-particle":"","parse-names":false,"suffix":""},{"dropping-particle":"","family":"Martinez","given":"Jonathan","non-dropping-particle":"","parse-names":false,"suffix":""},{"dropping-particle":"","family":"Molinari","given":"John","non-dropping-particle":"","parse-names":false,"suffix":""},{"dropping-particle":"","family":"Moskaitis","given":"Jonathan","non-dropping-particle":"","parse-names":false,"suffix":""},{"dropping-particle":"","family":"Stern","given":"Daniel P.","non-dropping-particle":"","parse-names":false,"suffix":""},{"dropping-particle":"","family":"Vollaro","given":"David","non-dropping-particle":"","parse-names":false,"suffix":""}],"id":"ITEM-1","issued":{"date-parts":[["2016"]]},"title":"ONR Tropical Cyclone Intensity 2015 NASA WB-57 HDSS dropsonde data, version 1.0","type":"webpage"},"uris":["http://www.mendeley.com/documents/?uuid=d0b022f8-b950-3bbe-873f-f7be4bef1226"]}],"mendeley":{"formattedCitation":"(Bell et al. 2016)","plainTextFormattedCitation":"(Bell et al. 2016)","previouslyFormattedCitation":"(Bell et al. 2016)"},"properties":{"noteIndex":0},"schema":"https://github.com/citation-style-language/schema/raw/master/csl-citation.json"}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Pr="00FA14B9">
        <w:rPr>
          <w:rFonts w:ascii="Times New Roman" w:eastAsia="宋体" w:hAnsi="Times New Roman" w:cs="Times New Roman"/>
          <w:noProof/>
          <w:sz w:val="24"/>
          <w:szCs w:val="24"/>
        </w:rPr>
        <w:t>(Bell et al. 2016)</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w:t>
      </w:r>
      <w:r w:rsidRPr="00D117D6">
        <w:rPr>
          <w:rFonts w:ascii="Times New Roman" w:eastAsia="宋体" w:hAnsi="Times New Roman" w:cs="Times New Roman"/>
          <w:sz w:val="24"/>
          <w:szCs w:val="24"/>
        </w:rPr>
        <w:t xml:space="preserve">  </w:t>
      </w:r>
      <w:r w:rsidRPr="00D117D6">
        <w:rPr>
          <w:rFonts w:ascii="Times New Roman" w:eastAsia="MS Mincho" w:hAnsi="Times New Roman" w:cs="Times New Roman"/>
          <w:sz w:val="24"/>
          <w:szCs w:val="24"/>
          <w:lang w:eastAsia="en-US"/>
        </w:rPr>
        <w:t>Given t</w:t>
      </w:r>
      <w:r w:rsidRPr="00FA14B9">
        <w:rPr>
          <w:rFonts w:ascii="Times New Roman" w:eastAsia="MS Mincho" w:hAnsi="Times New Roman" w:cs="Times New Roman"/>
          <w:sz w:val="24"/>
          <w:szCs w:val="24"/>
          <w:lang w:eastAsia="en-US"/>
        </w:rPr>
        <w:t>ens of dropsondes were deployed within a small time-window</w:t>
      </w:r>
      <w:r w:rsidRPr="00FA14B9">
        <w:rPr>
          <w:rFonts w:ascii="Times New Roman" w:eastAsia="宋体" w:hAnsi="Times New Roman" w:cs="Times New Roman"/>
          <w:sz w:val="24"/>
          <w:szCs w:val="24"/>
        </w:rPr>
        <w:t xml:space="preserve">, the finest horizontal transection spacing of the dropsondes near the inner-core regions of the TCs can be around 4.4-km </w:t>
      </w:r>
      <w:r w:rsidRPr="00EB6086">
        <w:rPr>
          <w:rFonts w:ascii="Times New Roman" w:hAnsi="Times New Roman" w:cs="Times New Roman"/>
          <w:sz w:val="24"/>
          <w:szCs w:val="24"/>
        </w:rPr>
        <w:fldChar w:fldCharType="begin" w:fldLock="1"/>
      </w:r>
      <w:r w:rsidRPr="00FA14B9">
        <w:rPr>
          <w:rFonts w:ascii="Times New Roman" w:eastAsia="MS Mincho" w:hAnsi="Times New Roman" w:cs="Times New Roman"/>
          <w:sz w:val="24"/>
          <w:szCs w:val="24"/>
          <w:lang w:eastAsia="en-US"/>
        </w:rPr>
        <w:instrText>ADDIN CSL_CITATION {"citationItems":[{"id":"ITEM-1","itemData":{"DOI":"10.1175/BAMS-D-16-0055.1","ISSN":"0003-0007","author":[{"dropping-particle":"","family":"Doyle","given":"James D.","non-dropping-particle":"","parse-names":false,"suffix":""},{"dropping-particle":"","family":"Moskaitis","given":"Jon","non-dropping-particle":"","parse-names":false,"suffix":""},{"dropping-particle":"","family":"Feldmeier","given":"Joel","non-dropping-particle":"","parse-names":false,"suffix":""},{"dropping-particle":"","family":"Ferek","given":"Ronald","non-dropping-particle":"","parse-names":false,"suffix":""},{"dropping-particle":"","family":"Beaubien","given":"Mark","non-dropping-particle":"","parse-names":false,"suffix":""},{"dropping-particle":"","family":"Bell","given":"Michael","non-dropping-particle":"","parse-names":false,"suffix":""},{"dropping-particle":"","family":"Cecil","given":"Daniel","non-dropping-particle":"","parse-names":false,"suffix":""},{"dropping-particle":"","family":"Creasey","given":"Robert","non-dropping-particle":"","parse-names":false,"suffix":""},{"dropping-particle":"","family":"Duran","given":"Patrick","non-dropping-particle":"","parse-names":false,"suffix":""},{"dropping-particle":"","family":"Elsberry","given":"Russ","non-dropping-particle":"","parse-names":false,"suffix":""},{"dropping-particle":"","family":"Komaromi","given":"Will","non-dropping-particle":"","parse-names":false,"suffix":""},{"dropping-particle":"","family":"Molinari","given":"John","non-dropping-particle":"","parse-names":false,"suffix":""},{"dropping-particle":"","family":"Ryglicki","given":"David","non-dropping-particle":"","parse-names":false,"suffix":""},{"dropping-particle":"","family":"Stern","given":"Daniel","non-dropping-particle":"","parse-names":false,"suffix":""},{"dropping-particle":"","family":"Velden","given":"Chris","non-dropping-particle":"","parse-names":false,"suffix":""},{"dropping-particle":"","family":"Wang","given":"Xuguang","non-dropping-particle":"","parse-names":false,"suffix":""},{"dropping-particle":"","family":"Allen","given":"Todd","non-dropping-particle":"","parse-names":false,"suffix":""},{"dropping-particle":"","family":"Barrett","given":"Bradford","non-dropping-particle":"","parse-names":false,"suffix":""},{"dropping-particle":"","family":"Black","given":"Peter","non-dropping-particle":"","parse-names":false,"suffix":""},{"dropping-particle":"","family":"Dunion","given":"Jason","non-dropping-particle":"","parse-names":false,"suffix":""},{"dropping-particle":"","family":"Emanuel","given":"Kerry","non-dropping-particle":"","parse-names":false,"suffix":""},{"dropping-particle":"","family":"Harr","given":"Pat","non-dropping-particle":"","parse-names":false,"suffix":""},{"dropping-particle":"","family":"Harrison","given":"Lee","non-dropping-particle":"","parse-names":false,"suffix":""},{"dropping-particle":"","family":"Hendricks","given":"Eric","non-dropping-particle":"","parse-names":false,"suffix":""},{"dropping-particle":"","family":"Herndon","given":"Derrick","non-dropping-particle":"","parse-names":false,"suffix":""},{"dropping-particle":"","family":"Jeffries","given":"William","non-dropping-particle":"","parse-names":false,"suffix":""},{"dropping-particle":"","family":"Majumdar","given":"Sharanya J.","non-dropping-particle":"","parse-names":false,"suffix":""},{"dropping-particle":"","family":"Moore","given":"James","non-dropping-particle":"","parse-names":false,"suffix":""},{"dropping-particle":"","family":"Pu","given":"Zhaoxia","non-dropping-particle":"","parse-names":false,"suffix":""},{"dropping-particle":"","family":"Rogers","given":"Robert","non-dropping-particle":"","parse-names":false,"suffix":""},{"dropping-particle":"","family":"Sanabia","given":"Elizabeth","non-dropping-particle":"","parse-names":false,"suffix":""},{"dropping-particle":"","family":"Tripoli","given":"Gregory","non-dropping-particle":"","parse-names":false,"suffix":""},{"dropping-particle":"","family":"Zhang","given":"Da-Lin","non-dropping-particle":"","parse-names":false,"suffix":""}],"container-title":"Bulletin of the American Meteorological Society","id":"ITEM-1","issued":{"date-parts":[["2017"]]},"page":"2113-2134","title":"A View of Tropical Cyclones from Above: The Tropical Cyclone Intensity (TCI) Experiment","type":"article-journal","volume":"98"},"uris":["http://www.mendeley.com/documents/?uuid=60c3c0a0-836e-40e1-9511-4e4e563a9101"]}],"mendeley":{"formattedCitation":"(Doyle et al. 2017)","plainTextFormattedCitation":"(Doyle et al. 2017)","previouslyFormattedCitation":"(Doyle et al. 2017)"},"properties":{"noteIndex":0},"schema":"https://github.com/citation-style-language/schema/raw/master/csl-citation.json"}</w:instrText>
      </w:r>
      <w:r w:rsidRPr="00EB6086">
        <w:rPr>
          <w:rFonts w:ascii="Times New Roman" w:eastAsia="MS Mincho" w:hAnsi="Times New Roman" w:cs="Times New Roman"/>
          <w:sz w:val="24"/>
          <w:szCs w:val="24"/>
          <w:lang w:eastAsia="en-US"/>
        </w:rPr>
        <w:fldChar w:fldCharType="separate"/>
      </w:r>
      <w:r w:rsidRPr="00FA14B9">
        <w:rPr>
          <w:rFonts w:ascii="Times New Roman" w:eastAsia="MS Mincho" w:hAnsi="Times New Roman" w:cs="Times New Roman"/>
          <w:noProof/>
          <w:sz w:val="24"/>
          <w:szCs w:val="24"/>
          <w:lang w:eastAsia="en-US"/>
        </w:rPr>
        <w:t>(Doyle et al. 2017)</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w:t>
      </w:r>
      <w:r w:rsidRPr="00D117D6">
        <w:rPr>
          <w:rFonts w:ascii="Times New Roman" w:eastAsia="宋体" w:hAnsi="Times New Roman" w:cs="Times New Roman"/>
          <w:sz w:val="24"/>
          <w:szCs w:val="24"/>
        </w:rPr>
        <w:t xml:space="preserve">  Dropsondes</w:t>
      </w:r>
      <w:r w:rsidRPr="00D117D6">
        <w:rPr>
          <w:rFonts w:ascii="Times New Roman" w:eastAsia="MS Mincho" w:hAnsi="Times New Roman" w:cs="Times New Roman"/>
          <w:sz w:val="24"/>
          <w:szCs w:val="24"/>
          <w:lang w:eastAsia="en-US"/>
        </w:rPr>
        <w:t xml:space="preserve"> with such a high resolution provide a great sampling of both the inner-core</w:t>
      </w:r>
      <w:r w:rsidRPr="00FA14B9">
        <w:rPr>
          <w:rFonts w:ascii="Times New Roman" w:eastAsia="MS Mincho" w:hAnsi="Times New Roman" w:cs="Times New Roman"/>
          <w:sz w:val="24"/>
          <w:szCs w:val="24"/>
          <w:lang w:eastAsia="en-US"/>
        </w:rPr>
        <w:t xml:space="preserve"> and the outflow structures</w:t>
      </w:r>
      <w:bookmarkStart w:id="204" w:name="OLE_LINK70"/>
      <w:bookmarkStart w:id="205" w:name="OLE_LINK71"/>
      <w:bookmarkStart w:id="206" w:name="OLE_LINK72"/>
      <w:r w:rsidRPr="00FA14B9">
        <w:rPr>
          <w:rFonts w:ascii="Times New Roman" w:eastAsia="宋体" w:hAnsi="Times New Roman" w:cs="Times New Roman"/>
          <w:sz w:val="24"/>
          <w:szCs w:val="24"/>
        </w:rPr>
        <w:t>.</w:t>
      </w:r>
      <w:bookmarkEnd w:id="204"/>
      <w:bookmarkEnd w:id="205"/>
      <w:bookmarkEnd w:id="206"/>
      <w:r w:rsidRPr="00FA14B9">
        <w:rPr>
          <w:rFonts w:ascii="Times New Roman" w:eastAsia="宋体" w:hAnsi="Times New Roman" w:cs="Times New Roman"/>
          <w:sz w:val="24"/>
          <w:szCs w:val="24"/>
        </w:rPr>
        <w:t xml:space="preserve">  But due to the novelty of the dataset, there are only a few studies exploring their applications in the hurricane analysis and prediction (e.g. Feng and Wang, 2019; Zhang and Pu, 2019).</w:t>
      </w:r>
    </w:p>
    <w:p w14:paraId="44C22DED" w14:textId="1E473AD0" w:rsidR="00441EFB" w:rsidRPr="00D117D6" w:rsidRDefault="00441EFB" w:rsidP="00441EFB">
      <w:pPr>
        <w:spacing w:line="480" w:lineRule="auto"/>
        <w:ind w:firstLine="432"/>
        <w:rPr>
          <w:rFonts w:ascii="Times New Roman" w:eastAsia="宋体" w:hAnsi="Times New Roman" w:cs="Times New Roman"/>
          <w:sz w:val="24"/>
          <w:szCs w:val="24"/>
        </w:rPr>
      </w:pPr>
      <w:r w:rsidRPr="00FA14B9">
        <w:rPr>
          <w:rFonts w:ascii="Times New Roman" w:eastAsia="宋体" w:hAnsi="Times New Roman" w:cs="Times New Roman"/>
          <w:sz w:val="24"/>
          <w:szCs w:val="24"/>
        </w:rPr>
        <w:t xml:space="preserve">Other than those field campaign observations, in recent years, the “enhanced” Atmospheric Motion Vector (AMV) observations have been produced by the Cooperative Institute for Meteorological Satellite Studies (CIMSS) </w:t>
      </w:r>
      <w:r w:rsidRPr="00EB6086">
        <w:rPr>
          <w:rFonts w:ascii="Times New Roman" w:hAnsi="Times New Roman" w:cs="Times New Roman"/>
          <w:sz w:val="24"/>
          <w:szCs w:val="24"/>
        </w:rPr>
        <w:fldChar w:fldCharType="begin" w:fldLock="1"/>
      </w:r>
      <w:r w:rsidRPr="00FA14B9">
        <w:rPr>
          <w:rFonts w:ascii="Times New Roman" w:eastAsia="宋体" w:hAnsi="Times New Roman" w:cs="Times New Roman"/>
          <w:sz w:val="24"/>
          <w:szCs w:val="24"/>
        </w:rPr>
        <w:instrText>ADDIN CSL_CITATION {"citationItems":[{"id":"ITEM-1","itemData":{"DOI":"10.1175/MWR-D-13-00023.1","ISSN":"0027-0644","abstract":"AbstractRecent studies have shown that assimilating enhanced satellite-derived atmospheric motion vectors (AMVs) has improved mesoscale forecast of tropical cyclones (TC) track and intensity. We conduct data denial experiments to understand where the TC analyses and forecasts benefit the most from the enhanced AMV information using an Ensemble Kalman Filter and the Weather Research and Forecasting model. The Cooperative Institute for Meteorological Satellite Studies at the University of Wisconsin provides enhanced AMV datasets with higher density and temporal resolution using shorter-interval image triplets for the duration of Typhoon Sinlaku and Hurricane Ike (both 2008). These AMV datasets are then spatially and vertically subsetted to create six parallel cycled assimilation-forecast experiments for each TC: all AMVs; AMVs withheld between 100-350 hPa (upper-layer), between 350-700 hPa (middle-layer), and between 700-999 hPa (lower-layer), and only AMVs within (interior) and outside (exterior) 1000 km radius of the TC center. All AMV subsets are found to be useful in some capacity. The interior and upper-layer AMVs are particularly crucial for improving initial TC position, intensity, and the three-dimensional wind structure along with their forecasts. Compared with denying interior or exterior AMVs, withholding AMVs in different tropospheric layers had less impact on TC intensity and size forecasts. The ensemble forecast is less certain (larger spread) in providing accurate TC track, intensity, and size when upper-layer AMVs or interior AMVs are withheld. This information could be useful to potential targeting scenarios, such as activating and focusing satellite Rapid-Scan operations, and decisions regarding observing system assessments and deployments.","author":[{"dropping-particle":"","family":"Wu","given":"Ting-Chi","non-dropping-particle":"","parse-names":false,"suffix":""},{"dropping-particle":"","family":"Liu","given":"Hui","non-dropping-particle":"","parse-names":false,"suffix":""},{"dropping-particle":"","family":"Majumdar","given":"Sharanya J.","non-dropping-particle":"","parse-names":false,"suffix":""},{"dropping-particle":"","family":"Velden","given":"Christopher S.","non-dropping-particle":"","parse-names":false,"suffix":""},{"dropping-particle":"","family":"Anderson","given":"Jeffrey L.","non-dropping-particle":"","parse-names":false,"suffix":""}],"container-title":"Monthly Weather Review","id":"ITEM-1","issued":{"date-parts":[["2014"]]},"page":"49-71","title":"Influence of Assimilating Satellite-Derived Atmospheric Motion Vector Observations on Numerical Analyses and Forecasts of Tropical Cyclone Track and Intensity","type":"article-journal","volume":"142"},"uris":["http://www.mendeley.com/documents/?uuid=bc269c7d-7f5c-41de-a5dd-238de90f5126"]},{"id":"ITEM-2","itemData":{"DOI":"10.1175/MWR-D-13-00023.1","ISSN":"0027-0644","abstract":"AbstractRecent studies have shown that assimilating enhanced satellite-derived atmospheric motion vectors (AMVs) has improved mesoscale forecast of tropical cyclones (TC) track and intensity. We conduct data denial experiments to understand where the TC analyses and forecasts benefit the most from the enhanced AMV information using an Ensemble Kalman Filter and the Weather Research and Forecasting model. The Cooperative Institute for Meteorological Satellite Studies at the University of Wisconsin provides enhanced AMV datasets with higher density and temporal resolution using shorter-interval image triplets for the duration of Typhoon Sinlaku and Hurricane Ike (both 2008). These AMV datasets are then spatially and vertically subsetted to create six parallel cycled assimilation-forecast experiments for each TC: all AMVs; AMVs withheld between 100-350 hPa (upper-layer), between 350-700 hPa (middle-layer), and between 700-999 hPa (lower-layer), and only AMVs within (interior) and outside (exterior) 1000 km radius of the TC center. All AMV subsets are found to be useful in some capacity. The interior and upper-layer AMVs are particularly crucial for improving initial TC position, intensity, and the three-dimensional wind structure along with their forecasts. Compared with denying interior or exterior AMVs, withholding AMVs in different tropospheric layers had less impact on TC intensity and size forecasts. The ensemble forecast is less certain (larger spread) in providing accurate TC track, intensity, and size when upper-layer AMVs or interior AMVs are withheld. This information could be useful to potential targeting scenarios, such as activating and focusing satellite Rapid-Scan operations, and decisions regarding observing system assessments and deployments.","author":[{"dropping-particle":"","family":"Wu","given":"Ting-Chi","non-dropping-particle":"","parse-names":false,"suffix":""},{"dropping-particle":"","family":"Velden","given":"Christopher S.","non-dropping-particle":"","parse-names":false,"suffix":""},{"dropping-particle":"","family":"Majumdar","given":"Sharanya J.","non-dropping-particle":"","parse-names":false,"suffix":""},{"dropping-particle":"","family":"Liu","given":"Hui","non-dropping-particle":"","parse-names":false,"suffix":""},{"dropping-particle":"","family":"Anderson","given":"Jeffrey L.","non-dropping-particle":"","parse-names":false,"suffix":""}],"container-title":"Monthly Weather Review","id":"ITEM-2","issued":{"date-parts":[["2015"]]},"page":"2506-2530","title":"Understanding the Influence of Assimilating Subsets of Enhanced Atmospheric Motion Vectors on Numerical Analyses and Forecasts of Tropical Cyclone Track and Intensity with an Ensemble Kalman Filter","type":"article-journal","volume":"143"},"uris":["http://www.mendeley.com/documents/?uuid=cd3c594d-d158-424e-b1ba-1d7af3fe7c98"]},{"id":"ITEM-3","itemData":{"DOI":"10.1175/MWR-D-16-0229.1","abstract":"It is well known that global numerical model analyses and forecasts benefit from the routine assimilation of atmospheric motion vectors (AMVs) derived from meteorological satellites. Recent studies have also shown that the assimilation of enhanced (spatial and temporal) AMVs can benefit research-mode regional model forecasts of tropical cyclone track and intensity. In this study, the impact of direct assimilation of enhanced (higher resolution) AMV datasets in the NCEP operational Hurricane Weather Research and Forecasting Model (HWRF) system is investigated. Forecasts of Atlantic tropical cyclone track and intensity are exam-ined for impact by inclusion of enhanced AMVs via direct data assimilation. Experiments are conducted for AMVs derived using two methodologies (''HERITAGE'' and ''GOES-R''), and also for varying levels of quality control in order to assess and inform the optimization of the AMV assimilation process. Results are presented for three selected Atlantic tropical cyclone events and compared to Control forecasts without the enhanced AMVs as well as the corresponding operational HWRF forecasts. The findings indicate that the direct assimilation of high-resolution AMVs has an overall modest positive impact on HWRF forecasts, but the impact magnitudes are dependent on the 1) availability of rapid scan imagery used to produce the AMVs, 2) AMV derivation approach, 3) level of quality control employed in the assimilation, and 4) vortex initial-ization procedure (including the degree to which unbalanced states are allowed to enter the model analyses).","author":[{"dropping-particle":"","family":"Velden","given":"Christopher","non-dropping-particle":"","parse-names":false,"suffix":""},{"dropping-particle":"","family":"Lewis","given":"William E","non-dropping-particle":"","parse-names":false,"suffix":""},{"dropping-particle":"","family":"Bresky","given":"Wayne","non-dropping-particle":"","parse-names":false,"suffix":""},{"dropping-particle":"","family":"Stettner","given":"David","non-dropping-particle":"","parse-names":false,"suffix":""},{"dropping-particle":"","family":"Daniels","given":"Jaime","non-dropping-particle":"","parse-names":false,"suffix":""},{"dropping-particle":"","family":"Wanzong","given":"Steven","non-dropping-particle":"","parse-names":false,"suffix":""}],"container-title":"monthly weather review","id":"ITEM-3","issued":{"date-parts":[["2017"]]},"page":"1107-1125","title":"Assimilation of High-Resolution Satellite-Derived Atmospheric Motion Vectors: Impact on HWRF Forecasts of Tropical Cyclone Track and Intensity","type":"article-journal","volume":"145"},"uris":["http://www.mendeley.com/documents/?uuid=2632d591-676d-3624-95f6-675e26dd6048"]}],"mendeley":{"formattedCitation":"(Wu et al. 2014, 2015; Velden et al. 2017)","plainTextFormattedCitation":"(Wu et al. 2014, 2015; Velden et al. 2017)","previouslyFormattedCitation":"(Wu et al. 2014, 2015; Velden et al. 2017)"},"properties":{"noteIndex":0},"schema":"https://github.com/citation-style-language/schema/raw/master/csl-citation.json"}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Pr="00FA14B9">
        <w:rPr>
          <w:rFonts w:ascii="Times New Roman" w:eastAsia="宋体" w:hAnsi="Times New Roman" w:cs="Times New Roman"/>
          <w:noProof/>
          <w:sz w:val="24"/>
          <w:szCs w:val="24"/>
        </w:rPr>
        <w:t>(Wu et al. 2014, 2015; Velden et al. 2017)</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 xml:space="preserve"> The CIMSS </w:t>
      </w:r>
      <w:r w:rsidRPr="00FA14B9">
        <w:rPr>
          <w:rFonts w:ascii="Times New Roman" w:eastAsia="宋体" w:hAnsi="Times New Roman" w:cs="Times New Roman"/>
          <w:sz w:val="24"/>
          <w:szCs w:val="24"/>
        </w:rPr>
        <w:t xml:space="preserve">AMVs are designed to have higher density, larger coverage and better quality as compared to the operationally produced AMVs provided by the National Environmental Satellite, Data, and Information Service (NESDIS) </w:t>
      </w:r>
      <w:r w:rsidRPr="00D117D6">
        <w:rPr>
          <w:rFonts w:ascii="Times New Roman" w:eastAsia="宋体" w:hAnsi="Times New Roman" w:cs="Times New Roman"/>
          <w:sz w:val="24"/>
          <w:szCs w:val="24"/>
        </w:rPr>
        <w:fldChar w:fldCharType="begin" w:fldLock="1"/>
      </w:r>
      <w:r w:rsidRPr="00FA14B9">
        <w:rPr>
          <w:rFonts w:ascii="Times New Roman" w:eastAsia="宋体" w:hAnsi="Times New Roman" w:cs="Times New Roman"/>
          <w:sz w:val="24"/>
          <w:szCs w:val="24"/>
        </w:rPr>
        <w:instrText>ADDIN CSL_CITATION {"citationItems":[{"id":"ITEM-1","itemData":{"DOI":"10.1175/MWR-D-16-0229.1","abstract":"It is well known that global numerical model analyses and forecasts benefit from the routine assimilation of atmospheric motion vectors (AMVs) derived from meteorological satellites. Recent studies have also shown that the assimilation of enhanced (spatial and temporal) AMVs can benefit research-mode regional model forecasts of tropical cyclone track and intensity. In this study, the impact of direct assimilation of enhanced (higher resolution) AMV datasets in the NCEP operational Hurricane Weather Research and Forecasting Model (HWRF) system is investigated. Forecasts of Atlantic tropical cyclone track and intensity are exam-ined for impact by inclusion of enhanced AMVs via direct data assimilation. Experiments are conducted for AMVs derived using two methodologies (''HERITAGE'' and ''GOES-R''), and also for varying levels of quality control in order to assess and inform the optimization of the AMV assimilation process. Results are presented for three selected Atlantic tropical cyclone events and compared to Control forecasts without the enhanced AMVs as well as the corresponding operational HWRF forecasts. The findings indicate that the direct assimilation of high-resolution AMVs has an overall modest positive impact on HWRF forecasts, but the impact magnitudes are dependent on the 1) availability of rapid scan imagery used to produce the AMVs, 2) AMV derivation approach, 3) level of quality control employed in the assimilation, and 4) vortex initial-ization procedure (including the degree to which unbalanced states are allowed to enter the model analyses).","author":[{"dropping-particle":"","family":"Velden","given":"Christopher","non-dropping-particle":"","parse-names":false,"suffix":""},{"dropping-particle":"","family":"Lewis","given":"William E","non-dropping-particle":"","parse-names":false,"suffix":""},{"dropping-particle":"","family":"Bresky","given":"Wayne","non-dropping-particle":"","parse-names":false,"suffix":""},{"dropping-particle":"","family":"Stettner","given":"David","non-dropping-particle":"","parse-names":false,"suffix":""},{"dropping-particle":"","family":"Daniels","given":"Jaime","non-dropping-particle":"","parse-names":false,"suffix":""},{"dropping-particle":"","family":"Wanzong","given":"Steven","non-dropping-particle":"","parse-names":false,"suffix":""}],"container-title":"monthly weather review","id":"ITEM-1","issued":{"date-parts":[["2017"]]},"page":"1107-1125","title":"Assimilation of High-Resolution Satellite-Derived Atmospheric Motion Vectors: Impact on HWRF Forecasts of Tropical Cyclone Track and Intensity","type":"article-journal","volume":"145"},"uris":["http://www.mendeley.com/documents/?uuid=2632d591-676d-3624-95f6-675e26dd6048"]}],"mendeley":{"formattedCitation":"(Velden et al. 2017)","plainTextFormattedCitation":"(Velden et al. 2017)","previouslyFormattedCitation":"(Velden et al. 2017)"},"properties":{"noteIndex":0},"schema":"https://github.com/citation-style-language/schema/raw/master/csl-citation.json"}</w:instrText>
      </w:r>
      <w:r w:rsidRPr="00D117D6">
        <w:rPr>
          <w:rFonts w:ascii="Times New Roman" w:eastAsia="宋体" w:hAnsi="Times New Roman" w:cs="Times New Roman"/>
          <w:sz w:val="24"/>
          <w:szCs w:val="24"/>
        </w:rPr>
        <w:fldChar w:fldCharType="separate"/>
      </w:r>
      <w:r w:rsidRPr="00D117D6">
        <w:rPr>
          <w:rFonts w:ascii="Times New Roman" w:eastAsia="宋体" w:hAnsi="Times New Roman" w:cs="Times New Roman"/>
          <w:noProof/>
          <w:sz w:val="24"/>
          <w:szCs w:val="24"/>
        </w:rPr>
        <w:t>(Velden et al. 2017)</w:t>
      </w:r>
      <w:r w:rsidRPr="00D117D6">
        <w:rPr>
          <w:rFonts w:ascii="Times New Roman" w:eastAsia="宋体" w:hAnsi="Times New Roman" w:cs="Times New Roman"/>
          <w:sz w:val="24"/>
          <w:szCs w:val="24"/>
        </w:rPr>
        <w:fldChar w:fldCharType="end"/>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 xml:space="preserve"> These CIMSS AMVs </w:t>
      </w:r>
      <w:r w:rsidRPr="00FA14B9">
        <w:rPr>
          <w:rFonts w:ascii="Times New Roman" w:eastAsia="宋体" w:hAnsi="Times New Roman" w:cs="Times New Roman"/>
          <w:sz w:val="24"/>
          <w:szCs w:val="24"/>
        </w:rPr>
        <w:t xml:space="preserve">can provide upper-level environmental information of the TCs (e.g. Fig. </w:t>
      </w:r>
      <w:r w:rsidR="00082A4C">
        <w:rPr>
          <w:rFonts w:ascii="Times New Roman" w:eastAsia="宋体" w:hAnsi="Times New Roman" w:cs="Times New Roman"/>
          <w:sz w:val="24"/>
          <w:szCs w:val="24"/>
        </w:rPr>
        <w:t>5.</w:t>
      </w:r>
      <w:r w:rsidRPr="00FA14B9">
        <w:rPr>
          <w:rFonts w:ascii="Times New Roman" w:eastAsia="宋体" w:hAnsi="Times New Roman" w:cs="Times New Roman"/>
          <w:sz w:val="24"/>
          <w:szCs w:val="24"/>
        </w:rPr>
        <w:t xml:space="preserve">1).  Previous studies suggested that assimilating the CIMSS AMVs can modestly improve hurricane track and intensity predictions </w:t>
      </w:r>
      <w:r w:rsidRPr="00EB6086">
        <w:rPr>
          <w:rFonts w:ascii="Times New Roman" w:hAnsi="Times New Roman" w:cs="Times New Roman"/>
          <w:sz w:val="24"/>
          <w:szCs w:val="24"/>
        </w:rPr>
        <w:fldChar w:fldCharType="begin" w:fldLock="1"/>
      </w:r>
      <w:r w:rsidRPr="00FA14B9">
        <w:rPr>
          <w:rFonts w:ascii="Times New Roman" w:eastAsia="宋体" w:hAnsi="Times New Roman" w:cs="Times New Roman"/>
          <w:sz w:val="24"/>
          <w:szCs w:val="24"/>
        </w:rPr>
        <w:instrText>ADDIN CSL_CITATION {"citationItems":[{"id":"ITEM-1","itemData":{"DOI":"10.1175/MWR-D-13-00023.1","ISSN":"0027-0644","abstract":"AbstractRecent studies have shown that assimilating enhanced satellite-derived atmospheric motion vectors (AMVs) has improved mesoscale forecast of tropical cyclones (TC) track and intensity. We conduct data denial experiments to understand where the TC analyses and forecasts benefit the most from the enhanced AMV information using an Ensemble Kalman Filter and the Weather Research and Forecasting model. The Cooperative Institute for Meteorological Satellite Studies at the University of Wisconsin provides enhanced AMV datasets with higher density and temporal resolution using shorter-interval image triplets for the duration of Typhoon Sinlaku and Hurricane Ike (both 2008). These AMV datasets are then spatially and vertically subsetted to create six parallel cycled assimilation-forecast experiments for each TC: all AMVs; AMVs withheld between 100-350 hPa (upper-layer), between 350-700 hPa (middle-layer), and between 700-999 hPa (lower-layer), and only AMVs within (interior) and outside (exterior) 1000 km radius of the TC center. All AMV subsets are found to be useful in some capacity. The interior and upper-layer AMVs are particularly crucial for improving initial TC position, intensity, and the three-dimensional wind structure along with their forecasts. Compared with denying interior or exterior AMVs, withholding AMVs in different tropospheric layers had less impact on TC intensity and size forecasts. The ensemble forecast is less certain (larger spread) in providing accurate TC track, intensity, and size when upper-layer AMVs or interior AMVs are withheld. This information could be useful to potential targeting scenarios, such as activating and focusing satellite Rapid-Scan operations, and decisions regarding observing system assessments and deployments.","author":[{"dropping-particle":"","family":"Wu","given":"Ting-Chi","non-dropping-particle":"","parse-names":false,"suffix":""},{"dropping-particle":"","family":"Liu","given":"Hui","non-dropping-particle":"","parse-names":false,"suffix":""},{"dropping-particle":"","family":"Majumdar","given":"Sharanya J.","non-dropping-particle":"","parse-names":false,"suffix":""},{"dropping-particle":"","family":"Velden","given":"Christopher S.","non-dropping-particle":"","parse-names":false,"suffix":""},{"dropping-particle":"","family":"Anderson","given":"Jeffrey L.","non-dropping-particle":"","parse-names":false,"suffix":""}],"container-title":"Monthly Weather Review","id":"ITEM-1","issued":{"date-parts":[["2014"]]},"page":"49-71","title":"Influence of Assimilating Satellite-Derived Atmospheric Motion Vector Observations on Numerical Analyses and Forecasts of Tropical Cyclone Track and Intensity","type":"article-journal","volume":"142"},"uris":["http://www.mendeley.com/documents/?uuid=bc269c7d-7f5c-41de-a5dd-238de90f5126"]},{"id":"ITEM-2","itemData":{"DOI":"10.1175/MWR-D-13-00023.1","ISSN":"0027-0644","abstract":"AbstractRecent studies have shown that assimilating enhanced satellite-derived atmospheric motion vectors (AMVs) has improved mesoscale forecast of tropical cyclones (TC) track and intensity. We conduct data denial experiments to understand where the TC analyses and forecasts benefit the most from the enhanced AMV information using an Ensemble Kalman Filter and the Weather Research and Forecasting model. The Cooperative Institute for Meteorological Satellite Studies at the University of Wisconsin provides enhanced AMV datasets with higher density and temporal resolution using shorter-interval image triplets for the duration of Typhoon Sinlaku and Hurricane Ike (both 2008). These AMV datasets are then spatially and vertically subsetted to create six parallel cycled assimilation-forecast experiments for each TC: all AMVs; AMVs withheld between 100-350 hPa (upper-layer), between 350-700 hPa (middle-layer), and between 700-999 hPa (lower-layer), and only AMVs within (interior) and outside (exterior) 1000 km radius of the TC center. All AMV subsets are found to be useful in some capacity. The interior and upper-layer AMVs are particularly crucial for improving initial TC position, intensity, and the three-dimensional wind structure along with their forecasts. Compared with denying interior or exterior AMVs, withholding AMVs in different tropospheric layers had less impact on TC intensity and size forecasts. The ensemble forecast is less certain (larger spread) in providing accurate TC track, intensity, and size when upper-layer AMVs or interior AMVs are withheld. This information could be useful to potential targeting scenarios, such as activating and focusing satellite Rapid-Scan operations, and decisions regarding observing system assessments and deployments.","author":[{"dropping-particle":"","family":"Wu","given":"Ting-Chi","non-dropping-particle":"","parse-names":false,"suffix":""},{"dropping-particle":"","family":"Velden","given":"Christopher S.","non-dropping-particle":"","parse-names":false,"suffix":""},{"dropping-particle":"","family":"Majumdar","given":"Sharanya J.","non-dropping-particle":"","parse-names":false,"suffix":""},{"dropping-particle":"","family":"Liu","given":"Hui","non-dropping-particle":"","parse-names":false,"suffix":""},{"dropping-particle":"","family":"Anderson","given":"Jeffrey L.","non-dropping-particle":"","parse-names":false,"suffix":""}],"container-title":"Monthly Weather Review","id":"ITEM-2","issued":{"date-parts":[["2015"]]},"page":"2506-2530","title":"Understanding the Influence of Assimilating Subsets of Enhanced Atmospheric Motion Vectors on Numerical Analyses and Forecasts of Tropical Cyclone Track and Intensity with an Ensemble Kalman Filter","type":"article-journal","volume":"143"},"uris":["http://www.mendeley.com/documents/?uuid=cd3c594d-d158-424e-b1ba-1d7af3fe7c98"]},{"id":"ITEM-3","itemData":{"DOI":"10.1175/MWR-D-16-0229.1","abstract":"It is well known that global numerical model analyses and forecasts benefit from the routine assimilation of atmospheric motion vectors (AMVs) derived from meteorological satellites. Recent studies have also shown that the assimilation of enhanced (spatial and temporal) AMVs can benefit research-mode regional model forecasts of tropical cyclone track and intensity. In this study, the impact of direct assimilation of enhanced (higher resolution) AMV datasets in the NCEP operational Hurricane Weather Research and Forecasting Model (HWRF) system is investigated. Forecasts of Atlantic tropical cyclone track and intensity are exam-ined for impact by inclusion of enhanced AMVs via direct data assimilation. Experiments are conducted for AMVs derived using two methodologies (''HERITAGE'' and ''GOES-R''), and also for varying levels of quality control in order to assess and inform the optimization of the AMV assimilation process. Results are presented for three selected Atlantic tropical cyclone events and compared to Control forecasts without the enhanced AMVs as well as the corresponding operational HWRF forecasts. The findings indicate that the direct assimilation of high-resolution AMVs has an overall modest positive impact on HWRF forecasts, but the impact magnitudes are dependent on the 1) availability of rapid scan imagery used to produce the AMVs, 2) AMV derivation approach, 3) level of quality control employed in the assimilation, and 4) vortex initial-ization procedure (including the degree to which unbalanced states are allowed to enter the model analyses).","author":[{"dropping-particle":"","family":"Velden","given":"Christopher","non-dropping-particle":"","parse-names":false,"suffix":""},{"dropping-particle":"","family":"Lewis","given":"William E","non-dropping-particle":"","parse-names":false,"suffix":""},{"dropping-particle":"","family":"Bresky","given":"Wayne","non-dropping-particle":"","parse-names":false,"suffix":""},{"dropping-particle":"","family":"Stettner","given":"David","non-dropping-particle":"","parse-names":false,"suffix":""},{"dropping-particle":"","family":"Daniels","given":"Jaime","non-dropping-particle":"","parse-names":false,"suffix":""},{"dropping-particle":"","family":"Wanzong","given":"Steven","non-dropping-particle":"","parse-names":false,"suffix":""}],"container-title":"monthly weather review","id":"ITEM-3","issued":{"date-parts":[["2017"]]},"page":"1107-1125","title":"Assimilation of High-Resolution Satellite-Derived Atmospheric Motion Vectors: Impact on HWRF Forecasts of Tropical Cyclone Track and Intensity","type":"article-journal","volume":"145"},"uris":["http://www.mendeley.com/documents/?uuid=2632d591-676d-3624-95f6-675e26dd6048"]}],"mendeley":{"formattedCitation":"(Wu et al. 2014, 2015; Velden et al. 2017)","plainTextFormattedCitation":"(Wu et al. 2014, 2015; Velden et al. 2017)","previouslyFormattedCitation":"(Wu et al. 2014, 2015; Velden et al. 2017)"},"properties":{"noteIndex":0},"schema":"https://github.com/citation-style-language/schema/raw/master/csl-citation.json"}</w:instrText>
      </w:r>
      <w:r w:rsidRPr="00EB6086">
        <w:rPr>
          <w:rFonts w:ascii="Times New Roman" w:eastAsia="宋体" w:hAnsi="Times New Roman" w:cs="Times New Roman"/>
          <w:sz w:val="24"/>
          <w:szCs w:val="24"/>
        </w:rPr>
        <w:fldChar w:fldCharType="separate"/>
      </w:r>
      <w:r w:rsidRPr="00FA14B9">
        <w:rPr>
          <w:rFonts w:ascii="Times New Roman" w:eastAsia="宋体" w:hAnsi="Times New Roman" w:cs="Times New Roman"/>
          <w:noProof/>
          <w:sz w:val="24"/>
          <w:szCs w:val="24"/>
        </w:rPr>
        <w:t>(Wu et al. 2014, 2015; Velden et al. 2017)</w:t>
      </w:r>
      <w:r w:rsidRPr="00EB6086">
        <w:rPr>
          <w:rFonts w:ascii="Times New Roman" w:hAnsi="Times New Roman" w:cs="Times New Roman"/>
          <w:sz w:val="24"/>
          <w:szCs w:val="24"/>
        </w:rPr>
        <w:fldChar w:fldCharType="end"/>
      </w:r>
      <w:r w:rsidRPr="00FA14B9">
        <w:rPr>
          <w:rFonts w:ascii="Times New Roman" w:eastAsia="宋体" w:hAnsi="Times New Roman" w:cs="Times New Roman"/>
          <w:sz w:val="24"/>
          <w:szCs w:val="24"/>
        </w:rPr>
        <w:t xml:space="preserve">. </w:t>
      </w:r>
    </w:p>
    <w:p w14:paraId="6868B2E3" w14:textId="4242AC1E" w:rsidR="00441EFB" w:rsidRPr="00FA14B9" w:rsidRDefault="00441EFB" w:rsidP="00441EFB">
      <w:pPr>
        <w:spacing w:line="480" w:lineRule="auto"/>
        <w:ind w:firstLine="432"/>
        <w:rPr>
          <w:rFonts w:ascii="Times New Roman" w:eastAsia="宋体" w:hAnsi="Times New Roman" w:cs="Times New Roman"/>
          <w:sz w:val="24"/>
          <w:szCs w:val="24"/>
        </w:rPr>
      </w:pPr>
      <w:r w:rsidRPr="00FA14B9">
        <w:rPr>
          <w:rFonts w:ascii="Times New Roman" w:eastAsia="宋体" w:hAnsi="Times New Roman" w:cs="Times New Roman"/>
          <w:sz w:val="24"/>
          <w:szCs w:val="24"/>
        </w:rPr>
        <w:t xml:space="preserve">The aforementioned observations each provides sampling of certain aspects of the TC structure including the inner-core, the outflow layer, the surface inflow and the environment flow.  </w:t>
      </w:r>
      <w:r w:rsidRPr="00FA14B9">
        <w:rPr>
          <w:rFonts w:ascii="Times New Roman" w:hAnsi="Times New Roman" w:cs="Times New Roman"/>
          <w:sz w:val="24"/>
          <w:szCs w:val="24"/>
        </w:rPr>
        <w:t xml:space="preserve">Co-existence of all these types of observations for the same hurricane and at the same time is rare.  Therefore, most early studies only revealed impacts of one type of observations or only </w:t>
      </w:r>
      <w:r w:rsidRPr="00FA14B9">
        <w:rPr>
          <w:rFonts w:ascii="Times New Roman" w:hAnsi="Times New Roman" w:cs="Times New Roman"/>
          <w:sz w:val="24"/>
          <w:szCs w:val="24"/>
        </w:rPr>
        <w:lastRenderedPageBreak/>
        <w:t>simultaneously compared the impacts of a limited sub-sets of these observations (</w:t>
      </w:r>
      <w:r w:rsidRPr="00FA14B9">
        <w:rPr>
          <w:rFonts w:ascii="Times New Roman" w:eastAsia="宋体" w:hAnsi="Times New Roman" w:cs="Times New Roman"/>
          <w:sz w:val="24"/>
          <w:szCs w:val="24"/>
        </w:rPr>
        <w:t xml:space="preserve">Weng and Zhang 2012; Aksoy et al. 2012, 2013; </w:t>
      </w:r>
      <w:proofErr w:type="spellStart"/>
      <w:r w:rsidRPr="00FA14B9">
        <w:rPr>
          <w:rFonts w:ascii="Times New Roman" w:eastAsia="宋体" w:hAnsi="Times New Roman" w:cs="Times New Roman"/>
          <w:sz w:val="24"/>
          <w:szCs w:val="24"/>
        </w:rPr>
        <w:t>Poterjoy</w:t>
      </w:r>
      <w:proofErr w:type="spellEnd"/>
      <w:r w:rsidRPr="00FA14B9">
        <w:rPr>
          <w:rFonts w:ascii="Times New Roman" w:eastAsia="宋体" w:hAnsi="Times New Roman" w:cs="Times New Roman"/>
          <w:sz w:val="24"/>
          <w:szCs w:val="24"/>
        </w:rPr>
        <w:t xml:space="preserve"> et al. 2014; Wu et al., 2014, 2015; Lu et al. 2017a</w:t>
      </w:r>
      <w:r w:rsidRPr="00FA14B9">
        <w:rPr>
          <w:rFonts w:ascii="Times New Roman" w:hAnsi="Times New Roman" w:cs="Times New Roman"/>
          <w:sz w:val="24"/>
          <w:szCs w:val="24"/>
        </w:rPr>
        <w:t>).  Fortunately</w:t>
      </w:r>
      <w:r w:rsidRPr="00FA14B9">
        <w:rPr>
          <w:rFonts w:ascii="Times New Roman" w:eastAsia="宋体" w:hAnsi="Times New Roman" w:cs="Times New Roman"/>
          <w:sz w:val="24"/>
          <w:szCs w:val="24"/>
        </w:rPr>
        <w:t xml:space="preserve">, through coordination between the IFEX and TCI field campaigns, hurricane Patricia (2015) became the sole hurricane which was intensively and simultaneously sampled by all the </w:t>
      </w:r>
      <w:r w:rsidR="00786C0C" w:rsidRPr="00FA14B9">
        <w:rPr>
          <w:rFonts w:ascii="Times New Roman" w:eastAsia="宋体" w:hAnsi="Times New Roman" w:cs="Times New Roman"/>
          <w:sz w:val="24"/>
          <w:szCs w:val="24"/>
        </w:rPr>
        <w:t>above-mentioned</w:t>
      </w:r>
      <w:r w:rsidRPr="00FA14B9">
        <w:rPr>
          <w:rFonts w:ascii="Times New Roman" w:eastAsia="宋体" w:hAnsi="Times New Roman" w:cs="Times New Roman"/>
          <w:sz w:val="24"/>
          <w:szCs w:val="24"/>
        </w:rPr>
        <w:t xml:space="preserve"> instruments.  This provides an unprecedented opportunity to reveal and inter-compare the impacts of all these types of observations.  To the authors’ best knowledge, this work is the first data assimilation study that reveals the relative impacts of all these types of observations on the analysis and prediction in the same hurricane.  In addition, the simultaneous availability of these observations also provides a good opportunity to cross-validate the analysis after assimilating each type of observations.</w:t>
      </w:r>
    </w:p>
    <w:p w14:paraId="6E33743E" w14:textId="1FCC2091" w:rsidR="00441EFB" w:rsidRDefault="00441EFB" w:rsidP="00441EFB">
      <w:pPr>
        <w:spacing w:after="0" w:line="480" w:lineRule="auto"/>
        <w:ind w:firstLine="432"/>
        <w:rPr>
          <w:rFonts w:ascii="Times New Roman" w:eastAsia="宋体" w:hAnsi="Times New Roman" w:cs="Times New Roman"/>
          <w:sz w:val="24"/>
          <w:szCs w:val="24"/>
        </w:rPr>
      </w:pPr>
      <w:r w:rsidRPr="00FA14B9">
        <w:rPr>
          <w:rFonts w:ascii="Times New Roman" w:eastAsia="宋体" w:hAnsi="Times New Roman" w:cs="Times New Roman"/>
          <w:sz w:val="24"/>
          <w:szCs w:val="24"/>
        </w:rPr>
        <w:t>To make a good use of the observations, an efficient and advanced DA system is required.  A GSI-based, continuously cycled, dual-resolution, hybrid Ensemble-Variational (</w:t>
      </w:r>
      <w:proofErr w:type="spellStart"/>
      <w:r w:rsidRPr="00FA14B9">
        <w:rPr>
          <w:rFonts w:ascii="Times New Roman" w:eastAsia="宋体" w:hAnsi="Times New Roman" w:cs="Times New Roman"/>
          <w:sz w:val="24"/>
          <w:szCs w:val="24"/>
        </w:rPr>
        <w:t>EnVar</w:t>
      </w:r>
      <w:proofErr w:type="spellEnd"/>
      <w:r w:rsidRPr="00FA14B9">
        <w:rPr>
          <w:rFonts w:ascii="Times New Roman" w:eastAsia="宋体" w:hAnsi="Times New Roman" w:cs="Times New Roman"/>
          <w:sz w:val="24"/>
          <w:szCs w:val="24"/>
        </w:rPr>
        <w:t xml:space="preserve">) DA system for Hurricane Weather Research and Forecast (HWRF) was recently developed </w:t>
      </w:r>
      <w:r w:rsidRPr="00EB6086">
        <w:rPr>
          <w:rFonts w:ascii="Times New Roman" w:hAnsi="Times New Roman" w:cs="Times New Roman"/>
          <w:sz w:val="24"/>
          <w:szCs w:val="24"/>
        </w:rPr>
        <w:fldChar w:fldCharType="begin" w:fldLock="1"/>
      </w:r>
      <w:r w:rsidR="007D0875">
        <w:rPr>
          <w:rFonts w:ascii="Times New Roman" w:eastAsia="宋体" w:hAnsi="Times New Roman" w:cs="Times New Roman"/>
          <w:sz w:val="24"/>
          <w:szCs w:val="24"/>
        </w:rPr>
        <w:instrText>ADDIN CSL_CITATION {"citationItems":[{"id":"ITEM-1","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id":"ITEM-2","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Rev.","id":"ITEM-2","issued":{"date-parts":[["2017"]]},"page":"4877-4898","title":"GSI-based,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with","type":"article-journal","volume":"145"},"uris":["http://www.mendeley.com/documents/?uuid=82ad08b1-34e7-3cff-837b-7355f1a8ba0d"]}],"mendeley":{"formattedCitation":"(Lu et al. 2017a,b)","plainTextFormattedCitation":"(Lu et al. 2017a,b)","previouslyFormattedCitation":"(Lu et al. 2017a,b)"},"properties":{"noteIndex":0},"schema":"https://github.com/citation-style-language/schema/raw/master/csl-citation.json"}</w:instrText>
      </w:r>
      <w:r w:rsidRPr="00EB6086">
        <w:rPr>
          <w:rFonts w:ascii="Times New Roman" w:hAnsi="Times New Roman" w:cs="Times New Roman"/>
          <w:sz w:val="24"/>
          <w:szCs w:val="24"/>
        </w:rPr>
        <w:fldChar w:fldCharType="separate"/>
      </w:r>
      <w:r w:rsidR="003F0ED0" w:rsidRPr="003F0ED0">
        <w:rPr>
          <w:rFonts w:ascii="Times New Roman" w:eastAsia="宋体" w:hAnsi="Times New Roman" w:cs="Times New Roman"/>
          <w:noProof/>
          <w:sz w:val="24"/>
          <w:szCs w:val="24"/>
        </w:rPr>
        <w:t>(Lu et al. 2017a,b)</w:t>
      </w:r>
      <w:r w:rsidRPr="00EB6086">
        <w:rPr>
          <w:rFonts w:ascii="Times New Roman" w:hAnsi="Times New Roman" w:cs="Times New Roman"/>
          <w:sz w:val="24"/>
          <w:szCs w:val="24"/>
        </w:rPr>
        <w:fldChar w:fldCharType="end"/>
      </w:r>
      <w:r w:rsidRPr="00EB6086">
        <w:rPr>
          <w:rFonts w:ascii="Times New Roman" w:hAnsi="Times New Roman" w:cs="Times New Roman"/>
          <w:sz w:val="24"/>
          <w:szCs w:val="24"/>
        </w:rPr>
        <w:t xml:space="preserve"> expanded from the same hybrid DA system for the operational global forecast system (Wang et al. 2013)</w:t>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It was shown that the new system can improve both the track and intensity predictions upon the operational HWRF.  In</w:t>
      </w:r>
      <w:r w:rsidR="00CA3051">
        <w:rPr>
          <w:rFonts w:ascii="Times New Roman" w:hAnsi="Times New Roman" w:cs="Times New Roman"/>
          <w:sz w:val="24"/>
          <w:szCs w:val="24"/>
        </w:rPr>
        <w:t xml:space="preserve"> Chapter 4</w:t>
      </w:r>
      <w:r w:rsidRPr="00FA14B9">
        <w:rPr>
          <w:rFonts w:ascii="Times New Roman" w:eastAsia="宋体" w:hAnsi="Times New Roman" w:cs="Times New Roman"/>
          <w:sz w:val="24"/>
          <w:szCs w:val="24"/>
        </w:rPr>
        <w:t xml:space="preserve">, </w:t>
      </w:r>
      <w:r w:rsidRPr="00D117D6">
        <w:rPr>
          <w:rFonts w:ascii="Times New Roman" w:eastAsia="宋体" w:hAnsi="Times New Roman" w:cs="Times New Roman"/>
          <w:sz w:val="24"/>
          <w:szCs w:val="24"/>
        </w:rPr>
        <w:t xml:space="preserve">experiments </w:t>
      </w:r>
      <w:r w:rsidRPr="00FA14B9">
        <w:rPr>
          <w:rFonts w:ascii="Times New Roman" w:eastAsia="宋体" w:hAnsi="Times New Roman" w:cs="Times New Roman"/>
          <w:sz w:val="24"/>
          <w:szCs w:val="24"/>
        </w:rPr>
        <w:t>were conducted to investigate the impact of model physics and model resolution on the spin</w:t>
      </w:r>
      <w:r>
        <w:rPr>
          <w:rFonts w:ascii="Times New Roman" w:eastAsia="宋体" w:hAnsi="Times New Roman" w:cs="Times New Roman"/>
          <w:sz w:val="24"/>
          <w:szCs w:val="24"/>
        </w:rPr>
        <w:t>-</w:t>
      </w:r>
      <w:r w:rsidRPr="00FA14B9">
        <w:rPr>
          <w:rFonts w:ascii="Times New Roman" w:eastAsia="宋体" w:hAnsi="Times New Roman" w:cs="Times New Roman"/>
          <w:sz w:val="24"/>
          <w:szCs w:val="24"/>
        </w:rPr>
        <w:t xml:space="preserve">down issue during Hurricane Patricia (2015).  Results indicated that assimilating the aforementioned observations altogether using the new system and modified model physics, the 3D structures of Patricia were realistically captured in the analysis.  In addition, the realistic TC structure from the DA analysis was well maintained during the forecast, evidenced by the improved subsequent forecast of rapid intensification (RI) of Patricia (2015).  Therefore, in this part of the study, the same system and model configurations will be used to investigate the relative impacts of these diverse observation </w:t>
      </w:r>
      <w:r w:rsidRPr="00FA14B9">
        <w:rPr>
          <w:rFonts w:ascii="Times New Roman" w:eastAsia="宋体" w:hAnsi="Times New Roman" w:cs="Times New Roman"/>
          <w:sz w:val="24"/>
          <w:szCs w:val="24"/>
        </w:rPr>
        <w:lastRenderedPageBreak/>
        <w:t xml:space="preserve">types on the analysis and prediction of Patricia (2015). </w:t>
      </w:r>
      <w:r w:rsidR="00151A53">
        <w:rPr>
          <w:rFonts w:ascii="Times New Roman" w:eastAsia="宋体" w:hAnsi="Times New Roman" w:cs="Times New Roman"/>
          <w:sz w:val="24"/>
          <w:szCs w:val="24"/>
        </w:rPr>
        <w:t xml:space="preserve"> </w:t>
      </w:r>
      <w:r w:rsidR="00151A53" w:rsidRPr="00FA14B9">
        <w:rPr>
          <w:rFonts w:ascii="Times New Roman" w:eastAsia="宋体" w:hAnsi="Times New Roman" w:cs="Times New Roman"/>
          <w:sz w:val="24"/>
          <w:szCs w:val="24"/>
        </w:rPr>
        <w:t xml:space="preserve">Since this is only a case study with limited sample size, the primary goal of this study is to improve the physical understanding of the relative importance of each observation type, and to </w:t>
      </w:r>
      <w:r w:rsidR="00151A53">
        <w:rPr>
          <w:rFonts w:ascii="Times New Roman" w:eastAsia="宋体" w:hAnsi="Times New Roman" w:cs="Times New Roman"/>
          <w:sz w:val="24"/>
          <w:szCs w:val="24"/>
        </w:rPr>
        <w:t>suggest</w:t>
      </w:r>
      <w:r w:rsidR="00151A53" w:rsidRPr="00FA14B9">
        <w:rPr>
          <w:rFonts w:ascii="Times New Roman" w:eastAsia="宋体" w:hAnsi="Times New Roman" w:cs="Times New Roman"/>
          <w:sz w:val="24"/>
          <w:szCs w:val="24"/>
        </w:rPr>
        <w:t xml:space="preserve"> future direction</w:t>
      </w:r>
      <w:r w:rsidR="00151A53">
        <w:rPr>
          <w:rFonts w:ascii="Times New Roman" w:eastAsia="宋体" w:hAnsi="Times New Roman" w:cs="Times New Roman"/>
          <w:sz w:val="24"/>
          <w:szCs w:val="24"/>
        </w:rPr>
        <w:t>s</w:t>
      </w:r>
      <w:r w:rsidR="00151A53" w:rsidRPr="00FA14B9">
        <w:rPr>
          <w:rFonts w:ascii="Times New Roman" w:eastAsia="宋体" w:hAnsi="Times New Roman" w:cs="Times New Roman"/>
          <w:sz w:val="24"/>
          <w:szCs w:val="24"/>
        </w:rPr>
        <w:t xml:space="preserve"> for additional studies.  </w:t>
      </w:r>
    </w:p>
    <w:p w14:paraId="06DE2C39" w14:textId="6CAF35AC" w:rsidR="00C56823" w:rsidRPr="00723DA9" w:rsidRDefault="00C56823" w:rsidP="00441EFB">
      <w:pPr>
        <w:spacing w:after="0" w:line="480" w:lineRule="auto"/>
        <w:ind w:firstLine="432"/>
        <w:rPr>
          <w:rFonts w:ascii="Times New Roman" w:hAnsi="Times New Roman" w:cs="Times New Roman"/>
          <w:sz w:val="24"/>
          <w:szCs w:val="24"/>
        </w:rPr>
      </w:pPr>
      <w:r w:rsidRPr="00723DA9">
        <w:rPr>
          <w:rFonts w:ascii="Times New Roman" w:hAnsi="Times New Roman" w:cs="Times New Roman"/>
          <w:sz w:val="24"/>
          <w:szCs w:val="24"/>
        </w:rPr>
        <w:t xml:space="preserve">As the second part of the two-part study, we first briefly describe the model, the observations and experiment designs in Section </w:t>
      </w:r>
      <w:r w:rsidR="008733AD" w:rsidRPr="00723DA9">
        <w:rPr>
          <w:rFonts w:ascii="Times New Roman" w:hAnsi="Times New Roman" w:cs="Times New Roman"/>
          <w:sz w:val="24"/>
          <w:szCs w:val="24"/>
        </w:rPr>
        <w:t>5.</w:t>
      </w:r>
      <w:r w:rsidRPr="00723DA9">
        <w:rPr>
          <w:rFonts w:ascii="Times New Roman" w:hAnsi="Times New Roman" w:cs="Times New Roman"/>
          <w:sz w:val="24"/>
          <w:szCs w:val="24"/>
        </w:rPr>
        <w:t xml:space="preserve">2.  Section </w:t>
      </w:r>
      <w:r w:rsidR="008733AD" w:rsidRPr="00723DA9">
        <w:rPr>
          <w:rFonts w:ascii="Times New Roman" w:hAnsi="Times New Roman" w:cs="Times New Roman"/>
          <w:sz w:val="24"/>
          <w:szCs w:val="24"/>
        </w:rPr>
        <w:t>5.</w:t>
      </w:r>
      <w:r w:rsidRPr="00723DA9">
        <w:rPr>
          <w:rFonts w:ascii="Times New Roman" w:hAnsi="Times New Roman" w:cs="Times New Roman"/>
          <w:sz w:val="24"/>
          <w:szCs w:val="24"/>
        </w:rPr>
        <w:t xml:space="preserve">3 discusses the results of the impacts of various observations on the analysis and prediction of Patricia.  Section </w:t>
      </w:r>
      <w:r w:rsidR="008733AD" w:rsidRPr="00723DA9">
        <w:rPr>
          <w:rFonts w:ascii="Times New Roman" w:hAnsi="Times New Roman" w:cs="Times New Roman"/>
          <w:sz w:val="24"/>
          <w:szCs w:val="24"/>
        </w:rPr>
        <w:t>5.</w:t>
      </w:r>
      <w:r w:rsidRPr="00723DA9">
        <w:rPr>
          <w:rFonts w:ascii="Times New Roman" w:hAnsi="Times New Roman" w:cs="Times New Roman"/>
          <w:sz w:val="24"/>
          <w:szCs w:val="24"/>
        </w:rPr>
        <w:t xml:space="preserve">4 concludes and further discusses the </w:t>
      </w:r>
      <w:r w:rsidR="00770CFF">
        <w:rPr>
          <w:rFonts w:ascii="Times New Roman" w:hAnsi="Times New Roman" w:cs="Times New Roman" w:hint="eastAsia"/>
          <w:sz w:val="24"/>
          <w:szCs w:val="24"/>
        </w:rPr>
        <w:t>results</w:t>
      </w:r>
      <w:r w:rsidRPr="00723DA9">
        <w:rPr>
          <w:rFonts w:ascii="Times New Roman" w:hAnsi="Times New Roman" w:cs="Times New Roman"/>
          <w:sz w:val="24"/>
          <w:szCs w:val="24"/>
        </w:rPr>
        <w:t xml:space="preserve">. </w:t>
      </w:r>
    </w:p>
    <w:p w14:paraId="14533923" w14:textId="0EFC7EF6" w:rsidR="00C56823" w:rsidRPr="00723DA9" w:rsidRDefault="00C56823" w:rsidP="004F1C22">
      <w:pPr>
        <w:pStyle w:val="Heading2"/>
        <w:numPr>
          <w:ilvl w:val="1"/>
          <w:numId w:val="24"/>
        </w:numPr>
        <w:spacing w:line="480" w:lineRule="auto"/>
        <w:ind w:left="0" w:firstLine="0"/>
        <w:rPr>
          <w:rFonts w:ascii="Times New Roman" w:hAnsi="Times New Roman" w:cs="Times New Roman"/>
          <w:b/>
          <w:bCs/>
          <w:color w:val="auto"/>
          <w:sz w:val="24"/>
          <w:szCs w:val="24"/>
        </w:rPr>
      </w:pPr>
      <w:bookmarkStart w:id="207" w:name="_Toc21624006"/>
      <w:r w:rsidRPr="00723DA9">
        <w:rPr>
          <w:rFonts w:ascii="Times New Roman" w:hAnsi="Times New Roman" w:cs="Times New Roman"/>
          <w:b/>
          <w:bCs/>
          <w:color w:val="auto"/>
          <w:sz w:val="24"/>
          <w:szCs w:val="24"/>
        </w:rPr>
        <w:t>Model, Data and Experiment Design</w:t>
      </w:r>
      <w:bookmarkEnd w:id="207"/>
    </w:p>
    <w:p w14:paraId="57C3B08E" w14:textId="7C8A9ECF" w:rsidR="00C56823" w:rsidRPr="00723DA9" w:rsidRDefault="00C56823" w:rsidP="004F1C22">
      <w:pPr>
        <w:pStyle w:val="Heading3"/>
        <w:numPr>
          <w:ilvl w:val="2"/>
          <w:numId w:val="25"/>
        </w:numPr>
        <w:spacing w:before="160" w:after="160" w:line="480" w:lineRule="auto"/>
        <w:rPr>
          <w:rFonts w:ascii="Times New Roman" w:hAnsi="Times New Roman" w:cs="Times New Roman"/>
          <w:b/>
          <w:bCs/>
          <w:i/>
          <w:iCs/>
          <w:color w:val="auto"/>
        </w:rPr>
      </w:pPr>
      <w:bookmarkStart w:id="208" w:name="_Toc21624007"/>
      <w:r w:rsidRPr="00723DA9">
        <w:rPr>
          <w:rFonts w:ascii="Times New Roman" w:hAnsi="Times New Roman" w:cs="Times New Roman"/>
          <w:b/>
          <w:bCs/>
          <w:i/>
          <w:iCs/>
          <w:color w:val="auto"/>
        </w:rPr>
        <w:t>Model description</w:t>
      </w:r>
      <w:bookmarkEnd w:id="208"/>
    </w:p>
    <w:p w14:paraId="53344F80" w14:textId="1CC5350A" w:rsidR="007E49C2" w:rsidRPr="00723DA9" w:rsidRDefault="007E49C2" w:rsidP="007E49C2">
      <w:pPr>
        <w:pStyle w:val="Captions"/>
        <w:spacing w:after="160"/>
        <w:rPr>
          <w:rFonts w:cs="Times New Roman"/>
        </w:rPr>
      </w:pPr>
      <w:bookmarkStart w:id="209" w:name="_Toc21629872"/>
      <w:r w:rsidRPr="00723DA9">
        <w:rPr>
          <w:rFonts w:cs="Times New Roman"/>
        </w:rPr>
        <w:t>Table 5.</w:t>
      </w:r>
      <w:r w:rsidRPr="00723DA9">
        <w:rPr>
          <w:rFonts w:cs="Times New Roman"/>
        </w:rPr>
        <w:fldChar w:fldCharType="begin"/>
      </w:r>
      <w:r w:rsidRPr="00723DA9">
        <w:rPr>
          <w:rFonts w:cs="Times New Roman"/>
        </w:rPr>
        <w:instrText xml:space="preserve"> SEQ Table \* ARABIC \s 1 </w:instrText>
      </w:r>
      <w:r w:rsidRPr="00723DA9">
        <w:rPr>
          <w:rFonts w:cs="Times New Roman"/>
        </w:rPr>
        <w:fldChar w:fldCharType="separate"/>
      </w:r>
      <w:r w:rsidR="00C350DE">
        <w:rPr>
          <w:rFonts w:cs="Times New Roman"/>
          <w:noProof/>
        </w:rPr>
        <w:t>1</w:t>
      </w:r>
      <w:r w:rsidRPr="00723DA9">
        <w:rPr>
          <w:rFonts w:cs="Times New Roman"/>
          <w:noProof/>
        </w:rPr>
        <w:fldChar w:fldCharType="end"/>
      </w:r>
      <w:r w:rsidRPr="00723DA9">
        <w:rPr>
          <w:rFonts w:cs="Times New Roman"/>
        </w:rPr>
        <w:t xml:space="preserve"> List of experiments and their descriptions.</w:t>
      </w:r>
      <w:bookmarkEnd w:id="209"/>
    </w:p>
    <w:tbl>
      <w:tblPr>
        <w:tblW w:w="9080" w:type="dxa"/>
        <w:jc w:val="center"/>
        <w:tblCellMar>
          <w:left w:w="0" w:type="dxa"/>
          <w:right w:w="0" w:type="dxa"/>
        </w:tblCellMar>
        <w:tblLook w:val="0600" w:firstRow="0" w:lastRow="0" w:firstColumn="0" w:lastColumn="0" w:noHBand="1" w:noVBand="1"/>
      </w:tblPr>
      <w:tblGrid>
        <w:gridCol w:w="1980"/>
        <w:gridCol w:w="2510"/>
        <w:gridCol w:w="4590"/>
      </w:tblGrid>
      <w:tr w:rsidR="007E49C2" w:rsidRPr="00723DA9" w14:paraId="35452BBF" w14:textId="77777777" w:rsidTr="003F0ED0">
        <w:trPr>
          <w:trHeight w:val="470"/>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18DACCE0"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b/>
                <w:bCs/>
                <w:color w:val="000000" w:themeColor="text1"/>
                <w:sz w:val="20"/>
                <w:szCs w:val="20"/>
              </w:rPr>
              <w:t>Experiment name</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CF26C04"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r w:rsidRPr="00723DA9">
              <w:rPr>
                <w:rFonts w:ascii="Times New Roman" w:eastAsia="Times New Roman" w:hAnsi="Times New Roman" w:cs="Times New Roman"/>
                <w:b/>
                <w:bCs/>
                <w:color w:val="000000" w:themeColor="text1"/>
                <w:sz w:val="20"/>
                <w:szCs w:val="20"/>
              </w:rPr>
              <w:t>Common Features</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1B26A99A"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b/>
                <w:bCs/>
                <w:color w:val="000000" w:themeColor="text1"/>
                <w:sz w:val="20"/>
                <w:szCs w:val="20"/>
              </w:rPr>
              <w:t>Description</w:t>
            </w:r>
          </w:p>
        </w:tc>
      </w:tr>
      <w:tr w:rsidR="007E49C2" w:rsidRPr="00723DA9" w14:paraId="4C51E5BD" w14:textId="77777777" w:rsidTr="003F0ED0">
        <w:trPr>
          <w:trHeight w:val="33"/>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39AC1E12"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roofErr w:type="spellStart"/>
            <w:r w:rsidRPr="00723DA9">
              <w:rPr>
                <w:rFonts w:ascii="Times New Roman" w:eastAsia="Times New Roman" w:hAnsi="Times New Roman" w:cs="Times New Roman"/>
                <w:b/>
                <w:bCs/>
                <w:color w:val="000000" w:themeColor="text1"/>
                <w:sz w:val="20"/>
                <w:szCs w:val="20"/>
              </w:rPr>
              <w:t>NoDA</w:t>
            </w:r>
            <w:proofErr w:type="spellEnd"/>
          </w:p>
        </w:tc>
        <w:tc>
          <w:tcPr>
            <w:tcW w:w="2510" w:type="dxa"/>
            <w:vMerge w:val="restart"/>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1B0A70A8"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b/>
                <w:bCs/>
                <w:color w:val="000000" w:themeColor="text1"/>
                <w:sz w:val="20"/>
                <w:szCs w:val="20"/>
              </w:rPr>
              <w:t>Background</w:t>
            </w:r>
            <w:r w:rsidRPr="00723DA9">
              <w:rPr>
                <w:rFonts w:ascii="Times New Roman" w:eastAsia="Times New Roman" w:hAnsi="Times New Roman" w:cs="Times New Roman"/>
                <w:color w:val="000000" w:themeColor="text1"/>
                <w:sz w:val="20"/>
                <w:szCs w:val="20"/>
              </w:rPr>
              <w:t>:</w:t>
            </w:r>
          </w:p>
          <w:p w14:paraId="7A90A7E2"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6-hour control forecast initialized from 1200 UTC 22 October 2015 using the GSI-based, continuously cycled, dual-resolution hybrid ensemble-variational (</w:t>
            </w:r>
            <w:proofErr w:type="spellStart"/>
            <w:r w:rsidRPr="00723DA9">
              <w:rPr>
                <w:rFonts w:ascii="Times New Roman" w:eastAsia="Times New Roman" w:hAnsi="Times New Roman" w:cs="Times New Roman"/>
                <w:color w:val="000000" w:themeColor="text1"/>
                <w:sz w:val="20"/>
                <w:szCs w:val="20"/>
              </w:rPr>
              <w:t>EnVar</w:t>
            </w:r>
            <w:proofErr w:type="spellEnd"/>
            <w:r w:rsidRPr="00723DA9">
              <w:rPr>
                <w:rFonts w:ascii="Times New Roman" w:eastAsia="Times New Roman" w:hAnsi="Times New Roman" w:cs="Times New Roman"/>
                <w:color w:val="000000" w:themeColor="text1"/>
                <w:sz w:val="20"/>
                <w:szCs w:val="20"/>
              </w:rPr>
              <w:t>) DA system for HWRF (Lu et al., 2017b) valid at 1800 UTC 22 October 2015.</w:t>
            </w:r>
          </w:p>
          <w:p w14:paraId="1A85748D"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b/>
                <w:bCs/>
                <w:color w:val="000000" w:themeColor="text1"/>
                <w:sz w:val="20"/>
                <w:szCs w:val="20"/>
              </w:rPr>
              <w:t>Physics</w:t>
            </w:r>
            <w:r w:rsidRPr="00723DA9">
              <w:rPr>
                <w:rFonts w:ascii="Times New Roman" w:eastAsia="Times New Roman" w:hAnsi="Times New Roman" w:cs="Times New Roman"/>
                <w:color w:val="000000" w:themeColor="text1"/>
                <w:sz w:val="20"/>
                <w:szCs w:val="20"/>
              </w:rPr>
              <w:t>:</w:t>
            </w:r>
          </w:p>
          <w:p w14:paraId="0CD50AFC"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r w:rsidRPr="00723DA9">
              <w:rPr>
                <w:rFonts w:ascii="Times New Roman" w:eastAsia="Times New Roman" w:hAnsi="Times New Roman" w:cs="Times New Roman"/>
                <w:color w:val="000000" w:themeColor="text1"/>
                <w:sz w:val="20"/>
                <w:szCs w:val="20"/>
              </w:rPr>
              <w:t>Ferrier-</w:t>
            </w:r>
            <w:proofErr w:type="spellStart"/>
            <w:r w:rsidRPr="00723DA9">
              <w:rPr>
                <w:rFonts w:ascii="Times New Roman" w:eastAsia="Times New Roman" w:hAnsi="Times New Roman" w:cs="Times New Roman"/>
                <w:color w:val="000000" w:themeColor="text1"/>
                <w:sz w:val="20"/>
                <w:szCs w:val="20"/>
              </w:rPr>
              <w:t>Aligo</w:t>
            </w:r>
            <w:proofErr w:type="spellEnd"/>
            <w:r w:rsidRPr="00723DA9">
              <w:rPr>
                <w:rFonts w:ascii="Times New Roman" w:eastAsia="Times New Roman" w:hAnsi="Times New Roman" w:cs="Times New Roman"/>
                <w:color w:val="000000" w:themeColor="text1"/>
                <w:sz w:val="20"/>
                <w:szCs w:val="20"/>
              </w:rPr>
              <w:t xml:space="preserve"> microphysics scheme; simplified Arakawa-Schubert (SAS) cumulus scheme; HWRF modified surface layer scheme; Noah land surface model; HWRF PBL scheme; RRTMG longwave and shortwave radiation schemes;</w:t>
            </w:r>
            <w:r w:rsidRPr="00723DA9">
              <w:rPr>
                <w:rFonts w:ascii="Times New Roman" w:hAnsi="Times New Roman" w:cs="Times New Roman"/>
                <w:sz w:val="20"/>
                <w:szCs w:val="20"/>
              </w:rPr>
              <w:t xml:space="preserve"> </w:t>
            </w:r>
            <w:r w:rsidRPr="00723DA9">
              <w:rPr>
                <w:rFonts w:ascii="Times New Roman" w:eastAsia="Times New Roman" w:hAnsi="Times New Roman" w:cs="Times New Roman"/>
                <w:color w:val="000000" w:themeColor="text1"/>
                <w:sz w:val="20"/>
                <w:szCs w:val="20"/>
              </w:rPr>
              <w:t>Reduced “</w:t>
            </w:r>
            <w:proofErr w:type="spellStart"/>
            <w:r w:rsidRPr="00723DA9">
              <w:rPr>
                <w:rFonts w:ascii="Times New Roman" w:eastAsia="Times New Roman" w:hAnsi="Times New Roman" w:cs="Times New Roman"/>
                <w:color w:val="000000" w:themeColor="text1"/>
                <w:sz w:val="20"/>
                <w:szCs w:val="20"/>
              </w:rPr>
              <w:t>Coac</w:t>
            </w:r>
            <w:proofErr w:type="spellEnd"/>
            <w:r w:rsidRPr="00723DA9">
              <w:rPr>
                <w:rFonts w:ascii="Times New Roman" w:eastAsia="Times New Roman" w:hAnsi="Times New Roman" w:cs="Times New Roman"/>
                <w:color w:val="000000" w:themeColor="text1"/>
                <w:sz w:val="20"/>
                <w:szCs w:val="20"/>
              </w:rPr>
              <w:t>” (horizontal diffusion weight) from 0.75/3.0/4.0 to 0.75/1.0/1.2;</w:t>
            </w:r>
            <w:r w:rsidRPr="00723DA9">
              <w:rPr>
                <w:rFonts w:ascii="Times New Roman" w:hAnsi="Times New Roman" w:cs="Times New Roman"/>
                <w:sz w:val="20"/>
                <w:szCs w:val="20"/>
              </w:rPr>
              <w:t xml:space="preserve"> </w:t>
            </w:r>
            <w:r w:rsidRPr="00723DA9">
              <w:rPr>
                <w:rFonts w:ascii="Times New Roman" w:eastAsia="Times New Roman" w:hAnsi="Times New Roman" w:cs="Times New Roman"/>
                <w:color w:val="000000" w:themeColor="text1"/>
                <w:sz w:val="20"/>
                <w:szCs w:val="20"/>
              </w:rPr>
              <w:t>Modified turbulent mixing parameterization.</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64131D24"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No DA is performed</w:t>
            </w:r>
          </w:p>
        </w:tc>
      </w:tr>
      <w:tr w:rsidR="007E49C2" w:rsidRPr="00723DA9" w14:paraId="1F79C749" w14:textId="77777777" w:rsidTr="003F0ED0">
        <w:trPr>
          <w:trHeight w:val="33"/>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7CE76091"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proofErr w:type="spellStart"/>
            <w:r w:rsidRPr="00723DA9">
              <w:rPr>
                <w:rFonts w:ascii="Times New Roman" w:eastAsia="Times New Roman" w:hAnsi="Times New Roman" w:cs="Times New Roman"/>
                <w:b/>
                <w:bCs/>
                <w:color w:val="000000" w:themeColor="text1"/>
                <w:sz w:val="20"/>
                <w:szCs w:val="20"/>
              </w:rPr>
              <w:t>OperH</w:t>
            </w:r>
            <w:proofErr w:type="spellEnd"/>
          </w:p>
        </w:tc>
        <w:tc>
          <w:tcPr>
            <w:tcW w:w="2510"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5370A3DE"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234B6BF8"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 xml:space="preserve">Conventional in-situ data in </w:t>
            </w:r>
            <w:proofErr w:type="spellStart"/>
            <w:r w:rsidRPr="00723DA9">
              <w:rPr>
                <w:rFonts w:ascii="Times New Roman" w:eastAsia="Times New Roman" w:hAnsi="Times New Roman" w:cs="Times New Roman"/>
                <w:color w:val="000000" w:themeColor="text1"/>
                <w:sz w:val="20"/>
                <w:szCs w:val="20"/>
              </w:rPr>
              <w:t>prepbufr</w:t>
            </w:r>
            <w:proofErr w:type="spellEnd"/>
            <w:r w:rsidRPr="00723DA9">
              <w:rPr>
                <w:rFonts w:ascii="Times New Roman" w:eastAsia="Times New Roman" w:hAnsi="Times New Roman" w:cs="Times New Roman"/>
                <w:color w:val="000000" w:themeColor="text1"/>
                <w:sz w:val="20"/>
                <w:szCs w:val="20"/>
              </w:rPr>
              <w:t xml:space="preserve"> (</w:t>
            </w:r>
            <w:r w:rsidRPr="00723DA9">
              <w:rPr>
                <w:rFonts w:ascii="Times New Roman" w:hAnsi="Times New Roman" w:cs="Times New Roman"/>
                <w:sz w:val="20"/>
                <w:szCs w:val="20"/>
              </w:rPr>
              <w:t xml:space="preserve">Radiosondes; </w:t>
            </w:r>
            <w:proofErr w:type="spellStart"/>
            <w:r w:rsidRPr="00723DA9">
              <w:rPr>
                <w:rFonts w:ascii="Times New Roman" w:hAnsi="Times New Roman" w:cs="Times New Roman"/>
                <w:sz w:val="20"/>
                <w:szCs w:val="20"/>
              </w:rPr>
              <w:t>Dropwindsondes</w:t>
            </w:r>
            <w:proofErr w:type="spellEnd"/>
            <w:r w:rsidRPr="00723DA9">
              <w:rPr>
                <w:rFonts w:ascii="Times New Roman" w:hAnsi="Times New Roman" w:cs="Times New Roman"/>
                <w:sz w:val="20"/>
                <w:szCs w:val="20"/>
              </w:rPr>
              <w:t xml:space="preserve">; Aircraft Reports; Surface Ship and Buoy Observations; Surface Observations over Land; </w:t>
            </w:r>
            <w:proofErr w:type="spellStart"/>
            <w:r w:rsidRPr="00723DA9">
              <w:rPr>
                <w:rFonts w:ascii="Times New Roman" w:hAnsi="Times New Roman" w:cs="Times New Roman"/>
                <w:sz w:val="20"/>
                <w:szCs w:val="20"/>
              </w:rPr>
              <w:t>Pibal</w:t>
            </w:r>
            <w:proofErr w:type="spellEnd"/>
            <w:r w:rsidRPr="00723DA9">
              <w:rPr>
                <w:rFonts w:ascii="Times New Roman" w:hAnsi="Times New Roman" w:cs="Times New Roman"/>
                <w:sz w:val="20"/>
                <w:szCs w:val="20"/>
              </w:rPr>
              <w:t xml:space="preserve"> Winds; Wind Profilers; Radar-derived Velocity Azimuth Display Wind; </w:t>
            </w:r>
            <w:proofErr w:type="spellStart"/>
            <w:r w:rsidRPr="00723DA9">
              <w:rPr>
                <w:rFonts w:ascii="Times New Roman" w:hAnsi="Times New Roman" w:cs="Times New Roman"/>
                <w:sz w:val="20"/>
                <w:szCs w:val="20"/>
              </w:rPr>
              <w:t>WindSat</w:t>
            </w:r>
            <w:proofErr w:type="spellEnd"/>
            <w:r w:rsidRPr="00723DA9">
              <w:rPr>
                <w:rFonts w:ascii="Times New Roman" w:hAnsi="Times New Roman" w:cs="Times New Roman"/>
                <w:sz w:val="20"/>
                <w:szCs w:val="20"/>
              </w:rPr>
              <w:t xml:space="preserve"> </w:t>
            </w:r>
            <w:proofErr w:type="spellStart"/>
            <w:r w:rsidRPr="00723DA9">
              <w:rPr>
                <w:rFonts w:ascii="Times New Roman" w:hAnsi="Times New Roman" w:cs="Times New Roman"/>
                <w:sz w:val="20"/>
                <w:szCs w:val="20"/>
              </w:rPr>
              <w:t>Scatterometer</w:t>
            </w:r>
            <w:proofErr w:type="spellEnd"/>
            <w:r w:rsidRPr="00723DA9">
              <w:rPr>
                <w:rFonts w:ascii="Times New Roman" w:hAnsi="Times New Roman" w:cs="Times New Roman"/>
                <w:sz w:val="20"/>
                <w:szCs w:val="20"/>
              </w:rPr>
              <w:t xml:space="preserve"> Winds; Integrated Precipitable Water derived from the Global Positioning System</w:t>
            </w:r>
            <w:r w:rsidRPr="00723DA9">
              <w:rPr>
                <w:rFonts w:ascii="Times New Roman" w:eastAsia="Times New Roman" w:hAnsi="Times New Roman" w:cs="Times New Roman"/>
                <w:color w:val="000000" w:themeColor="text1"/>
                <w:sz w:val="20"/>
                <w:szCs w:val="20"/>
              </w:rPr>
              <w:t xml:space="preserve">), </w:t>
            </w:r>
            <w:proofErr w:type="spellStart"/>
            <w:r w:rsidRPr="00723DA9">
              <w:rPr>
                <w:rFonts w:ascii="Times New Roman" w:eastAsia="Times New Roman" w:hAnsi="Times New Roman" w:cs="Times New Roman"/>
                <w:color w:val="000000" w:themeColor="text1"/>
                <w:sz w:val="20"/>
                <w:szCs w:val="20"/>
              </w:rPr>
              <w:t>tcvital</w:t>
            </w:r>
            <w:proofErr w:type="spellEnd"/>
            <w:r w:rsidRPr="00723DA9">
              <w:rPr>
                <w:rFonts w:ascii="Times New Roman" w:eastAsia="Times New Roman" w:hAnsi="Times New Roman" w:cs="Times New Roman"/>
                <w:color w:val="000000" w:themeColor="text1"/>
                <w:sz w:val="20"/>
                <w:szCs w:val="20"/>
              </w:rPr>
              <w:t xml:space="preserve">, EMC AMVs and satellite radiances (from </w:t>
            </w:r>
            <w:r w:rsidRPr="00723DA9">
              <w:rPr>
                <w:rFonts w:ascii="Times New Roman" w:hAnsi="Times New Roman" w:cs="Times New Roman"/>
                <w:sz w:val="20"/>
                <w:szCs w:val="20"/>
              </w:rPr>
              <w:t>HIRS, AIRS, IASI, GOES, AMSU-A, MHS and ATMS</w:t>
            </w:r>
            <w:r w:rsidRPr="00723DA9">
              <w:rPr>
                <w:rFonts w:ascii="Times New Roman" w:eastAsia="Times New Roman" w:hAnsi="Times New Roman" w:cs="Times New Roman"/>
                <w:color w:val="000000" w:themeColor="text1"/>
                <w:sz w:val="20"/>
                <w:szCs w:val="20"/>
              </w:rPr>
              <w:t>). Note, the satellite radiances are only assimilated in the intermediate domain following the operational configuration.</w:t>
            </w:r>
          </w:p>
        </w:tc>
      </w:tr>
      <w:tr w:rsidR="007E49C2" w:rsidRPr="00723DA9" w14:paraId="0CAE4DAA" w14:textId="77777777" w:rsidTr="003F0ED0">
        <w:trPr>
          <w:trHeight w:val="532"/>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1DDF0C38"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proofErr w:type="spellStart"/>
            <w:r w:rsidRPr="00723DA9">
              <w:rPr>
                <w:rFonts w:ascii="Times New Roman" w:eastAsia="Times New Roman" w:hAnsi="Times New Roman" w:cs="Times New Roman"/>
                <w:b/>
                <w:bCs/>
                <w:color w:val="000000" w:themeColor="text1"/>
                <w:sz w:val="20"/>
                <w:szCs w:val="20"/>
              </w:rPr>
              <w:t>CIMSS_Only</w:t>
            </w:r>
            <w:proofErr w:type="spellEnd"/>
          </w:p>
        </w:tc>
        <w:tc>
          <w:tcPr>
            <w:tcW w:w="2510"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10E48BE0"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2AD6C773"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Only CIMSS AMVs are assimilated</w:t>
            </w:r>
          </w:p>
        </w:tc>
      </w:tr>
      <w:tr w:rsidR="007E49C2" w:rsidRPr="00723DA9" w14:paraId="495BE955" w14:textId="77777777" w:rsidTr="003F0ED0">
        <w:trPr>
          <w:trHeight w:val="33"/>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15E61FCB"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proofErr w:type="spellStart"/>
            <w:r w:rsidRPr="00723DA9">
              <w:rPr>
                <w:rFonts w:ascii="Times New Roman" w:eastAsia="Times New Roman" w:hAnsi="Times New Roman" w:cs="Times New Roman"/>
                <w:b/>
                <w:bCs/>
                <w:color w:val="000000" w:themeColor="text1"/>
                <w:sz w:val="20"/>
                <w:szCs w:val="20"/>
              </w:rPr>
              <w:t>SFMR_Only</w:t>
            </w:r>
            <w:proofErr w:type="spellEnd"/>
          </w:p>
        </w:tc>
        <w:tc>
          <w:tcPr>
            <w:tcW w:w="2510"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385E6897"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18DF4B64"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Only SFMR observations are assimilated</w:t>
            </w:r>
          </w:p>
        </w:tc>
      </w:tr>
      <w:tr w:rsidR="007E49C2" w:rsidRPr="00723DA9" w14:paraId="2E59BCF1" w14:textId="77777777" w:rsidTr="003F0ED0">
        <w:trPr>
          <w:trHeight w:val="33"/>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66134FF2"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proofErr w:type="spellStart"/>
            <w:r w:rsidRPr="00723DA9">
              <w:rPr>
                <w:rFonts w:ascii="Times New Roman" w:eastAsia="Times New Roman" w:hAnsi="Times New Roman" w:cs="Times New Roman"/>
                <w:b/>
                <w:bCs/>
                <w:color w:val="000000" w:themeColor="text1"/>
                <w:sz w:val="20"/>
                <w:szCs w:val="20"/>
              </w:rPr>
              <w:t>FL_Only</w:t>
            </w:r>
            <w:proofErr w:type="spellEnd"/>
          </w:p>
        </w:tc>
        <w:tc>
          <w:tcPr>
            <w:tcW w:w="2510"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0DEEF09A"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2290F6D3"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Only flight-level observations are assimilated</w:t>
            </w:r>
          </w:p>
        </w:tc>
      </w:tr>
      <w:tr w:rsidR="007E49C2" w:rsidRPr="00723DA9" w14:paraId="277A3CBD" w14:textId="77777777" w:rsidTr="003F0ED0">
        <w:trPr>
          <w:trHeight w:val="33"/>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43B23D8C"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proofErr w:type="spellStart"/>
            <w:r w:rsidRPr="00723DA9">
              <w:rPr>
                <w:rFonts w:ascii="Times New Roman" w:eastAsia="Times New Roman" w:hAnsi="Times New Roman" w:cs="Times New Roman"/>
                <w:b/>
                <w:bCs/>
                <w:color w:val="000000" w:themeColor="text1"/>
                <w:sz w:val="20"/>
                <w:szCs w:val="20"/>
              </w:rPr>
              <w:t>TDR_Only</w:t>
            </w:r>
            <w:proofErr w:type="spellEnd"/>
          </w:p>
        </w:tc>
        <w:tc>
          <w:tcPr>
            <w:tcW w:w="2510"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27EFEF17"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3AB406EB"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Only TDR are assimilated</w:t>
            </w:r>
          </w:p>
        </w:tc>
      </w:tr>
      <w:tr w:rsidR="007E49C2" w:rsidRPr="00723DA9" w14:paraId="4194E09B" w14:textId="77777777" w:rsidTr="003F0ED0">
        <w:trPr>
          <w:trHeight w:val="33"/>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1778F08F"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proofErr w:type="spellStart"/>
            <w:r w:rsidRPr="00723DA9">
              <w:rPr>
                <w:rFonts w:ascii="Times New Roman" w:eastAsia="Times New Roman" w:hAnsi="Times New Roman" w:cs="Times New Roman"/>
                <w:b/>
                <w:bCs/>
                <w:color w:val="000000" w:themeColor="text1"/>
                <w:sz w:val="20"/>
                <w:szCs w:val="20"/>
              </w:rPr>
              <w:t>HDSS_Only</w:t>
            </w:r>
            <w:proofErr w:type="spellEnd"/>
          </w:p>
        </w:tc>
        <w:tc>
          <w:tcPr>
            <w:tcW w:w="2510"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15B165E2"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519E50F6"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 xml:space="preserve">Only HDSS </w:t>
            </w:r>
            <w:proofErr w:type="spellStart"/>
            <w:r w:rsidRPr="00723DA9">
              <w:rPr>
                <w:rFonts w:ascii="Times New Roman" w:eastAsia="Times New Roman" w:hAnsi="Times New Roman" w:cs="Times New Roman"/>
                <w:color w:val="000000" w:themeColor="text1"/>
                <w:sz w:val="20"/>
                <w:szCs w:val="20"/>
              </w:rPr>
              <w:t>dropsodes</w:t>
            </w:r>
            <w:proofErr w:type="spellEnd"/>
            <w:r w:rsidRPr="00723DA9">
              <w:rPr>
                <w:rFonts w:ascii="Times New Roman" w:eastAsia="Times New Roman" w:hAnsi="Times New Roman" w:cs="Times New Roman"/>
                <w:color w:val="000000" w:themeColor="text1"/>
                <w:sz w:val="20"/>
                <w:szCs w:val="20"/>
              </w:rPr>
              <w:t xml:space="preserve"> from TCI are assimilated</w:t>
            </w:r>
          </w:p>
        </w:tc>
      </w:tr>
      <w:tr w:rsidR="007E49C2" w:rsidRPr="00723DA9" w14:paraId="470E760F" w14:textId="77777777" w:rsidTr="003F0ED0">
        <w:trPr>
          <w:trHeight w:val="33"/>
          <w:jc w:val="center"/>
        </w:trPr>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07798217"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b/>
                <w:bCs/>
                <w:color w:val="000000" w:themeColor="text1"/>
                <w:sz w:val="20"/>
                <w:szCs w:val="20"/>
              </w:rPr>
              <w:t>All</w:t>
            </w:r>
          </w:p>
        </w:tc>
        <w:tc>
          <w:tcPr>
            <w:tcW w:w="2510"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5B804F6C" w14:textId="77777777" w:rsidR="007E49C2" w:rsidRPr="00723DA9" w:rsidRDefault="007E49C2" w:rsidP="003F0ED0">
            <w:pPr>
              <w:spacing w:after="0" w:line="240" w:lineRule="auto"/>
              <w:rPr>
                <w:rFonts w:ascii="Times New Roman" w:eastAsia="Times New Roman" w:hAnsi="Times New Roman" w:cs="Times New Roman"/>
                <w:b/>
                <w:bCs/>
                <w:color w:val="000000" w:themeColor="text1"/>
                <w:sz w:val="20"/>
                <w:szCs w:val="20"/>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203" w:type="dxa"/>
              <w:bottom w:w="0" w:type="dxa"/>
              <w:right w:w="203" w:type="dxa"/>
            </w:tcMar>
            <w:vAlign w:val="center"/>
            <w:hideMark/>
          </w:tcPr>
          <w:p w14:paraId="6473BC5F" w14:textId="77777777" w:rsidR="007E49C2" w:rsidRPr="00723DA9" w:rsidRDefault="007E49C2" w:rsidP="003F0ED0">
            <w:pPr>
              <w:spacing w:after="0" w:line="240" w:lineRule="auto"/>
              <w:rPr>
                <w:rFonts w:ascii="Times New Roman" w:eastAsia="Times New Roman" w:hAnsi="Times New Roman" w:cs="Times New Roman"/>
                <w:color w:val="000000" w:themeColor="text1"/>
                <w:sz w:val="20"/>
                <w:szCs w:val="20"/>
              </w:rPr>
            </w:pPr>
            <w:r w:rsidRPr="00723DA9">
              <w:rPr>
                <w:rFonts w:ascii="Times New Roman" w:eastAsia="Times New Roman" w:hAnsi="Times New Roman" w:cs="Times New Roman"/>
                <w:color w:val="000000" w:themeColor="text1"/>
                <w:sz w:val="20"/>
                <w:szCs w:val="20"/>
              </w:rPr>
              <w:t xml:space="preserve">Conventional in-situ data in </w:t>
            </w:r>
            <w:proofErr w:type="spellStart"/>
            <w:r w:rsidRPr="00723DA9">
              <w:rPr>
                <w:rFonts w:ascii="Times New Roman" w:eastAsia="Times New Roman" w:hAnsi="Times New Roman" w:cs="Times New Roman"/>
                <w:color w:val="000000" w:themeColor="text1"/>
                <w:sz w:val="20"/>
                <w:szCs w:val="20"/>
              </w:rPr>
              <w:t>prepbufr</w:t>
            </w:r>
            <w:proofErr w:type="spellEnd"/>
            <w:r w:rsidRPr="00723DA9">
              <w:rPr>
                <w:rFonts w:ascii="Times New Roman" w:eastAsia="Times New Roman" w:hAnsi="Times New Roman" w:cs="Times New Roman"/>
                <w:color w:val="000000" w:themeColor="text1"/>
                <w:sz w:val="20"/>
                <w:szCs w:val="20"/>
              </w:rPr>
              <w:t xml:space="preserve">, </w:t>
            </w:r>
            <w:proofErr w:type="spellStart"/>
            <w:r w:rsidRPr="00723DA9">
              <w:rPr>
                <w:rFonts w:ascii="Times New Roman" w:eastAsia="Times New Roman" w:hAnsi="Times New Roman" w:cs="Times New Roman"/>
                <w:color w:val="000000" w:themeColor="text1"/>
                <w:sz w:val="20"/>
                <w:szCs w:val="20"/>
              </w:rPr>
              <w:t>tcvital</w:t>
            </w:r>
            <w:proofErr w:type="spellEnd"/>
            <w:r w:rsidRPr="00723DA9">
              <w:rPr>
                <w:rFonts w:ascii="Times New Roman" w:eastAsia="Times New Roman" w:hAnsi="Times New Roman" w:cs="Times New Roman"/>
                <w:color w:val="000000" w:themeColor="text1"/>
                <w:sz w:val="20"/>
                <w:szCs w:val="20"/>
              </w:rPr>
              <w:t xml:space="preserve">, TDR, SFMR and flight-level observations, HDSS </w:t>
            </w:r>
            <w:proofErr w:type="spellStart"/>
            <w:r w:rsidRPr="00723DA9">
              <w:rPr>
                <w:rFonts w:ascii="Times New Roman" w:eastAsia="Times New Roman" w:hAnsi="Times New Roman" w:cs="Times New Roman"/>
                <w:color w:val="000000" w:themeColor="text1"/>
                <w:sz w:val="20"/>
                <w:szCs w:val="20"/>
              </w:rPr>
              <w:t>dropsodes</w:t>
            </w:r>
            <w:proofErr w:type="spellEnd"/>
            <w:r w:rsidRPr="00723DA9">
              <w:rPr>
                <w:rFonts w:ascii="Times New Roman" w:eastAsia="Times New Roman" w:hAnsi="Times New Roman" w:cs="Times New Roman"/>
                <w:color w:val="000000" w:themeColor="text1"/>
                <w:sz w:val="20"/>
                <w:szCs w:val="20"/>
              </w:rPr>
              <w:t xml:space="preserve"> from TCI, CIMSS AMVs and satellite radiances</w:t>
            </w:r>
          </w:p>
        </w:tc>
      </w:tr>
    </w:tbl>
    <w:p w14:paraId="3A181DB9" w14:textId="77777777" w:rsidR="00C65CAB" w:rsidRPr="00723DA9" w:rsidRDefault="00C65CAB" w:rsidP="00C65CAB">
      <w:pPr>
        <w:spacing w:after="0" w:line="240" w:lineRule="auto"/>
        <w:ind w:firstLine="432"/>
        <w:rPr>
          <w:rFonts w:ascii="Times New Roman" w:eastAsia="宋体" w:hAnsi="Times New Roman" w:cs="Times New Roman"/>
          <w:sz w:val="24"/>
          <w:szCs w:val="24"/>
        </w:rPr>
      </w:pPr>
    </w:p>
    <w:p w14:paraId="36A44E78" w14:textId="6DABC855" w:rsidR="00E046F7" w:rsidRDefault="00E046F7" w:rsidP="00E046F7">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w:t>
      </w:r>
      <w:r w:rsidRPr="00082A4C">
        <w:rPr>
          <w:rFonts w:ascii="Times New Roman" w:eastAsia="宋体" w:hAnsi="Times New Roman" w:cs="Times New Roman"/>
          <w:sz w:val="24"/>
          <w:szCs w:val="24"/>
        </w:rPr>
        <w:t xml:space="preserve">GSI-based, continuously cycled, dual-resolution, hybrid </w:t>
      </w:r>
      <w:proofErr w:type="spellStart"/>
      <w:r w:rsidRPr="00082A4C">
        <w:rPr>
          <w:rFonts w:ascii="Times New Roman" w:eastAsia="宋体" w:hAnsi="Times New Roman" w:cs="Times New Roman"/>
          <w:sz w:val="24"/>
          <w:szCs w:val="24"/>
        </w:rPr>
        <w:t>EnVar</w:t>
      </w:r>
      <w:proofErr w:type="spellEnd"/>
      <w:r w:rsidRPr="00082A4C">
        <w:rPr>
          <w:rFonts w:ascii="Times New Roman" w:eastAsia="宋体" w:hAnsi="Times New Roman" w:cs="Times New Roman"/>
          <w:sz w:val="24"/>
          <w:szCs w:val="24"/>
        </w:rPr>
        <w:t xml:space="preserve"> DA system for HWRF </w:t>
      </w:r>
      <w:r w:rsidRPr="00082A4C">
        <w:rPr>
          <w:rFonts w:ascii="Times New Roman" w:hAnsi="Times New Roman" w:cs="Times New Roman"/>
          <w:sz w:val="24"/>
          <w:szCs w:val="24"/>
        </w:rPr>
        <w:fldChar w:fldCharType="begin" w:fldLock="1"/>
      </w:r>
      <w:r w:rsidRPr="00082A4C">
        <w:rPr>
          <w:rFonts w:ascii="Times New Roman" w:eastAsia="宋体" w:hAnsi="Times New Roman" w:cs="Times New Roman"/>
          <w:sz w:val="24"/>
          <w:szCs w:val="24"/>
        </w:rPr>
        <w:instrText>ADDIN CSL_CITATION {"citationItems":[{"id":"ITEM-1","itemData":{"DOI":"10.1175/MWR-D-17-0068.1","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 Wea. Rev.","id":"ITEM-1","issued":{"date-parts":[["2017"]]},"page":"4877-4898","title":"GSI-based, Continuously Cycled, Dual-Resolution Hybrid Ensemble-Variational Data Assimilation System for HWRF: System Description and Experiments with","type":"article-journal","volume":"145"},"uris":["http://www.mendeley.com/documents/?uuid=82ad08b1-34e7-3cff-837b-7355f1a8ba0d"]}],"mendeley":{"formattedCitation":"(Lu et al. 2017b)","plainTextFormattedCitation":"(Lu et al. 2017b)","previouslyFormattedCitation":"(Lu et al. 2017b)"},"properties":{"noteIndex":0},"schema":"https://github.com/citation-style-language/schema/raw/master/csl-citation.json"}</w:instrText>
      </w:r>
      <w:r w:rsidRPr="00082A4C">
        <w:rPr>
          <w:rFonts w:ascii="Times New Roman" w:hAnsi="Times New Roman" w:cs="Times New Roman"/>
          <w:sz w:val="24"/>
          <w:szCs w:val="24"/>
        </w:rPr>
        <w:fldChar w:fldCharType="separate"/>
      </w:r>
      <w:r w:rsidRPr="00082A4C">
        <w:rPr>
          <w:rFonts w:ascii="Times New Roman" w:eastAsia="宋体" w:hAnsi="Times New Roman" w:cs="Times New Roman"/>
          <w:noProof/>
          <w:sz w:val="24"/>
          <w:szCs w:val="24"/>
        </w:rPr>
        <w:t>(Lu et al. 2017b)</w:t>
      </w:r>
      <w:r w:rsidRPr="00082A4C">
        <w:rPr>
          <w:rFonts w:ascii="Times New Roman" w:hAnsi="Times New Roman" w:cs="Times New Roman"/>
          <w:sz w:val="24"/>
          <w:szCs w:val="24"/>
        </w:rPr>
        <w:fldChar w:fldCharType="end"/>
      </w:r>
      <w:r w:rsidRPr="00082A4C">
        <w:rPr>
          <w:rFonts w:ascii="Times New Roman" w:eastAsia="宋体" w:hAnsi="Times New Roman" w:cs="Times New Roman"/>
          <w:sz w:val="24"/>
          <w:szCs w:val="24"/>
        </w:rPr>
        <w:t xml:space="preserve"> is used in this study as a tool to investigate the observation impacts on the analysis and prediction of Patricia.  As stated in Chapter 4, this upgraded DA system is based on the 2015 operational HWRF (H2</w:t>
      </w:r>
      <w:r w:rsidRPr="00723DA9">
        <w:rPr>
          <w:rFonts w:ascii="Times New Roman" w:eastAsia="宋体" w:hAnsi="Times New Roman" w:cs="Times New Roman"/>
          <w:sz w:val="24"/>
          <w:szCs w:val="24"/>
        </w:rPr>
        <w:t>15).  One major difference between the new DA system and the DA system in the H215 is the source of ensemble covariances.  Specifically, a continuously cycled HWRF ensemble consistent with the intermediate domain resolution of the control (e.g. 6-km grid spacing in this study) is used to provide ensemble background covariances in the 3DEnVar DA replacing the coarser resolution GFS ensemble.  Further details about the new DA system and workflow can be found in Chapter 4</w:t>
      </w:r>
      <w:r>
        <w:rPr>
          <w:rFonts w:ascii="Times New Roman" w:eastAsia="宋体" w:hAnsi="Times New Roman" w:cs="Times New Roman"/>
          <w:sz w:val="24"/>
          <w:szCs w:val="24"/>
        </w:rPr>
        <w:t>.2.1</w:t>
      </w:r>
      <w:r w:rsidRPr="00723DA9">
        <w:rPr>
          <w:rFonts w:ascii="Times New Roman" w:eastAsia="宋体" w:hAnsi="Times New Roman" w:cs="Times New Roman"/>
          <w:sz w:val="24"/>
          <w:szCs w:val="24"/>
        </w:rPr>
        <w:t xml:space="preserve">.  </w:t>
      </w:r>
    </w:p>
    <w:p w14:paraId="3BD2B3AE" w14:textId="7F86FA9E"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horizontal grid-spacing of the model is approximately 2-km (0.015 degrees), 6-km (0.045 degrees) and 18-km (0.135 degrees) for the innermost (265×472 grid points), intermediate (304×604 grid points) and outermost (288×576 grid points) domains, respectively.  The model is configured with 61 vertical levels and the model top is at 2 hPa.  The initial and boundary conditions for the outermost domain are obtained from the GFS analyses and forecasts.  The choice of model physics parameterization schemes follows the H215 </w:t>
      </w:r>
      <w:r w:rsidRPr="00723DA9">
        <w:rPr>
          <w:rFonts w:ascii="Times New Roman" w:hAnsi="Times New Roman" w:cs="Times New Roman"/>
          <w:sz w:val="24"/>
          <w:szCs w:val="24"/>
        </w:rPr>
        <w:fldChar w:fldCharType="begin" w:fldLock="1"/>
      </w:r>
      <w:r w:rsidRPr="00723DA9">
        <w:rPr>
          <w:rFonts w:ascii="Times New Roman" w:eastAsia="宋体" w:hAnsi="Times New Roman" w:cs="Times New Roman"/>
          <w:sz w:val="24"/>
          <w:szCs w:val="24"/>
        </w:rPr>
        <w:instrText>ADDIN CSL_CITATION {"citationItems":[{"id":"ITEM-1","itemData":{"author":[{"dropping-particle":"","family":"Tallapragada","given":"Vijay","non-dropping-particle":"","parse-names":false,"suffix":""},{"dropping-particle":"","family":"Bernardet","given":"Ligia","non-dropping-particle":"","parse-names":false,"suffix":""},{"dropping-particle":"","family":"Biswas","given":"Mrinal K","non-dropping-particle":"","parse-names":false,"suffix":""},{"dropping-particle":"","family":"Ginis","given":"Isaac","non-dropping-particle":"","parse-names":false,"suffix":""},{"dropping-particle":"","family":"Kwon","given":"Young","non-dropping-particle":"","parse-names":false,"suffix":""},{"dropping-particle":"","family":"Liu","given":"Qingfu","non-dropping-particle":"","parse-names":false,"suffix":""},{"dropping-particle":"","family":"Marchok","given":"Timothy","non-dropping-particle":"","parse-names":false,"suffix":""},{"dropping-particle":"","family":"Sheinin","given":"Dmitr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container-title":"Developmental Testbed Center","id":"ITEM-1","issued":{"date-parts":[["2015"]]},"number-of-pages":"1-81","title":"Hurricane Weather Research and Forecasting (HWRF) model: 2015 scientific documentation","type":"report"},"uris":["http://www.mendeley.com/documents/?uuid=b87ea64a-4059-481a-8188-da6f904806c8"]}],"mendeley":{"formattedCitation":"(Tallapragada et al. 2015)","plainTextFormattedCitation":"(Tallapragada et al. 2015)","previouslyFormattedCitation":"(Tallapragada et al. 2015)"},"properties":{"noteIndex":0},"schema":"https://github.com/citation-style-language/schema/raw/master/csl-citation.json"}</w:instrText>
      </w:r>
      <w:r w:rsidRPr="00723DA9">
        <w:rPr>
          <w:rFonts w:ascii="Times New Roman" w:hAnsi="Times New Roman" w:cs="Times New Roman"/>
          <w:sz w:val="24"/>
          <w:szCs w:val="24"/>
        </w:rPr>
        <w:fldChar w:fldCharType="separate"/>
      </w:r>
      <w:r w:rsidRPr="00723DA9">
        <w:rPr>
          <w:rFonts w:ascii="Times New Roman" w:eastAsia="宋体" w:hAnsi="Times New Roman" w:cs="Times New Roman"/>
          <w:noProof/>
          <w:sz w:val="24"/>
          <w:szCs w:val="24"/>
        </w:rPr>
        <w:t>(Tallapragada et al. 2015)</w:t>
      </w:r>
      <w:r w:rsidRPr="00723DA9">
        <w:rPr>
          <w:rFonts w:ascii="Times New Roman" w:hAnsi="Times New Roman" w:cs="Times New Roman"/>
          <w:sz w:val="24"/>
          <w:szCs w:val="24"/>
        </w:rPr>
        <w:fldChar w:fldCharType="end"/>
      </w:r>
      <w:r w:rsidRPr="00723DA9">
        <w:rPr>
          <w:rFonts w:ascii="Times New Roman" w:hAnsi="Times New Roman" w:cs="Times New Roman"/>
          <w:sz w:val="24"/>
          <w:szCs w:val="24"/>
        </w:rPr>
        <w:t xml:space="preserve"> with modifications in the vertical and horizontal diffusion parameterizations (</w:t>
      </w:r>
      <w:r w:rsidR="008733AD" w:rsidRPr="00723DA9">
        <w:rPr>
          <w:rFonts w:ascii="Times New Roman" w:hAnsi="Times New Roman" w:cs="Times New Roman"/>
          <w:sz w:val="24"/>
          <w:szCs w:val="24"/>
        </w:rPr>
        <w:t>T</w:t>
      </w:r>
      <w:r w:rsidRPr="00723DA9">
        <w:rPr>
          <w:rFonts w:ascii="Times New Roman" w:hAnsi="Times New Roman" w:cs="Times New Roman"/>
          <w:sz w:val="24"/>
          <w:szCs w:val="24"/>
        </w:rPr>
        <w:t xml:space="preserve">able </w:t>
      </w:r>
      <w:r w:rsidR="008733AD" w:rsidRPr="00723DA9">
        <w:rPr>
          <w:rFonts w:ascii="Times New Roman" w:hAnsi="Times New Roman" w:cs="Times New Roman"/>
          <w:sz w:val="24"/>
          <w:szCs w:val="24"/>
        </w:rPr>
        <w:t>5.</w:t>
      </w:r>
      <w:r w:rsidRPr="00723DA9">
        <w:rPr>
          <w:rFonts w:ascii="Times New Roman" w:hAnsi="Times New Roman" w:cs="Times New Roman"/>
          <w:sz w:val="24"/>
          <w:szCs w:val="24"/>
        </w:rPr>
        <w:t>1)</w:t>
      </w:r>
      <w:r w:rsidRPr="00723DA9">
        <w:rPr>
          <w:rFonts w:ascii="Times New Roman" w:eastAsia="宋体" w:hAnsi="Times New Roman" w:cs="Times New Roman"/>
          <w:sz w:val="24"/>
          <w:szCs w:val="24"/>
        </w:rPr>
        <w:t xml:space="preserve">.  Briefly, the in-cloud turbulent mixing parameterization in the PBL scheme proposed by </w:t>
      </w:r>
      <w:r w:rsidRPr="00723DA9">
        <w:rPr>
          <w:rFonts w:ascii="Times New Roman" w:hAnsi="Times New Roman" w:cs="Times New Roman"/>
          <w:sz w:val="24"/>
          <w:szCs w:val="24"/>
        </w:rPr>
        <w:t>Zhu et al. (2018) is adopted</w:t>
      </w:r>
      <w:r w:rsidRPr="00723DA9">
        <w:rPr>
          <w:rFonts w:ascii="Times New Roman" w:eastAsia="宋体" w:hAnsi="Times New Roman" w:cs="Times New Roman"/>
          <w:sz w:val="24"/>
          <w:szCs w:val="24"/>
        </w:rPr>
        <w:t xml:space="preserve"> to enable the in-cloud mixing for the eyewall and </w:t>
      </w:r>
      <w:proofErr w:type="spellStart"/>
      <w:r w:rsidRPr="00723DA9">
        <w:rPr>
          <w:rFonts w:ascii="Times New Roman" w:eastAsia="宋体" w:hAnsi="Times New Roman" w:cs="Times New Roman"/>
          <w:sz w:val="24"/>
          <w:szCs w:val="24"/>
        </w:rPr>
        <w:t>rainband</w:t>
      </w:r>
      <w:proofErr w:type="spellEnd"/>
      <w:r w:rsidRPr="00723DA9">
        <w:rPr>
          <w:rFonts w:ascii="Times New Roman" w:eastAsia="宋体" w:hAnsi="Times New Roman" w:cs="Times New Roman"/>
          <w:sz w:val="24"/>
          <w:szCs w:val="24"/>
        </w:rPr>
        <w:t xml:space="preserve"> regions.  The horizontal diffusion is reduced to be more consistent with the 2-km model grid-spacing as suggested by Zhang et al. (2018).  As discussed in </w:t>
      </w:r>
      <w:r w:rsidR="00E22E12" w:rsidRPr="00723DA9">
        <w:rPr>
          <w:rFonts w:ascii="Times New Roman" w:eastAsia="宋体" w:hAnsi="Times New Roman" w:cs="Times New Roman"/>
          <w:sz w:val="24"/>
          <w:szCs w:val="24"/>
        </w:rPr>
        <w:t>Chapter</w:t>
      </w:r>
      <w:r w:rsidR="00403CAF" w:rsidRPr="00723DA9">
        <w:rPr>
          <w:rFonts w:ascii="Times New Roman" w:eastAsia="宋体" w:hAnsi="Times New Roman" w:cs="Times New Roman"/>
          <w:sz w:val="24"/>
          <w:szCs w:val="24"/>
        </w:rPr>
        <w:t xml:space="preserve"> 4</w:t>
      </w:r>
      <w:r w:rsidRPr="00723DA9">
        <w:rPr>
          <w:rFonts w:ascii="Times New Roman" w:eastAsia="宋体" w:hAnsi="Times New Roman" w:cs="Times New Roman"/>
          <w:sz w:val="24"/>
          <w:szCs w:val="24"/>
        </w:rPr>
        <w:t xml:space="preserve">, the modified suite of model physics was able to better maintain the realistically analyzed TC structure and largely alleviate the Vmax spin down issue.  </w:t>
      </w:r>
      <w:r w:rsidR="00C65CAB" w:rsidRPr="00FA14B9">
        <w:rPr>
          <w:rFonts w:ascii="Times New Roman" w:eastAsia="宋体" w:hAnsi="Times New Roman" w:cs="Times New Roman"/>
          <w:sz w:val="24"/>
          <w:szCs w:val="24"/>
        </w:rPr>
        <w:t xml:space="preserve">The spin-down is a short-term but significant Vmax drop due to the incompatibility between the realistic DA analysis and </w:t>
      </w:r>
      <w:r w:rsidR="00C008FA">
        <w:rPr>
          <w:rFonts w:ascii="Times New Roman" w:eastAsia="宋体" w:hAnsi="Times New Roman" w:cs="Times New Roman"/>
          <w:sz w:val="24"/>
          <w:szCs w:val="24"/>
        </w:rPr>
        <w:t>inaccurate</w:t>
      </w:r>
      <w:r w:rsidR="00C008FA" w:rsidRPr="00FA14B9">
        <w:rPr>
          <w:rFonts w:ascii="Times New Roman" w:eastAsia="宋体" w:hAnsi="Times New Roman" w:cs="Times New Roman"/>
          <w:sz w:val="24"/>
          <w:szCs w:val="24"/>
        </w:rPr>
        <w:t xml:space="preserve"> </w:t>
      </w:r>
      <w:r w:rsidR="00C65CAB" w:rsidRPr="00FA14B9">
        <w:rPr>
          <w:rFonts w:ascii="Times New Roman" w:eastAsia="宋体" w:hAnsi="Times New Roman" w:cs="Times New Roman"/>
          <w:sz w:val="24"/>
          <w:szCs w:val="24"/>
        </w:rPr>
        <w:t>model physics</w:t>
      </w:r>
      <w:r w:rsidR="007D0875">
        <w:rPr>
          <w:rFonts w:ascii="Times New Roman" w:eastAsia="宋体" w:hAnsi="Times New Roman" w:cs="Times New Roman"/>
          <w:sz w:val="24"/>
          <w:szCs w:val="24"/>
        </w:rPr>
        <w:t xml:space="preserve"> </w:t>
      </w:r>
      <w:r w:rsidR="007D0875">
        <w:rPr>
          <w:rFonts w:ascii="Times New Roman" w:eastAsia="宋体" w:hAnsi="Times New Roman" w:cs="Times New Roman"/>
          <w:sz w:val="24"/>
          <w:szCs w:val="24"/>
        </w:rPr>
        <w:fldChar w:fldCharType="begin" w:fldLock="1"/>
      </w:r>
      <w:r w:rsidR="003C7AE5">
        <w:rPr>
          <w:rFonts w:ascii="Times New Roman" w:eastAsia="宋体" w:hAnsi="Times New Roman" w:cs="Times New Roman"/>
          <w:sz w:val="24"/>
          <w:szCs w:val="24"/>
        </w:rPr>
        <w:instrText>ADDIN CSL_CITATION {"citationItems":[{"id":"ITEM-1","itemData":{"author":[{"dropping-particle":"","family":"Lu","given":"Xu","non-dropping-particle":"","parse-names":false,"suffix":""},{"dropping-particle":"","family":"Wang","given":"Xuguang","non-dropping-particle":"","parse-names":false,"suffix":""}],"container-title":"Mon. Wea. Rev.","id":"ITEM-1","issued":{"date-parts":[["2019"]]},"title":"Improving Hurricane Analyses and Predictions with IFEX , TCI Field Campaign Observations and CIMSS AMVs Using the Advanced Hybrid Data Assimilation system for HWRF . Part I : What is missing to capture the rapid intensification of Hurricane Patricia (2015","type":"article-journal"},"uris":["http://www.mendeley.com/documents/?uuid=180fca36-a771-4000-953f-5a4eab6e6ee6"]},{"id":"ITEM-2","itemData":{"author":[{"dropping-particle":"","family":"Lu","given":"Xu","non-dropping-particle":"","parse-names":false,"suffix":""},{"dropping-particle":"","family":"Wang","given":"Xuguang","non-dropping-particle":"","parse-names":false,"suffix":""}],"container-title":"Mon. Wea. Rev.","id":"ITEM-2","issued":{"date-parts":[["2019"]]},"title":"Improving Hurricane Analyses and Predictions with IFEX , TCI Field Campaign Observations and CIMSS AMVs Using the Advanced Hybrid Data Assimilation system for HWRF . Part II : Observations Impact on Analyses and Predictions of Patricia ( 2015 )","type":"article-journal"},"uris":["http://www.mendeley.com/documents/?uuid=a2b5c550-8848-46d9-88e1-3d3cac40db18"]}],"mendeley":{"formattedCitation":"(Lu and Wang 2019a,b)","manualFormatting":"(Lu and Wang 2019a)","plainTextFormattedCitation":"(Lu and Wang 2019a,b)","previouslyFormattedCitation":"(Lu and Wang 2019a,b)"},"properties":{"noteIndex":0},"schema":"https://github.com/citation-style-language/schema/raw/master/csl-citation.json"}</w:instrText>
      </w:r>
      <w:r w:rsidR="007D0875">
        <w:rPr>
          <w:rFonts w:ascii="Times New Roman" w:eastAsia="宋体" w:hAnsi="Times New Roman" w:cs="Times New Roman"/>
          <w:sz w:val="24"/>
          <w:szCs w:val="24"/>
        </w:rPr>
        <w:fldChar w:fldCharType="separate"/>
      </w:r>
      <w:r w:rsidR="007D0875" w:rsidRPr="007D0875">
        <w:rPr>
          <w:rFonts w:ascii="Times New Roman" w:eastAsia="宋体" w:hAnsi="Times New Roman" w:cs="Times New Roman"/>
          <w:noProof/>
          <w:sz w:val="24"/>
          <w:szCs w:val="24"/>
        </w:rPr>
        <w:t xml:space="preserve">(Lu and Wang </w:t>
      </w:r>
      <w:r w:rsidR="007D0875" w:rsidRPr="007D0875">
        <w:rPr>
          <w:rFonts w:ascii="Times New Roman" w:eastAsia="宋体" w:hAnsi="Times New Roman" w:cs="Times New Roman"/>
          <w:noProof/>
          <w:sz w:val="24"/>
          <w:szCs w:val="24"/>
        </w:rPr>
        <w:lastRenderedPageBreak/>
        <w:t>2019a)</w:t>
      </w:r>
      <w:r w:rsidR="007D0875">
        <w:rPr>
          <w:rFonts w:ascii="Times New Roman" w:eastAsia="宋体" w:hAnsi="Times New Roman" w:cs="Times New Roman"/>
          <w:sz w:val="24"/>
          <w:szCs w:val="24"/>
        </w:rPr>
        <w:fldChar w:fldCharType="end"/>
      </w:r>
      <w:r w:rsidR="00C65CAB" w:rsidRPr="00FA14B9">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Additional experiments (not shown) without the model physics modifications did not change the relative data impacts, although most of those experiments suffered from the spin-down issue.   </w:t>
      </w:r>
    </w:p>
    <w:p w14:paraId="1D43F0E8" w14:textId="67E9E3E1" w:rsidR="00C56823" w:rsidRPr="00723DA9" w:rsidRDefault="00C56823" w:rsidP="004F1C22">
      <w:pPr>
        <w:pStyle w:val="Heading3"/>
        <w:numPr>
          <w:ilvl w:val="2"/>
          <w:numId w:val="25"/>
        </w:numPr>
        <w:spacing w:before="160" w:after="160" w:line="480" w:lineRule="auto"/>
        <w:rPr>
          <w:rFonts w:ascii="Times New Roman" w:hAnsi="Times New Roman" w:cs="Times New Roman"/>
          <w:b/>
          <w:bCs/>
          <w:i/>
          <w:iCs/>
          <w:color w:val="auto"/>
        </w:rPr>
      </w:pPr>
      <w:bookmarkStart w:id="210" w:name="_Toc21624008"/>
      <w:r w:rsidRPr="00723DA9">
        <w:rPr>
          <w:rFonts w:ascii="Times New Roman" w:hAnsi="Times New Roman" w:cs="Times New Roman"/>
          <w:b/>
          <w:bCs/>
          <w:i/>
          <w:iCs/>
          <w:color w:val="auto"/>
        </w:rPr>
        <w:t>Observations and preprocessing</w:t>
      </w:r>
      <w:bookmarkEnd w:id="210"/>
    </w:p>
    <w:p w14:paraId="527DADD3" w14:textId="25887DF9"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 introduced in </w:t>
      </w:r>
      <w:r w:rsidR="00CA1C05" w:rsidRPr="00723DA9">
        <w:rPr>
          <w:rFonts w:ascii="Times New Roman" w:eastAsia="宋体" w:hAnsi="Times New Roman" w:cs="Times New Roman"/>
          <w:sz w:val="24"/>
          <w:szCs w:val="24"/>
        </w:rPr>
        <w:t>S</w:t>
      </w:r>
      <w:r w:rsidRPr="00723DA9">
        <w:rPr>
          <w:rFonts w:ascii="Times New Roman" w:eastAsia="宋体" w:hAnsi="Times New Roman" w:cs="Times New Roman"/>
          <w:sz w:val="24"/>
          <w:szCs w:val="24"/>
        </w:rPr>
        <w:t xml:space="preserve">ection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1, there are five special types of observations that are assimilated in this study: CIMSS AMV wind; SFMR surface wind speed; FL temperature, moisture and wind; TDR radial velocity; and HDSS dropsonde temperature, moisture and wind. Further information, descriptions and preprocessing applied for each type of observations are described below.</w:t>
      </w:r>
    </w:p>
    <w:p w14:paraId="3A8264AC" w14:textId="77777777" w:rsidR="00C56823" w:rsidRPr="00723DA9" w:rsidRDefault="00C56823" w:rsidP="00771F99">
      <w:pPr>
        <w:spacing w:after="0" w:line="480" w:lineRule="auto"/>
        <w:ind w:firstLine="432"/>
        <w:rPr>
          <w:rFonts w:ascii="Times New Roman" w:eastAsia="宋体" w:hAnsi="Times New Roman" w:cs="Times New Roman"/>
          <w:i/>
          <w:iCs/>
          <w:sz w:val="24"/>
          <w:szCs w:val="24"/>
        </w:rPr>
      </w:pPr>
      <w:r w:rsidRPr="00723DA9">
        <w:rPr>
          <w:rFonts w:ascii="Times New Roman" w:eastAsia="宋体" w:hAnsi="Times New Roman" w:cs="Times New Roman"/>
          <w:sz w:val="24"/>
          <w:szCs w:val="24"/>
        </w:rPr>
        <w:t xml:space="preserve">The CIMSS AMV observations used in this study are derived from the Geostationary Operational Environmental Satellite (GOES) by CIMSS.  </w:t>
      </w:r>
      <w:r w:rsidRPr="007E0EEB">
        <w:rPr>
          <w:rFonts w:ascii="Times New Roman" w:eastAsia="宋体" w:hAnsi="Times New Roman" w:cs="Times New Roman"/>
          <w:sz w:val="24"/>
          <w:szCs w:val="24"/>
        </w:rPr>
        <w:t xml:space="preserve">Following </w:t>
      </w:r>
      <w:r w:rsidRPr="007E0EEB">
        <w:rPr>
          <w:rFonts w:ascii="Times New Roman" w:hAnsi="Times New Roman" w:cs="Times New Roman"/>
          <w:sz w:val="24"/>
          <w:szCs w:val="24"/>
        </w:rPr>
        <w:fldChar w:fldCharType="begin" w:fldLock="1"/>
      </w:r>
      <w:r w:rsidRPr="007E0EEB">
        <w:rPr>
          <w:rFonts w:ascii="Times New Roman" w:eastAsia="宋体" w:hAnsi="Times New Roman" w:cs="Times New Roman"/>
          <w:sz w:val="24"/>
          <w:szCs w:val="24"/>
        </w:rPr>
        <w:instrText>ADDIN CSL_CITATION {"citationItems":[{"id":"ITEM-1","itemData":{"DOI":"10.1175/MWR-D-13-00023.1","ISSN":"0027-0644","abstract":"AbstractRecent studies have shown that assimilating enhanced satellite-derived atmospheric motion vectors (AMVs) has improved mesoscale forecast of tropical cyclones (TC) track and intensity. We conduct data denial experiments to understand where the TC analyses and forecasts benefit the most from the enhanced AMV information using an Ensemble Kalman Filter and the Weather Research and Forecasting model. The Cooperative Institute for Meteorological Satellite Studies at the University of Wisconsin provides enhanced AMV datasets with higher density and temporal resolution using shorter-interval image triplets for the duration of Typhoon Sinlaku and Hurricane Ike (both 2008). These AMV datasets are then spatially and vertically subsetted to create six parallel cycled assimilation-forecast experiments for each TC: all AMVs; AMVs withheld between 100-350 hPa (upper-layer), between 350-700 hPa (middle-layer), and between 700-999 hPa (lower-layer), and only AMVs within (interior) and outside (exterior) 1000 km radius of the TC center. All AMV subsets are found to be useful in some capacity. The interior and upper-layer AMVs are particularly crucial for improving initial TC position, intensity, and the three-dimensional wind structure along with their forecasts. Compared with denying interior or exterior AMVs, withholding AMVs in different tropospheric layers had less impact on TC intensity and size forecasts. The ensemble forecast is less certain (larger spread) in providing accurate TC track, intensity, and size when upper-layer AMVs or interior AMVs are withheld. This information could be useful to potential targeting scenarios, such as activating and focusing satellite Rapid-Scan operations, and decisions regarding observing system assessments and deployments.","author":[{"dropping-particle":"","family":"Wu","given":"Ting-Chi","non-dropping-particle":"","parse-names":false,"suffix":""},{"dropping-particle":"","family":"Liu","given":"Hui","non-dropping-particle":"","parse-names":false,"suffix":""},{"dropping-particle":"","family":"Majumdar","given":"Sharanya J.","non-dropping-particle":"","parse-names":false,"suffix":""},{"dropping-particle":"","family":"Velden","given":"Christopher S.","non-dropping-particle":"","parse-names":false,"suffix":""},{"dropping-particle":"","family":"Anderson","given":"Jeffrey L.","non-dropping-particle":"","parse-names":false,"suffix":""}],"container-title":"Monthly Weather Review","id":"ITEM-1","issued":{"date-parts":[["2014"]]},"page":"49-71","title":"Influence of Assimilating Satellite-Derived Atmospheric Motion Vector Observations on Numerical Analyses and Forecasts of Tropical Cyclone Track and Intensity","type":"article-journal","volume":"142"},"uris":["http://www.mendeley.com/documents/?uuid=bc269c7d-7f5c-41de-a5dd-238de90f5126"]}],"mendeley":{"formattedCitation":"(Wu et al. 2014)","manualFormatting":"Wu et al. (2014)","plainTextFormattedCitation":"(Wu et al. 2014)","previouslyFormattedCitation":"(Wu et al. 2014)"},"properties":{"noteIndex":0},"schema":"https://github.com/citation-style-language/schema/raw/master/csl-citation.json"}</w:instrText>
      </w:r>
      <w:r w:rsidRPr="007E0EEB">
        <w:rPr>
          <w:rFonts w:ascii="Times New Roman" w:hAnsi="Times New Roman" w:cs="Times New Roman"/>
          <w:sz w:val="24"/>
          <w:szCs w:val="24"/>
        </w:rPr>
        <w:fldChar w:fldCharType="separate"/>
      </w:r>
      <w:r w:rsidRPr="007E0EEB">
        <w:rPr>
          <w:rFonts w:ascii="Times New Roman" w:eastAsia="宋体" w:hAnsi="Times New Roman" w:cs="Times New Roman"/>
          <w:noProof/>
          <w:sz w:val="24"/>
          <w:szCs w:val="24"/>
        </w:rPr>
        <w:t>Wu et al. (2014)</w:t>
      </w:r>
      <w:r w:rsidRPr="007E0EEB">
        <w:rPr>
          <w:rFonts w:ascii="Times New Roman" w:hAnsi="Times New Roman" w:cs="Times New Roman"/>
          <w:sz w:val="24"/>
          <w:szCs w:val="24"/>
        </w:rPr>
        <w:fldChar w:fldCharType="end"/>
      </w:r>
      <w:r w:rsidRPr="007E0EEB">
        <w:rPr>
          <w:rFonts w:ascii="Times New Roman" w:eastAsia="宋体" w:hAnsi="Times New Roman" w:cs="Times New Roman"/>
          <w:sz w:val="24"/>
          <w:szCs w:val="24"/>
        </w:rPr>
        <w:t>, the CIMSS AMVs are quality controlled and superobbed before being assimilate</w:t>
      </w:r>
      <w:r w:rsidRPr="00723DA9">
        <w:rPr>
          <w:rFonts w:ascii="Times New Roman" w:eastAsia="宋体" w:hAnsi="Times New Roman" w:cs="Times New Roman"/>
          <w:sz w:val="24"/>
          <w:szCs w:val="24"/>
        </w:rPr>
        <w:t>d by the DA system.  Specifically, only the CIMSS AMVs with quality indices no less than 0.6 and expected error lower than 4.5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or the observations greater than 25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with quality indices no less than 0.7 are assimilated.  The </w:t>
      </w:r>
      <w:proofErr w:type="spellStart"/>
      <w:r w:rsidRPr="00723DA9">
        <w:rPr>
          <w:rFonts w:ascii="Times New Roman" w:eastAsia="宋体" w:hAnsi="Times New Roman" w:cs="Times New Roman"/>
          <w:sz w:val="24"/>
          <w:szCs w:val="24"/>
        </w:rPr>
        <w:t>superob</w:t>
      </w:r>
      <w:proofErr w:type="spellEnd"/>
      <w:r w:rsidRPr="00723DA9">
        <w:rPr>
          <w:rFonts w:ascii="Times New Roman" w:eastAsia="宋体" w:hAnsi="Times New Roman" w:cs="Times New Roman"/>
          <w:sz w:val="24"/>
          <w:szCs w:val="24"/>
        </w:rPr>
        <w:t xml:space="preserve"> prisms are configured to be 0.1°</w:t>
      </w:r>
      <w:r w:rsidRPr="00723DA9">
        <w:rPr>
          <w:rFonts w:ascii="Times New Roman" w:hAnsi="Times New Roman" w:cs="Times New Roman"/>
        </w:rPr>
        <w:sym w:font="Symbol Tiger" w:char="F0B4"/>
      </w:r>
      <w:r w:rsidRPr="00723DA9">
        <w:rPr>
          <w:rFonts w:ascii="Times New Roman" w:eastAsia="宋体" w:hAnsi="Times New Roman" w:cs="Times New Roman"/>
          <w:sz w:val="24"/>
          <w:szCs w:val="24"/>
        </w:rPr>
        <w:t>0.1°</w:t>
      </w:r>
      <w:r w:rsidRPr="00723DA9">
        <w:rPr>
          <w:rFonts w:ascii="Times New Roman" w:hAnsi="Times New Roman" w:cs="Times New Roman"/>
        </w:rPr>
        <w:sym w:font="Symbol Tiger" w:char="F0B4"/>
      </w:r>
      <w:r w:rsidRPr="00723DA9">
        <w:rPr>
          <w:rFonts w:ascii="Times New Roman" w:eastAsia="宋体" w:hAnsi="Times New Roman" w:cs="Times New Roman"/>
          <w:sz w:val="24"/>
          <w:szCs w:val="24"/>
        </w:rPr>
        <w:t>15 hPa, and the CIMSS AMVs are averaged with equal weight within each prism.  The observation errors for the CIMSS AMVs range from 2.5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to 7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depending on the pressure level at which the observations are located.</w:t>
      </w:r>
    </w:p>
    <w:p w14:paraId="375CFF57" w14:textId="77777777" w:rsidR="00C56823" w:rsidRPr="00723DA9" w:rsidRDefault="00C56823" w:rsidP="00771F99">
      <w:pPr>
        <w:spacing w:after="0" w:line="480" w:lineRule="auto"/>
        <w:ind w:firstLine="432"/>
        <w:rPr>
          <w:rFonts w:ascii="Times New Roman" w:eastAsia="MS Mincho" w:hAnsi="Times New Roman" w:cs="Times New Roman"/>
          <w:i/>
          <w:iCs/>
          <w:sz w:val="24"/>
          <w:szCs w:val="24"/>
          <w:lang w:eastAsia="en-US"/>
        </w:rPr>
      </w:pPr>
      <w:r w:rsidRPr="00723DA9">
        <w:rPr>
          <w:rFonts w:ascii="Times New Roman" w:eastAsia="宋体" w:hAnsi="Times New Roman" w:cs="Times New Roman"/>
          <w:sz w:val="24"/>
          <w:szCs w:val="24"/>
        </w:rPr>
        <w:t xml:space="preserve">The SFMR, FL, and TDR observations assimilated in this study are collected by the NOAA WP-3D aircraft during the IFEX field campaign.  The SFMR equipment has been onboard NOAA WP-3D aircraft since 1984 </w:t>
      </w:r>
      <w:r w:rsidRPr="00723DA9">
        <w:rPr>
          <w:rFonts w:ascii="Times New Roman" w:hAnsi="Times New Roman" w:cs="Times New Roman"/>
        </w:rPr>
        <w:fldChar w:fldCharType="begin" w:fldLock="1"/>
      </w:r>
      <w:r w:rsidRPr="00723DA9">
        <w:rPr>
          <w:rFonts w:ascii="Times New Roman" w:eastAsia="宋体" w:hAnsi="Times New Roman" w:cs="Times New Roman"/>
          <w:sz w:val="24"/>
          <w:szCs w:val="24"/>
        </w:rPr>
        <w:instrText>ADDIN CSL_CITATION {"citationItems":[{"id":"ITEM-1","itemData":{"author":[{"dropping-particle":"","family":"Uhlhorn","given":"Eric W","non-dropping-particle":"","parse-names":false,"suffix":""},{"dropping-particle":"","family":"Black","given":"Peter G","non-dropping-particle":"","parse-names":false,"suffix":""}],"container-title":"Journal of Atmospheric and Oceanic Technology","id":"ITEM-1","issue":"1981","issued":{"date-parts":[["2003"]]},"page":"99-116","title":"Verification of Remotely Sensed Sea Surface Winds in Hurricanes","type":"article-journal","volume":"20"},"uris":["http://www.mendeley.com/documents/?uuid=ba0fa343-0de1-4e83-8094-ec91b5d27e2b"]}],"mendeley":{"formattedCitation":"(Uhlhorn and Black 2003)","plainTextFormattedCitation":"(Uhlhorn and Black 2003)","previouslyFormattedCitation":"(Uhlhorn and Black 2003)"},"properties":{"noteIndex":0},"schema":"https://github.com/citation-style-language/schema/raw/master/csl-citation.json"}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eastAsia="宋体" w:hAnsi="Times New Roman" w:cs="Times New Roman"/>
          <w:noProof/>
          <w:sz w:val="24"/>
          <w:szCs w:val="24"/>
        </w:rPr>
        <w:t>(Uhlhorn and Black 2003)</w:t>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and redesigned since 2004 </w:t>
      </w:r>
      <w:r w:rsidRPr="00723DA9">
        <w:rPr>
          <w:rFonts w:ascii="Times New Roman" w:hAnsi="Times New Roman" w:cs="Times New Roman"/>
        </w:rPr>
        <w:fldChar w:fldCharType="begin" w:fldLock="1"/>
      </w:r>
      <w:r w:rsidRPr="00723DA9">
        <w:rPr>
          <w:rFonts w:ascii="Times New Roman" w:eastAsia="宋体" w:hAnsi="Times New Roman" w:cs="Times New Roman"/>
          <w:sz w:val="24"/>
          <w:szCs w:val="24"/>
        </w:rPr>
        <w:instrText xml:space="preserve">ADDIN CSL_CITATION {"citationItems":[{"id":"ITEM-1","itemData":{"DOI":"10.1175/MWR3454.1","ISSN":"0027-0644","abstract":"For the first time, the NOAA/Aircraft Operations Center (AOC) flew stepped frequency microwave radiometers (SFMRs) on both WP-3D research aircraft for operational hurricane surface wind speed measurement in 2005. An unprecedented number of major hurricanes provided ample data to evaluate both instrument performance and surface wind speed retrieval quality up to 70 m s−1 (Saffir–Simpson category 5). To this end, a new microwave emissivity–wind speed model function based on estimates of near-surface winds in hurricanes by global positioning system (GPS) dropwindsondes is proposed. For practical purposes, utilizing this function removes a previously documented high bias in moderate SFMR-measured wind speeds (10–50 m s−1), and additionally corrects an extreme wind speed ({&gt;}60 m s−1) underestimate. The AOC operational SFMRs yield retrievals that are precise to within </w:instrText>
      </w:r>
      <w:r w:rsidRPr="00723DA9">
        <w:rPr>
          <w:rFonts w:ascii="Cambria Math" w:eastAsia="宋体" w:hAnsi="Cambria Math" w:cs="Cambria Math"/>
          <w:sz w:val="24"/>
          <w:szCs w:val="24"/>
        </w:rPr>
        <w:instrText>∼</w:instrText>
      </w:r>
      <w:r w:rsidRPr="00723DA9">
        <w:rPr>
          <w:rFonts w:ascii="Times New Roman" w:eastAsia="宋体" w:hAnsi="Times New Roman" w:cs="Times New Roman"/>
          <w:sz w:val="24"/>
          <w:szCs w:val="24"/>
        </w:rPr>
        <w:instrText xml:space="preserve">2% at 30 m s−1, which is a factor of 2 improvement over the NOAA Hurricane Research Division’s SFMR, and comparable to the precision found here for GPS dropwindsonde near-surface wind speeds. A small (1.6 m s−1), but statistically significant, overall high bias was found for independent SFMR measurements utilizing emissivity data not used for model function development. Across the range of measured wind speeds (10–70 m s−1), SFMR 10-s averaged wind speeds are within 4 m s−1 (rms) of the dropwindsonde near-surface estimate, or 5%–25% depending on speed. However, an analysis of eyewall peak wind speeds indicates an overall 2.6 m s−1 GPS low bias relative to the peak SFMR estimate on the same flight leg, suggesting a real increase in the maximum wind speed estimate due to SFMR’s high-density sampling. Through a series of statistical tests, the SFMR is shown to reduce the overall bias in the peak surface wind speed estimate by </w:instrText>
      </w:r>
      <w:r w:rsidRPr="00723DA9">
        <w:rPr>
          <w:rFonts w:ascii="Cambria Math" w:eastAsia="宋体" w:hAnsi="Cambria Math" w:cs="Cambria Math"/>
          <w:sz w:val="24"/>
          <w:szCs w:val="24"/>
        </w:rPr>
        <w:instrText>∼</w:instrText>
      </w:r>
      <w:r w:rsidRPr="00723DA9">
        <w:rPr>
          <w:rFonts w:ascii="Times New Roman" w:eastAsia="宋体" w:hAnsi="Times New Roman" w:cs="Times New Roman"/>
          <w:sz w:val="24"/>
          <w:szCs w:val="24"/>
        </w:rPr>
        <w:instrText>50% over the current flight-level wind reduction method and is comparable at extreme wind speeds. The updated model function is demonstrated to behave differently below and above the hurricane wind speed threshold (</w:instrText>
      </w:r>
      <w:r w:rsidRPr="00723DA9">
        <w:rPr>
          <w:rFonts w:ascii="Cambria Math" w:eastAsia="宋体" w:hAnsi="Cambria Math" w:cs="Cambria Math"/>
          <w:sz w:val="24"/>
          <w:szCs w:val="24"/>
        </w:rPr>
        <w:instrText>∼</w:instrText>
      </w:r>
      <w:r w:rsidRPr="00723DA9">
        <w:rPr>
          <w:rFonts w:ascii="Times New Roman" w:eastAsia="宋体" w:hAnsi="Times New Roman" w:cs="Times New Roman"/>
          <w:sz w:val="24"/>
          <w:szCs w:val="24"/>
        </w:rPr>
        <w:instrText xml:space="preserve">32 m s−1), which may have implications for air–sea momentum and kinetic energy exchange. The change in behavior is at least qualitatively consistent with recent laboratory and field results concerning the drag coefficient in high wind speed conditions, which show a fairly clear “leveling off” of the drag coefficient with increased wind speed above </w:instrText>
      </w:r>
      <w:r w:rsidRPr="00723DA9">
        <w:rPr>
          <w:rFonts w:ascii="Cambria Math" w:eastAsia="宋体" w:hAnsi="Cambria Math" w:cs="Cambria Math"/>
          <w:sz w:val="24"/>
          <w:szCs w:val="24"/>
        </w:rPr>
        <w:instrText>∼</w:instrText>
      </w:r>
      <w:r w:rsidRPr="00723DA9">
        <w:rPr>
          <w:rFonts w:ascii="Times New Roman" w:eastAsia="宋体" w:hAnsi="Times New Roman" w:cs="Times New Roman"/>
          <w:sz w:val="24"/>
          <w:szCs w:val="24"/>
        </w:rPr>
        <w:instrText>30 m s−1. Finally, a composite analysis of historical data indicates that the earth-relative SFMR peak wind speed i…","author":[{"dropping-particle":"","family":"Uhlhorn","given":"Eric W","non-dropping-particle":"","parse-names":false,"suffix":""},{"dropping-particle":"","family":"Black","given":"Peter G","non-dropping-particle":"","parse-names":false,"suffix":""},{"dropping-particle":"","family":"Franklin","given":"James L","non-dropping-particle":"","parse-names":false,"suffix":""},{"dropping-particle":"","family":"Goodberlet","given":"Mark","non-dropping-particle":"","parse-names":false,"suffix":""},{"dropping-particle":"","family":"Carswell","given":"James","non-dropping-particle":"","parse-names":false,"suffix":""},{"dropping-particle":"","family":"Goldstein","given":"Alan S","non-dropping-particle":"","parse-names":false,"suffix":""}],"container-title":"Monthly Weather Review","id":"ITEM-1","issue":"9","issued":{"date-parts":[["2007"]]},"page":"3070-3085","title":"Hurricane Surface Wind Measurements from an Operational Stepped Frequency Microwave Radiometer","type":"article-journal","volume":"135"},"uris":["http://www.mendeley.com/documents/?uuid=87d0be5b-7c49-4bd1-9d35-95ee910fb97c"]}],"mendeley":{"formattedCitation":"(Uhlhorn et al. 2007)","plainTextFormattedCitation":"(Uhlhorn et al. 2007)","previouslyFormattedCitation":"(Uhlhorn et al. 2007)"},"properties":{"noteIndex":0},"schema":"https://github.com/citation-style-language/schema/raw/master/csl-citation.json"}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eastAsia="宋体" w:hAnsi="Times New Roman" w:cs="Times New Roman"/>
          <w:noProof/>
          <w:sz w:val="24"/>
          <w:szCs w:val="24"/>
        </w:rPr>
        <w:t>(Uhlhorn et al. 2007)</w:t>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In this study, the SFMR wind observations are obtained from Hurricane Research Division (HRD, 2015), and are superobbed before the assimilation.  The horizontal </w:t>
      </w:r>
      <w:r w:rsidRPr="00723DA9">
        <w:rPr>
          <w:rFonts w:ascii="Times New Roman" w:eastAsia="宋体" w:hAnsi="Times New Roman" w:cs="Times New Roman"/>
          <w:sz w:val="24"/>
          <w:szCs w:val="24"/>
        </w:rPr>
        <w:lastRenderedPageBreak/>
        <w:t xml:space="preserve">dimension of the </w:t>
      </w:r>
      <w:proofErr w:type="spellStart"/>
      <w:r w:rsidRPr="00723DA9">
        <w:rPr>
          <w:rFonts w:ascii="Times New Roman" w:eastAsia="宋体" w:hAnsi="Times New Roman" w:cs="Times New Roman"/>
          <w:sz w:val="24"/>
          <w:szCs w:val="24"/>
        </w:rPr>
        <w:t>superob</w:t>
      </w:r>
      <w:proofErr w:type="spellEnd"/>
      <w:r w:rsidRPr="00723DA9">
        <w:rPr>
          <w:rFonts w:ascii="Times New Roman" w:eastAsia="宋体" w:hAnsi="Times New Roman" w:cs="Times New Roman"/>
          <w:sz w:val="24"/>
          <w:szCs w:val="24"/>
        </w:rPr>
        <w:t xml:space="preserve"> prism is configured to be 0.03°</w:t>
      </w:r>
      <w:r w:rsidRPr="00723DA9">
        <w:rPr>
          <w:rFonts w:ascii="Times New Roman" w:eastAsia="宋体" w:hAnsi="Times New Roman" w:cs="Times New Roman"/>
          <w:sz w:val="24"/>
          <w:szCs w:val="24"/>
        </w:rPr>
        <w:sym w:font="Symbol Tiger" w:char="F0B4"/>
      </w:r>
      <w:r w:rsidRPr="00723DA9">
        <w:rPr>
          <w:rFonts w:ascii="Times New Roman" w:eastAsia="宋体" w:hAnsi="Times New Roman" w:cs="Times New Roman"/>
          <w:sz w:val="24"/>
          <w:szCs w:val="24"/>
        </w:rPr>
        <w:t xml:space="preserve">0.03°, </w:t>
      </w:r>
      <w:bookmarkStart w:id="211" w:name="OLE_LINK150"/>
      <w:r w:rsidRPr="00723DA9">
        <w:rPr>
          <w:rFonts w:ascii="Times New Roman" w:eastAsia="宋体" w:hAnsi="Times New Roman" w:cs="Times New Roman"/>
          <w:sz w:val="24"/>
          <w:szCs w:val="24"/>
        </w:rPr>
        <w:t>and the observation error is set to be 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The FL observations, including wind, temperature and moisture observations, have been synthetically sampled by multiple instruments onboard the NOAA WP-3D aircraft for decades </w:t>
      </w:r>
      <w:r w:rsidRPr="00723DA9">
        <w:rPr>
          <w:rFonts w:ascii="Times New Roman" w:hAnsi="Times New Roman" w:cs="Times New Roman"/>
        </w:rPr>
        <w:fldChar w:fldCharType="begin" w:fldLock="1"/>
      </w:r>
      <w:r w:rsidRPr="00723DA9">
        <w:rPr>
          <w:rFonts w:ascii="Times New Roman" w:eastAsia="宋体" w:hAnsi="Times New Roman" w:cs="Times New Roman"/>
          <w:sz w:val="24"/>
          <w:szCs w:val="24"/>
        </w:rPr>
        <w:instrText>ADDIN CSL_CITATION {"citationItems":[{"id":"ITEM-1","itemData":{"author":[{"dropping-particle":"","family":"Friedman","given":"Howard A.","non-dropping-particle":"","parse-names":false,"suffix":""}],"id":"ITEM-1","issued":{"date-parts":[["1982"]]},"title":"Airborne research meteorological data collected by the National Hurricane Research Laboratory during the NOAA/RFC WP-3D era : inventory and availability","type":"article"},"uris":["http://www.mendeley.com/documents/?uuid=9fdee8b3-7532-33b4-ae19-065b86ac74ea"]},{"id":"ITEM-2","itemData":{"author":[{"dropping-particle":"","family":"Friedman","given":"Howard A.","non-dropping-particle":"","parse-names":false,"suffix":""}],"id":"ITEM-2","issued":{"date-parts":[["1984"]]},"title":"Airborne research meteorological data collected by the National Hurricane Research Laboratory (Hurricane Research Division/AOML) during the 1982-1983 hurricane seasons : inventory and availability","type":"article"},"uris":["http://www.mendeley.com/documents/?uuid=6840505e-40a1-3b0a-bd51-1531169e0297"]}],"mendeley":{"formattedCitation":"(Friedman 1982, 1984)","plainTextFormattedCitation":"(Friedman 1982, 1984)","previouslyFormattedCitation":"(Friedman 1982, 1984)"},"properties":{"noteIndex":0},"schema":"https://github.com/citation-style-language/schema/raw/master/csl-citation.json"}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eastAsia="宋体" w:hAnsi="Times New Roman" w:cs="Times New Roman"/>
          <w:noProof/>
          <w:sz w:val="24"/>
          <w:szCs w:val="24"/>
        </w:rPr>
        <w:t>(Friedman 1982, 1984)</w:t>
      </w:r>
      <w:r w:rsidRPr="00723DA9">
        <w:rPr>
          <w:rFonts w:ascii="Times New Roman" w:hAnsi="Times New Roman" w:cs="Times New Roman"/>
        </w:rPr>
        <w:fldChar w:fldCharType="end"/>
      </w:r>
      <w:r w:rsidRPr="00723DA9">
        <w:rPr>
          <w:rFonts w:ascii="Times New Roman" w:eastAsia="宋体" w:hAnsi="Times New Roman" w:cs="Times New Roman"/>
          <w:sz w:val="24"/>
          <w:szCs w:val="24"/>
        </w:rPr>
        <w:t>.  In this study, the FL observations are directly obtained from the National Weather Service (NWS) data pool.  The horizontal data resolution is about 3~5-km and therefore no further thinning or superobbing is performed.</w:t>
      </w:r>
      <w:bookmarkEnd w:id="211"/>
      <w:r w:rsidRPr="00723DA9">
        <w:rPr>
          <w:rFonts w:ascii="Times New Roman" w:eastAsia="宋体" w:hAnsi="Times New Roman" w:cs="Times New Roman"/>
          <w:sz w:val="24"/>
          <w:szCs w:val="24"/>
        </w:rPr>
        <w:t xml:space="preserve">  The observation errors are about 5.5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2.5 K and 2.5 kgkg</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for the wind, temperature and specific humidity, </w:t>
      </w:r>
      <w:r w:rsidRPr="00723DA9">
        <w:rPr>
          <w:rFonts w:ascii="Times New Roman" w:hAnsi="Times New Roman" w:cs="Times New Roman"/>
          <w:sz w:val="24"/>
          <w:szCs w:val="24"/>
        </w:rPr>
        <w:t>respectively</w:t>
      </w:r>
      <w:r w:rsidRPr="00723DA9">
        <w:rPr>
          <w:rFonts w:ascii="Times New Roman" w:eastAsia="宋体" w:hAnsi="Times New Roman" w:cs="Times New Roman"/>
          <w:sz w:val="24"/>
          <w:szCs w:val="24"/>
        </w:rPr>
        <w:t xml:space="preserve">.  Due to data transfer issue, the TDR data was not available in the operational HWRF before </w:t>
      </w:r>
      <w:r w:rsidRPr="00723DA9">
        <w:rPr>
          <w:rFonts w:ascii="Times New Roman" w:hAnsi="Times New Roman" w:cs="Times New Roman"/>
          <w:sz w:val="24"/>
          <w:szCs w:val="24"/>
        </w:rPr>
        <w:t>23 October 2015 during the real time forecast of hurricane Patricia.  T</w:t>
      </w:r>
      <w:r w:rsidRPr="00723DA9">
        <w:rPr>
          <w:rFonts w:ascii="Times New Roman" w:eastAsia="宋体" w:hAnsi="Times New Roman" w:cs="Times New Roman"/>
          <w:sz w:val="24"/>
          <w:szCs w:val="24"/>
        </w:rPr>
        <w:t xml:space="preserve">he TDR data used in this study was obtained from </w:t>
      </w:r>
      <w:r w:rsidRPr="00723DA9">
        <w:rPr>
          <w:rFonts w:ascii="Times New Roman" w:hAnsi="Times New Roman" w:cs="Times New Roman"/>
        </w:rPr>
        <w:fldChar w:fldCharType="begin" w:fldLock="1"/>
      </w:r>
      <w:r w:rsidRPr="00723DA9">
        <w:rPr>
          <w:rFonts w:ascii="Times New Roman" w:eastAsia="宋体" w:hAnsi="Times New Roman" w:cs="Times New Roman"/>
          <w:sz w:val="24"/>
          <w:szCs w:val="24"/>
        </w:rPr>
        <w:instrText>ADDIN CSL_CITATION {"citationItems":[{"id":"ITEM-1","itemData":{"URL":"http://www.aoml.noaa.gov/hrd/Storm_pages/patricia2015/","accessed":{"date-parts":[["2017","11","19"]]},"author":[{"dropping-particle":"","family":"HRD","given":"","non-dropping-particle":"","parse-names":false,"suffix":""}],"id":"ITEM-1","issued":{"date-parts":[["2015"]]},"title":"Patricia","type":"webpage"},"uris":["http://www.mendeley.com/documents/?uuid=1a760d93-bd04-3265-9cf9-a228c57e465e"]}],"mendeley":{"formattedCitation":"(HRD 2015)","manualFormatting":"HRD (2015)","plainTextFormattedCitation":"(HRD 2015)","previouslyFormattedCitation":"(HRD 2015)"},"properties":{"noteIndex":0},"schema":"https://github.com/citation-style-language/schema/raw/master/csl-citation.json"}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eastAsia="宋体" w:hAnsi="Times New Roman" w:cs="Times New Roman"/>
          <w:noProof/>
          <w:sz w:val="24"/>
          <w:szCs w:val="24"/>
        </w:rPr>
        <w:t>HRD (2015)</w:t>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The preprocessing for the TDR radial velocity follows </w:t>
      </w:r>
      <w:r w:rsidRPr="00723DA9">
        <w:rPr>
          <w:rFonts w:ascii="Times New Roman" w:hAnsi="Times New Roman" w:cs="Times New Roman"/>
        </w:rPr>
        <w:fldChar w:fldCharType="begin" w:fldLock="1"/>
      </w:r>
      <w:r w:rsidRPr="00723DA9">
        <w:rPr>
          <w:rFonts w:ascii="Times New Roman" w:eastAsia="宋体" w:hAnsi="Times New Roman" w:cs="Times New Roman"/>
          <w:sz w:val="24"/>
          <w:szCs w:val="24"/>
        </w:rPr>
        <w:instrText>ADDIN CSL_CITATION {"citationItems":[{"id":"ITEM-1","itemData":{"author":[{"dropping-particle":"","family":"Gamache","given":"John","non-dropping-particle":"","parse-names":false,"suffix":""}],"id":"ITEM-1","issued":{"date-parts":[["2005"]]},"title":"Real-Time Dissemination of Hurricane Wind Fields Determined from Airborne Doppler Radar Data Real-Time Dissemination of Hurricane Wind Fields Determined","type":"article-journal"},"uris":["http://www.mendeley.com/documents/?uuid=8251774b-c0e3-4253-97a7-788f96879ff5"]}],"mendeley":{"formattedCitation":"(Gamache 2005)","manualFormatting":"Gamache (2005)","plainTextFormattedCitation":"(Gamache 2005)","previouslyFormattedCitation":"(Gamache 2005)"},"properties":{"noteIndex":0},"schema":"https://github.com/citation-style-language/schema/raw/master/csl-citation.json"}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eastAsia="宋体" w:hAnsi="Times New Roman" w:cs="Times New Roman"/>
          <w:noProof/>
          <w:sz w:val="24"/>
          <w:szCs w:val="24"/>
        </w:rPr>
        <w:t>Gamache (2005)</w:t>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and </w:t>
      </w:r>
      <w:r w:rsidRPr="00723DA9">
        <w:rPr>
          <w:rFonts w:ascii="Times New Roman" w:hAnsi="Times New Roman" w:cs="Times New Roman"/>
        </w:rPr>
        <w:fldChar w:fldCharType="begin" w:fldLock="1"/>
      </w:r>
      <w:r w:rsidRPr="00723DA9">
        <w:rPr>
          <w:rFonts w:ascii="Times New Roman" w:eastAsia="宋体" w:hAnsi="Times New Roman" w:cs="Times New Roman"/>
          <w:sz w:val="24"/>
          <w:szCs w:val="24"/>
        </w:rPr>
        <w:instrText>ADDIN CSL_CITATION {"citationItems":[{"id":"ITEM-1","itemData":{"DOI":"10.1002/qj.2914","ISSN":"1477870X","author":[{"dropping-particle":"","family":"Lu","given":"Xu","non-dropping-particle":"","parse-names":false,"suffix":""},{"dropping-particle":"","family":"Wang","given":"Xuguang","non-dropping-particle":"","parse-names":false,"suffix":""},{"dropping-particle":"","family":"Li","given":"Yongzuo","non-dropping-particle":"","parse-names":false,"suffix":""},{"dropping-particle":"","family":"Tong","given":"Mingjing","non-dropping-particle":"","parse-names":false,"suffix":""},{"dropping-particle":"","family":"Ma","given":"Xulin","non-dropping-particle":"","parse-names":false,"suffix":""}],"container-title":"Quarterly Journal of the Royal Meteorological Society","id":"ITEM-1","issue":"702","issued":{"date-parts":[["2017"]]},"page":"223-239","title":"GSI-based ensemble-variational hybrid data assimilation for HWRF for hurricane initialization and prediction: impact of various error covariances for airborne radar observation assimilation","type":"article-journal","volume":"143"},"uris":["http://www.mendeley.com/documents/?uuid=c3225f76-d6f6-4c30-9c20-7f67e167eeaf"]}],"mendeley":{"formattedCitation":"(Lu et al. 2017a)","manualFormatting":"Lu et al. (2017a,b)","plainTextFormattedCitation":"(Lu et al. 2017a)","previouslyFormattedCitation":"(Lu et al. 2017a)"},"properties":{"noteIndex":0},"schema":"https://github.com/citation-style-language/schema/raw/master/csl-citation.json"}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eastAsia="宋体" w:hAnsi="Times New Roman" w:cs="Times New Roman"/>
          <w:noProof/>
          <w:sz w:val="24"/>
          <w:szCs w:val="24"/>
        </w:rPr>
        <w:t>Lu et al. (2017a,b)</w:t>
      </w:r>
      <w:r w:rsidRPr="00723DA9">
        <w:rPr>
          <w:rFonts w:ascii="Times New Roman" w:hAnsi="Times New Roman" w:cs="Times New Roman"/>
        </w:rPr>
        <w:fldChar w:fldCharType="end"/>
      </w:r>
      <w:r w:rsidRPr="00723DA9">
        <w:rPr>
          <w:rFonts w:ascii="Times New Roman" w:eastAsia="宋体" w:hAnsi="Times New Roman" w:cs="Times New Roman"/>
          <w:sz w:val="24"/>
          <w:szCs w:val="24"/>
        </w:rPr>
        <w:t>, and the observation error is assigned to be 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w:t>
      </w:r>
    </w:p>
    <w:p w14:paraId="05BC72D1" w14:textId="6B34F08D" w:rsidR="00C56823" w:rsidRPr="00723DA9" w:rsidRDefault="00C56823" w:rsidP="00771F99">
      <w:pPr>
        <w:spacing w:after="0" w:line="480" w:lineRule="auto"/>
        <w:ind w:firstLine="432"/>
        <w:rPr>
          <w:rFonts w:ascii="Times New Roman" w:hAnsi="Times New Roman" w:cs="Times New Roman"/>
          <w:sz w:val="24"/>
          <w:szCs w:val="24"/>
        </w:rPr>
      </w:pPr>
      <w:r w:rsidRPr="00723DA9">
        <w:rPr>
          <w:rFonts w:ascii="Times New Roman" w:eastAsia="宋体" w:hAnsi="Times New Roman" w:cs="Times New Roman"/>
          <w:sz w:val="24"/>
          <w:szCs w:val="24"/>
        </w:rPr>
        <w:t xml:space="preserve">The HDSS dropsondes are provided by the TCI field campaign as stated in </w:t>
      </w:r>
      <w:r w:rsidR="009913D0" w:rsidRPr="00723DA9">
        <w:rPr>
          <w:rFonts w:ascii="Times New Roman" w:eastAsia="宋体" w:hAnsi="Times New Roman" w:cs="Times New Roman"/>
          <w:sz w:val="24"/>
          <w:szCs w:val="24"/>
        </w:rPr>
        <w:t>S</w:t>
      </w:r>
      <w:r w:rsidRPr="00723DA9">
        <w:rPr>
          <w:rFonts w:ascii="Times New Roman" w:eastAsia="宋体" w:hAnsi="Times New Roman" w:cs="Times New Roman"/>
          <w:sz w:val="24"/>
          <w:szCs w:val="24"/>
        </w:rPr>
        <w:t xml:space="preserve">ection </w:t>
      </w:r>
      <w:r w:rsidR="009913D0"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  During hurricane Patricia, there are in total 257 dropsondes deployed during the four WB-57 missions between October 20 to October 23, 2015 to sample the moisture, temperature and wind profiles in the inner-core and outflow regions of Patricia.  This study only focuses on the 83 dropsondes released on October 22, 2015.  These HDSS dropsondes were initially quality controlled through both software and manual inspections by the TCI scientists </w:t>
      </w:r>
      <w:r w:rsidRPr="00723DA9">
        <w:rPr>
          <w:rFonts w:ascii="Times New Roman" w:hAnsi="Times New Roman" w:cs="Times New Roman"/>
        </w:rPr>
        <w:fldChar w:fldCharType="begin" w:fldLock="1"/>
      </w:r>
      <w:r w:rsidRPr="00723DA9">
        <w:rPr>
          <w:rFonts w:ascii="Times New Roman" w:eastAsia="宋体" w:hAnsi="Times New Roman" w:cs="Times New Roman"/>
          <w:sz w:val="24"/>
          <w:szCs w:val="24"/>
        </w:rPr>
        <w:instrText>ADDIN CSL_CITATION {"citationItems":[{"id":"ITEM-1","itemData":{"URL":"https://data.eol.ucar.edu/dataset/488.004","accessed":{"date-parts":[["2017","11","20"]]},"author":[{"dropping-particle":"","family":"Bell","given":"M. M.","non-dropping-particle":"","parse-names":false,"suffix":""},{"dropping-particle":"","family":"Doyle","given":"Jamse D.","non-dropping-particle":"","parse-names":false,"suffix":""},{"dropping-particle":"","family":"Beaubein","given":"Mark","non-dropping-particle":"","parse-names":false,"suffix":""},{"dropping-particle":"","family":"Allen","given":"Todd","non-dropping-particle":"","parse-names":false,"suffix":""},{"dropping-particle":"","family":"Brown","given":"Bonnie R.","non-dropping-particle":"","parse-names":false,"suffix":""},{"dropping-particle":"","family":"Dunion","given":"Jason","non-dropping-particle":"","parse-names":false,"suffix":""},{"dropping-particle":"","family":"Duran","given":"Patrick","non-dropping-particle":"","parse-names":false,"suffix":""},{"dropping-particle":"","family":"Feldmeier","given":"Joel","non-dropping-particle":"","parse-names":false,"suffix":""},{"dropping-particle":"","family":"Harrison","given":"Lee C.","non-dropping-particle":"","parse-names":false,"suffix":""},{"dropping-particle":"","family":"Hendricks","given":"Eric","non-dropping-particle":"","parse-names":false,"suffix":""},{"dropping-particle":"","family":"Jeffries","given":"Will","non-dropping-particle":"","parse-names":false,"suffix":""},{"dropping-particle":"","family":"Komaromi","given":"William","non-dropping-particle":"","parse-names":false,"suffix":""},{"dropping-particle":"","family":"Martinez","given":"Jonathan","non-dropping-particle":"","parse-names":false,"suffix":""},{"dropping-particle":"","family":"Molinari","given":"John","non-dropping-particle":"","parse-names":false,"suffix":""},{"dropping-particle":"","family":"Moskaitis","given":"Jonathan","non-dropping-particle":"","parse-names":false,"suffix":""},{"dropping-particle":"","family":"Stern","given":"Daniel P.","non-dropping-particle":"","parse-names":false,"suffix":""},{"dropping-particle":"","family":"Vollaro","given":"David","non-dropping-particle":"","parse-names":false,"suffix":""}],"id":"ITEM-1","issued":{"date-parts":[["2016"]]},"title":"ONR Tropical Cyclone Intensity 2015 NASA WB-57 HDSS dropsonde data, version 1.0","type":"webpage"},"uris":["http://www.mendeley.com/documents/?uuid=d0b022f8-b950-3bbe-873f-f7be4bef1226"]}],"mendeley":{"formattedCitation":"(Bell et al. 2016)","plainTextFormattedCitation":"(Bell et al. 2016)","previouslyFormattedCitation":"(Bell et al. 2016)"},"properties":{"noteIndex":0},"schema":"https://github.com/citation-style-language/schema/raw/master/csl-citation.json"}</w:instrText>
      </w:r>
      <w:r w:rsidRPr="00723DA9">
        <w:rPr>
          <w:rFonts w:ascii="Times New Roman" w:hAnsi="Times New Roman" w:cs="Times New Roman"/>
        </w:rPr>
        <w:fldChar w:fldCharType="separate"/>
      </w:r>
      <w:r w:rsidRPr="00723DA9">
        <w:rPr>
          <w:rFonts w:ascii="Times New Roman" w:eastAsia="宋体" w:hAnsi="Times New Roman" w:cs="Times New Roman"/>
          <w:noProof/>
          <w:sz w:val="24"/>
          <w:szCs w:val="24"/>
        </w:rPr>
        <w:t>(Bell et al. 2016)</w:t>
      </w:r>
      <w:r w:rsidRPr="00723DA9">
        <w:rPr>
          <w:rFonts w:ascii="Times New Roman" w:hAnsi="Times New Roman" w:cs="Times New Roman"/>
        </w:rPr>
        <w:fldChar w:fldCharType="end"/>
      </w:r>
      <w:r w:rsidRPr="00723DA9">
        <w:rPr>
          <w:rFonts w:ascii="Times New Roman" w:eastAsia="宋体" w:hAnsi="Times New Roman" w:cs="Times New Roman"/>
          <w:sz w:val="24"/>
          <w:szCs w:val="24"/>
        </w:rPr>
        <w:t xml:space="preserve">.  Due to the high vertical resolution of the observations, superobbing is applied to reduce the data density.  After some initial trials (not shown), the </w:t>
      </w:r>
      <w:bookmarkStart w:id="212" w:name="OLE_LINK28"/>
      <w:bookmarkStart w:id="213" w:name="OLE_LINK27"/>
      <w:r w:rsidRPr="00723DA9">
        <w:rPr>
          <w:rFonts w:ascii="Times New Roman" w:eastAsia="宋体" w:hAnsi="Times New Roman" w:cs="Times New Roman"/>
          <w:sz w:val="24"/>
          <w:szCs w:val="24"/>
        </w:rPr>
        <w:t xml:space="preserve">superobbed prisms </w:t>
      </w:r>
      <w:bookmarkEnd w:id="212"/>
      <w:bookmarkEnd w:id="213"/>
      <w:r w:rsidRPr="00723DA9">
        <w:rPr>
          <w:rFonts w:ascii="Times New Roman" w:eastAsia="宋体" w:hAnsi="Times New Roman" w:cs="Times New Roman"/>
          <w:sz w:val="24"/>
          <w:szCs w:val="24"/>
        </w:rPr>
        <w:t>are roughly chosen to be about 2 times the model grid-spacing, specifically, about 0.04</w:t>
      </w:r>
      <w:bookmarkStart w:id="214" w:name="OLE_LINK39"/>
      <w:bookmarkStart w:id="215" w:name="OLE_LINK29"/>
      <w:r w:rsidRPr="00723DA9">
        <w:rPr>
          <w:rFonts w:ascii="Times New Roman" w:eastAsia="宋体" w:hAnsi="Times New Roman" w:cs="Times New Roman"/>
          <w:sz w:val="24"/>
          <w:szCs w:val="24"/>
        </w:rPr>
        <w:t>°</w:t>
      </w:r>
      <w:r w:rsidRPr="00723DA9">
        <w:rPr>
          <w:rFonts w:ascii="Times New Roman" w:eastAsia="宋体" w:hAnsi="Times New Roman" w:cs="Times New Roman"/>
          <w:sz w:val="24"/>
          <w:szCs w:val="24"/>
        </w:rPr>
        <w:sym w:font="Symbol Tiger" w:char="F0B4"/>
      </w:r>
      <w:bookmarkStart w:id="216" w:name="OLE_LINK17"/>
      <w:r w:rsidRPr="00723DA9">
        <w:rPr>
          <w:rFonts w:ascii="Times New Roman" w:eastAsia="宋体" w:hAnsi="Times New Roman" w:cs="Times New Roman"/>
          <w:sz w:val="24"/>
          <w:szCs w:val="24"/>
        </w:rPr>
        <w:t>0.04°</w:t>
      </w:r>
      <w:bookmarkEnd w:id="214"/>
      <w:bookmarkEnd w:id="215"/>
      <w:bookmarkEnd w:id="216"/>
      <w:r w:rsidRPr="00723DA9">
        <w:rPr>
          <w:rFonts w:ascii="Times New Roman" w:eastAsia="宋体" w:hAnsi="Times New Roman" w:cs="Times New Roman"/>
          <w:sz w:val="24"/>
          <w:szCs w:val="24"/>
        </w:rPr>
        <w:t xml:space="preserve"> (roughly 4-km</w:t>
      </w:r>
      <w:r w:rsidRPr="00723DA9">
        <w:rPr>
          <w:rFonts w:ascii="Times New Roman" w:eastAsia="宋体" w:hAnsi="Times New Roman" w:cs="Times New Roman"/>
          <w:sz w:val="24"/>
          <w:szCs w:val="24"/>
        </w:rPr>
        <w:sym w:font="Symbol Tiger" w:char="F0B4"/>
      </w:r>
      <w:r w:rsidRPr="00723DA9">
        <w:rPr>
          <w:rFonts w:ascii="Times New Roman" w:eastAsia="宋体" w:hAnsi="Times New Roman" w:cs="Times New Roman"/>
          <w:sz w:val="24"/>
          <w:szCs w:val="24"/>
        </w:rPr>
        <w:t xml:space="preserve">4-km) in the horizontal and every other model level (e.g. about 10 hPa near 1-km height) in the vertical in this study.  The observations within each prism are averaged with equal weights.  </w:t>
      </w:r>
      <w:r w:rsidRPr="00723DA9">
        <w:rPr>
          <w:rFonts w:ascii="Times New Roman" w:hAnsi="Times New Roman" w:cs="Times New Roman"/>
          <w:sz w:val="24"/>
          <w:szCs w:val="24"/>
        </w:rPr>
        <w:t xml:space="preserve">The observation errors used for the </w:t>
      </w:r>
      <w:r w:rsidRPr="00723DA9">
        <w:rPr>
          <w:rFonts w:ascii="Times New Roman" w:eastAsia="宋体" w:hAnsi="Times New Roman" w:cs="Times New Roman"/>
          <w:sz w:val="24"/>
          <w:szCs w:val="24"/>
        </w:rPr>
        <w:t xml:space="preserve">HDSS </w:t>
      </w:r>
      <w:r w:rsidRPr="00723DA9">
        <w:rPr>
          <w:rFonts w:ascii="Times New Roman" w:hAnsi="Times New Roman" w:cs="Times New Roman"/>
          <w:sz w:val="24"/>
          <w:szCs w:val="24"/>
        </w:rPr>
        <w:t>dropsondes range from 2.5 ms</w:t>
      </w:r>
      <w:r w:rsidRPr="00723DA9">
        <w:rPr>
          <w:rFonts w:ascii="Times New Roman" w:hAnsi="Times New Roman" w:cs="Times New Roman"/>
          <w:sz w:val="24"/>
          <w:szCs w:val="24"/>
          <w:vertAlign w:val="superscript"/>
        </w:rPr>
        <w:t xml:space="preserve">-1 </w:t>
      </w:r>
      <w:r w:rsidRPr="00723DA9">
        <w:rPr>
          <w:rFonts w:ascii="Times New Roman" w:hAnsi="Times New Roman" w:cs="Times New Roman"/>
          <w:sz w:val="24"/>
          <w:szCs w:val="24"/>
        </w:rPr>
        <w:t>to 5.1 ms</w:t>
      </w:r>
      <w:r w:rsidRPr="00723DA9">
        <w:rPr>
          <w:rFonts w:ascii="Times New Roman" w:hAnsi="Times New Roman" w:cs="Times New Roman"/>
          <w:sz w:val="24"/>
          <w:szCs w:val="24"/>
          <w:vertAlign w:val="superscript"/>
        </w:rPr>
        <w:t>-1</w:t>
      </w:r>
      <w:r w:rsidRPr="00723DA9">
        <w:rPr>
          <w:rFonts w:ascii="Times New Roman" w:hAnsi="Times New Roman" w:cs="Times New Roman"/>
          <w:sz w:val="24"/>
          <w:szCs w:val="24"/>
        </w:rPr>
        <w:t xml:space="preserve">, and from 0.5 K </w:t>
      </w:r>
      <w:r w:rsidRPr="00723DA9">
        <w:rPr>
          <w:rFonts w:ascii="Times New Roman" w:hAnsi="Times New Roman" w:cs="Times New Roman"/>
          <w:sz w:val="24"/>
          <w:szCs w:val="24"/>
        </w:rPr>
        <w:lastRenderedPageBreak/>
        <w:t>to 2 K for the wind and temperature respectively and 2 kgkg</w:t>
      </w:r>
      <w:r w:rsidRPr="00723DA9">
        <w:rPr>
          <w:rFonts w:ascii="Times New Roman" w:hAnsi="Times New Roman" w:cs="Times New Roman"/>
          <w:sz w:val="24"/>
          <w:szCs w:val="24"/>
          <w:vertAlign w:val="superscript"/>
        </w:rPr>
        <w:noBreakHyphen/>
        <w:t>1</w:t>
      </w:r>
      <w:r w:rsidRPr="00723DA9">
        <w:rPr>
          <w:rFonts w:ascii="Times New Roman" w:hAnsi="Times New Roman" w:cs="Times New Roman"/>
          <w:sz w:val="24"/>
          <w:szCs w:val="24"/>
        </w:rPr>
        <w:t xml:space="preserve"> for the specific humidity.  </w:t>
      </w:r>
      <w:r w:rsidRPr="00723DA9">
        <w:rPr>
          <w:rFonts w:ascii="Times New Roman" w:eastAsia="宋体" w:hAnsi="Times New Roman" w:cs="Times New Roman"/>
          <w:sz w:val="24"/>
          <w:szCs w:val="24"/>
        </w:rPr>
        <w:t>In this study, the diagnostics and verifications are based on these superobbed dropsonde observations.  Further sensitivity experiments on the optimal data preprocessing approach in the HDSS dropsondes will be presented in a forthcoming study.</w:t>
      </w:r>
      <w:r w:rsidRPr="00723DA9">
        <w:rPr>
          <w:rFonts w:ascii="Times New Roman" w:hAnsi="Times New Roman" w:cs="Times New Roman"/>
          <w:sz w:val="24"/>
          <w:szCs w:val="24"/>
        </w:rPr>
        <w:t xml:space="preserve"> </w:t>
      </w:r>
    </w:p>
    <w:p w14:paraId="298D76F9" w14:textId="2402FD99" w:rsidR="00C56823" w:rsidRPr="00723DA9" w:rsidRDefault="00C56823" w:rsidP="004F1C22">
      <w:pPr>
        <w:pStyle w:val="Heading3"/>
        <w:numPr>
          <w:ilvl w:val="2"/>
          <w:numId w:val="25"/>
        </w:numPr>
        <w:spacing w:before="160" w:after="160" w:line="480" w:lineRule="auto"/>
        <w:rPr>
          <w:rFonts w:ascii="Times New Roman" w:hAnsi="Times New Roman" w:cs="Times New Roman"/>
          <w:b/>
          <w:bCs/>
          <w:i/>
          <w:iCs/>
          <w:color w:val="auto"/>
        </w:rPr>
      </w:pPr>
      <w:bookmarkStart w:id="217" w:name="_Toc21624009"/>
      <w:r w:rsidRPr="00723DA9">
        <w:rPr>
          <w:rFonts w:ascii="Times New Roman" w:hAnsi="Times New Roman" w:cs="Times New Roman"/>
          <w:b/>
          <w:bCs/>
          <w:i/>
          <w:iCs/>
          <w:color w:val="auto"/>
        </w:rPr>
        <w:t>Experiment Design</w:t>
      </w:r>
      <w:bookmarkEnd w:id="217"/>
      <w:r w:rsidRPr="00723DA9">
        <w:rPr>
          <w:rFonts w:ascii="Times New Roman" w:hAnsi="Times New Roman" w:cs="Times New Roman"/>
          <w:b/>
          <w:bCs/>
          <w:i/>
          <w:iCs/>
          <w:color w:val="auto"/>
        </w:rPr>
        <w:t xml:space="preserve"> </w:t>
      </w:r>
    </w:p>
    <w:p w14:paraId="3319E707" w14:textId="4CDCFD7D"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For Patricia, there are only 3 DA cycles that all the IFEX, TCI and CIMSS AMV observations are simultaneously available (Fig.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1a).  This study only focuses on the cycle on October 22, 2015 for the following reasons.  First, October 23 is not considered because we are mostly interested in the analysis and prediction of the RI phase of Patricia.  October 21 was not selected because the actual TCI WB57 flights deviated from the original plan.  The deviation makes the actual WB57 flight tracks have undesirably little overlap with the IFEX </w:t>
      </w:r>
      <w:r w:rsidR="005555E1">
        <w:rPr>
          <w:rFonts w:ascii="Times New Roman" w:eastAsia="宋体" w:hAnsi="Times New Roman" w:cs="Times New Roman"/>
          <w:sz w:val="24"/>
          <w:szCs w:val="24"/>
        </w:rPr>
        <w:t>W</w:t>
      </w:r>
      <w:r w:rsidRPr="00723DA9">
        <w:rPr>
          <w:rFonts w:ascii="Times New Roman" w:eastAsia="宋体" w:hAnsi="Times New Roman" w:cs="Times New Roman"/>
          <w:sz w:val="24"/>
          <w:szCs w:val="24"/>
        </w:rPr>
        <w:t>P</w:t>
      </w:r>
      <w:r w:rsidR="005555E1">
        <w:rPr>
          <w:rFonts w:ascii="Times New Roman" w:eastAsia="宋体" w:hAnsi="Times New Roman" w:cs="Times New Roman"/>
          <w:sz w:val="24"/>
          <w:szCs w:val="24"/>
        </w:rPr>
        <w:t>-</w:t>
      </w:r>
      <w:r w:rsidRPr="00723DA9">
        <w:rPr>
          <w:rFonts w:ascii="Times New Roman" w:eastAsia="宋体" w:hAnsi="Times New Roman" w:cs="Times New Roman"/>
          <w:sz w:val="24"/>
          <w:szCs w:val="24"/>
        </w:rPr>
        <w:t>3</w:t>
      </w:r>
      <w:r w:rsidR="005555E1">
        <w:rPr>
          <w:rFonts w:ascii="Times New Roman" w:eastAsia="宋体" w:hAnsi="Times New Roman" w:cs="Times New Roman"/>
          <w:sz w:val="24"/>
          <w:szCs w:val="24"/>
        </w:rPr>
        <w:t>D</w:t>
      </w:r>
      <w:r w:rsidRPr="00723DA9">
        <w:rPr>
          <w:rFonts w:ascii="Times New Roman" w:eastAsia="宋体" w:hAnsi="Times New Roman" w:cs="Times New Roman"/>
          <w:sz w:val="24"/>
          <w:szCs w:val="24"/>
        </w:rPr>
        <w:t xml:space="preserve"> flight track in the horizontal direction when both sample the inner core region.  For example, on October 21, the flight pattern from WB-57 missed the southern portions of the storm while the WP-3D captured it (not shown).  Such a difference complicates the interpretation of the impact of the data on the inner core analysis.  In comparison, the October 22 cycle has similar flight patterns in the inner-core region between the IFEX and TCI field campaigns.  This cycle was then selected to aid in addressing the scientific objectives of the study.  </w:t>
      </w:r>
    </w:p>
    <w:p w14:paraId="03C0D6B5" w14:textId="66257C3A"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To understand the</w:t>
      </w:r>
      <w:r w:rsidR="007E0EEB">
        <w:rPr>
          <w:rFonts w:ascii="Times New Roman" w:eastAsia="宋体" w:hAnsi="Times New Roman" w:cs="Times New Roman"/>
          <w:sz w:val="24"/>
          <w:szCs w:val="24"/>
        </w:rPr>
        <w:t xml:space="preserve"> relative</w:t>
      </w:r>
      <w:r w:rsidRPr="00723DA9">
        <w:rPr>
          <w:rFonts w:ascii="Times New Roman" w:eastAsia="宋体" w:hAnsi="Times New Roman" w:cs="Times New Roman"/>
          <w:sz w:val="24"/>
          <w:szCs w:val="24"/>
        </w:rPr>
        <w:t xml:space="preserve"> impact of each individual observation type on the TC analysis and prediction, eight experiments denoted as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w:t>
      </w:r>
      <w:proofErr w:type="spellStart"/>
      <w:r w:rsidRPr="00723DA9">
        <w:rPr>
          <w:rFonts w:ascii="Times New Roman" w:eastAsia="宋体" w:hAnsi="Times New Roman" w:cs="Times New Roman"/>
          <w:sz w:val="24"/>
          <w:szCs w:val="24"/>
        </w:rPr>
        <w:t>TDR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w:t>
      </w:r>
      <w:proofErr w:type="spellStart"/>
      <w:r w:rsidRPr="00723DA9">
        <w:rPr>
          <w:rFonts w:ascii="Times New Roman" w:eastAsia="宋体" w:hAnsi="Times New Roman" w:cs="Times New Roman"/>
          <w:sz w:val="24"/>
          <w:szCs w:val="24"/>
        </w:rPr>
        <w:t>FL</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w:t>
      </w:r>
      <w:proofErr w:type="spellStart"/>
      <w:r w:rsidRPr="00723DA9">
        <w:rPr>
          <w:rFonts w:ascii="Times New Roman" w:eastAsia="宋体" w:hAnsi="Times New Roman" w:cs="Times New Roman"/>
          <w:sz w:val="24"/>
          <w:szCs w:val="24"/>
        </w:rPr>
        <w:t>SFMR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and “All” are conducted (see descriptions in Table </w:t>
      </w:r>
      <w:r w:rsidR="00B14A3F"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1).  Details for each experiment are described as below.</w:t>
      </w:r>
    </w:p>
    <w:p w14:paraId="17F98518" w14:textId="441FB253"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Experiment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initialized from a relocated </w:t>
      </w:r>
      <w:r w:rsidRPr="00723DA9">
        <w:rPr>
          <w:rFonts w:ascii="Times New Roman" w:hAnsi="Times New Roman" w:cs="Times New Roman"/>
          <w:sz w:val="24"/>
          <w:szCs w:val="24"/>
        </w:rPr>
        <w:t xml:space="preserve">control background forecast valid at 1800 UTC 22 October 2015 from the newly upgraded hybrid DA system with modified model </w:t>
      </w:r>
      <w:r w:rsidRPr="00723DA9">
        <w:rPr>
          <w:rFonts w:ascii="Times New Roman" w:hAnsi="Times New Roman" w:cs="Times New Roman"/>
          <w:sz w:val="24"/>
          <w:szCs w:val="24"/>
        </w:rPr>
        <w:lastRenderedPageBreak/>
        <w:t>physics</w:t>
      </w:r>
      <w:r w:rsidRPr="00723DA9">
        <w:rPr>
          <w:rFonts w:ascii="Times New Roman" w:eastAsia="宋体" w:hAnsi="Times New Roman" w:cs="Times New Roman"/>
          <w:sz w:val="24"/>
          <w:szCs w:val="24"/>
        </w:rPr>
        <w:t xml:space="preserve">.  The model physics are modified from the previous cycle starting from 1200 UTC 22 October 2015.  </w:t>
      </w:r>
      <w:r w:rsidR="007E0EEB" w:rsidRPr="00FA14B9">
        <w:rPr>
          <w:rFonts w:ascii="Times New Roman" w:eastAsia="宋体" w:hAnsi="Times New Roman" w:cs="Times New Roman"/>
          <w:sz w:val="24"/>
          <w:szCs w:val="24"/>
        </w:rPr>
        <w:t xml:space="preserve">There were seven DA and forecast cycles performed ahead every 6 hours starting from 1800 UTC 20 October 2015 using the cycled DA system with only the operational HWRF observations assimilated and the physics configurations comparable to the 2015 operational HWRF.  </w:t>
      </w:r>
      <w:r w:rsidRPr="00723DA9">
        <w:rPr>
          <w:rFonts w:ascii="Times New Roman" w:eastAsia="宋体" w:hAnsi="Times New Roman" w:cs="Times New Roman"/>
          <w:sz w:val="24"/>
          <w:szCs w:val="24"/>
        </w:rPr>
        <w:t xml:space="preserve">The configuration and design of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this study are identical to experiment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w:t>
      </w:r>
      <w:r w:rsidR="00E22E12" w:rsidRPr="00723DA9">
        <w:rPr>
          <w:rFonts w:ascii="Times New Roman" w:eastAsia="宋体" w:hAnsi="Times New Roman" w:cs="Times New Roman"/>
          <w:sz w:val="24"/>
          <w:szCs w:val="24"/>
        </w:rPr>
        <w:t>Chapter</w:t>
      </w:r>
      <w:r w:rsidR="00403CAF" w:rsidRPr="00723DA9">
        <w:rPr>
          <w:rFonts w:ascii="Times New Roman" w:eastAsia="宋体" w:hAnsi="Times New Roman" w:cs="Times New Roman"/>
          <w:sz w:val="24"/>
          <w:szCs w:val="24"/>
        </w:rPr>
        <w:t xml:space="preserve"> 4</w:t>
      </w:r>
      <w:r w:rsidRPr="00723DA9">
        <w:rPr>
          <w:rFonts w:ascii="Times New Roman" w:eastAsia="宋体" w:hAnsi="Times New Roman" w:cs="Times New Roman"/>
          <w:sz w:val="24"/>
          <w:szCs w:val="24"/>
        </w:rPr>
        <w:t xml:space="preserve">, except the modified model physics.  No vortex modification (VM) is performed but the vortex relocation (VR) is kept at the TDR-available cycle prior to DA following Lu et al. 2017b.  Note that some preliminary diagnostics of this study were included in the Fig. 15 of </w:t>
      </w:r>
      <w:r w:rsidRPr="00723DA9">
        <w:rPr>
          <w:rFonts w:ascii="Times New Roman" w:eastAsia="宋体" w:hAnsi="Times New Roman" w:cs="Times New Roman"/>
          <w:sz w:val="24"/>
          <w:szCs w:val="24"/>
        </w:rPr>
        <w:fldChar w:fldCharType="begin" w:fldLock="1"/>
      </w:r>
      <w:r w:rsidRPr="00723DA9">
        <w:rPr>
          <w:rFonts w:ascii="Times New Roman" w:eastAsia="宋体" w:hAnsi="Times New Roman" w:cs="Times New Roman"/>
          <w:sz w:val="24"/>
          <w:szCs w:val="24"/>
        </w:rPr>
        <w:instrText>ADDIN CSL_CITATION {"citationItems":[{"id":"ITEM-1","itemData":{"DOI":"10.1175/BAMS-D-16-0055.1","ISSN":"0003-0007","author":[{"dropping-particle":"","family":"Doyle","given":"James D.","non-dropping-particle":"","parse-names":false,"suffix":""},{"dropping-particle":"","family":"Moskaitis","given":"Jon","non-dropping-particle":"","parse-names":false,"suffix":""},{"dropping-particle":"","family":"Feldmeier","given":"Joel","non-dropping-particle":"","parse-names":false,"suffix":""},{"dropping-particle":"","family":"Ferek","given":"Ronald","non-dropping-particle":"","parse-names":false,"suffix":""},{"dropping-particle":"","family":"Beaubien","given":"Mark","non-dropping-particle":"","parse-names":false,"suffix":""},{"dropping-particle":"","family":"Bell","given":"Michael","non-dropping-particle":"","parse-names":false,"suffix":""},{"dropping-particle":"","family":"Cecil","given":"Daniel","non-dropping-particle":"","parse-names":false,"suffix":""},{"dropping-particle":"","family":"Creasey","given":"Robert","non-dropping-particle":"","parse-names":false,"suffix":""},{"dropping-particle":"","family":"Duran","given":"Patrick","non-dropping-particle":"","parse-names":false,"suffix":""},{"dropping-particle":"","family":"Elsberry","given":"Russ","non-dropping-particle":"","parse-names":false,"suffix":""},{"dropping-particle":"","family":"Komaromi","given":"Will","non-dropping-particle":"","parse-names":false,"suffix":""},{"dropping-particle":"","family":"Molinari","given":"John","non-dropping-particle":"","parse-names":false,"suffix":""},{"dropping-particle":"","family":"Ryglicki","given":"David","non-dropping-particle":"","parse-names":false,"suffix":""},{"dropping-particle":"","family":"Stern","given":"Daniel","non-dropping-particle":"","parse-names":false,"suffix":""},{"dropping-particle":"","family":"Velden","given":"Chris","non-dropping-particle":"","parse-names":false,"suffix":""},{"dropping-particle":"","family":"Wang","given":"Xuguang","non-dropping-particle":"","parse-names":false,"suffix":""},{"dropping-particle":"","family":"Allen","given":"Todd","non-dropping-particle":"","parse-names":false,"suffix":""},{"dropping-particle":"","family":"Barrett","given":"Bradford","non-dropping-particle":"","parse-names":false,"suffix":""},{"dropping-particle":"","family":"Black","given":"Peter","non-dropping-particle":"","parse-names":false,"suffix":""},{"dropping-particle":"","family":"Dunion","given":"Jason","non-dropping-particle":"","parse-names":false,"suffix":""},{"dropping-particle":"","family":"Emanuel","given":"Kerry","non-dropping-particle":"","parse-names":false,"suffix":""},{"dropping-particle":"","family":"Harr","given":"Pat","non-dropping-particle":"","parse-names":false,"suffix":""},{"dropping-particle":"","family":"Harrison","given":"Lee","non-dropping-particle":"","parse-names":false,"suffix":""},{"dropping-particle":"","family":"Hendricks","given":"Eric","non-dropping-particle":"","parse-names":false,"suffix":""},{"dropping-particle":"","family":"Herndon","given":"Derrick","non-dropping-particle":"","parse-names":false,"suffix":""},{"dropping-particle":"","family":"Jeffries","given":"William","non-dropping-particle":"","parse-names":false,"suffix":""},{"dropping-particle":"","family":"Majumdar","given":"Sharanya J.","non-dropping-particle":"","parse-names":false,"suffix":""},{"dropping-particle":"","family":"Moore","given":"James","non-dropping-particle":"","parse-names":false,"suffix":""},{"dropping-particle":"","family":"Pu","given":"Zhaoxia","non-dropping-particle":"","parse-names":false,"suffix":""},{"dropping-particle":"","family":"Rogers","given":"Robert","non-dropping-particle":"","parse-names":false,"suffix":""},{"dropping-particle":"","family":"Sanabia","given":"Elizabeth","non-dropping-particle":"","parse-names":false,"suffix":""},{"dropping-particle":"","family":"Tripoli","given":"Gregory","non-dropping-particle":"","parse-names":false,"suffix":""},{"dropping-particle":"","family":"Zhang","given":"Da-Lin","non-dropping-particle":"","parse-names":false,"suffix":""}],"container-title":"Bulletin of the American Meteorological Society","id":"ITEM-1","issued":{"date-parts":[["2017"]]},"page":"2113-2134","title":"A View of Tropical Cyclones from Above: The Tropical Cyclone Intensity (TCI) Experiment","type":"article-journal","volume":"98"},"uris":["http://www.mendeley.com/documents/?uuid=60c3c0a0-836e-40e1-9511-4e4e563a9101"]}],"mendeley":{"formattedCitation":"(Doyle et al. 2017)","manualFormatting":"Doyle et al. (2017)","plainTextFormattedCitation":"(Doyle et al. 2017)","previouslyFormattedCitation":"(Doyle et al. 2017)"},"properties":{"noteIndex":0},"schema":"https://github.com/citation-style-language/schema/raw/master/csl-citation.json"}</w:instrText>
      </w:r>
      <w:r w:rsidRPr="00723DA9">
        <w:rPr>
          <w:rFonts w:ascii="Times New Roman" w:eastAsia="宋体" w:hAnsi="Times New Roman" w:cs="Times New Roman"/>
          <w:sz w:val="24"/>
          <w:szCs w:val="24"/>
        </w:rPr>
        <w:fldChar w:fldCharType="separate"/>
      </w:r>
      <w:r w:rsidRPr="00723DA9">
        <w:rPr>
          <w:rFonts w:ascii="Times New Roman" w:eastAsia="宋体" w:hAnsi="Times New Roman" w:cs="Times New Roman"/>
          <w:noProof/>
          <w:sz w:val="24"/>
          <w:szCs w:val="24"/>
        </w:rPr>
        <w:t>Doyle et al. (2017)</w:t>
      </w:r>
      <w:r w:rsidRPr="00723DA9">
        <w:rPr>
          <w:rFonts w:ascii="Times New Roman" w:eastAsia="宋体" w:hAnsi="Times New Roman" w:cs="Times New Roman"/>
          <w:sz w:val="24"/>
          <w:szCs w:val="24"/>
        </w:rPr>
        <w:fldChar w:fldCharType="end"/>
      </w:r>
      <w:r w:rsidRPr="00723DA9">
        <w:rPr>
          <w:rFonts w:ascii="Times New Roman" w:eastAsia="宋体" w:hAnsi="Times New Roman" w:cs="Times New Roman"/>
          <w:sz w:val="24"/>
          <w:szCs w:val="24"/>
        </w:rPr>
        <w:t xml:space="preserve">.  However, those preliminary diagnostics were conducted without the physics parameterization improvement and were shown at different levels, and therefore differ from Fig.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 and Fig.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3 in this study.</w:t>
      </w:r>
    </w:p>
    <w:p w14:paraId="5A73AB0E" w14:textId="7B2FFFC7"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hAnsi="Times New Roman" w:cs="Times New Roman"/>
          <w:sz w:val="24"/>
          <w:szCs w:val="24"/>
        </w:rPr>
        <w:t xml:space="preserve">To provide a reference to reveal the impact of other specially collected observations, experiment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is conducted to assimilate observations from the operational HWRF data stream based 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The details about the observations assimilated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are described in Table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  Note, as indicated in </w:t>
      </w:r>
      <w:r w:rsidR="00CA1C05" w:rsidRPr="00723DA9">
        <w:rPr>
          <w:rFonts w:ascii="Times New Roman" w:eastAsia="宋体" w:hAnsi="Times New Roman" w:cs="Times New Roman"/>
          <w:sz w:val="24"/>
          <w:szCs w:val="24"/>
        </w:rPr>
        <w:t>S</w:t>
      </w:r>
      <w:r w:rsidRPr="00723DA9">
        <w:rPr>
          <w:rFonts w:ascii="Times New Roman" w:eastAsia="宋体" w:hAnsi="Times New Roman" w:cs="Times New Roman"/>
          <w:sz w:val="24"/>
          <w:szCs w:val="24"/>
        </w:rPr>
        <w:t xml:space="preserve">ection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2</w:t>
      </w:r>
      <w:r w:rsidR="00CA1C05" w:rsidRPr="00723DA9">
        <w:rPr>
          <w:rFonts w:ascii="Times New Roman" w:eastAsia="宋体" w:hAnsi="Times New Roman" w:cs="Times New Roman"/>
          <w:sz w:val="24"/>
          <w:szCs w:val="24"/>
        </w:rPr>
        <w:t>.2</w:t>
      </w:r>
      <w:r w:rsidRPr="00723DA9">
        <w:rPr>
          <w:rFonts w:ascii="Times New Roman" w:eastAsia="宋体" w:hAnsi="Times New Roman" w:cs="Times New Roman"/>
          <w:sz w:val="24"/>
          <w:szCs w:val="24"/>
        </w:rPr>
        <w:t xml:space="preserve">, no TDR data is assimilated in the operational HWRF at </w:t>
      </w:r>
      <w:r w:rsidRPr="00723DA9">
        <w:rPr>
          <w:rFonts w:ascii="Times New Roman" w:hAnsi="Times New Roman" w:cs="Times New Roman"/>
          <w:sz w:val="24"/>
          <w:szCs w:val="24"/>
        </w:rPr>
        <w:t xml:space="preserve">1800 UTC 22 October 2015 during hurricane Patricia, and the clear-air satellite radiance observations are only assimilated in the intermediate domain.  Therefore, the inner-core information in </w:t>
      </w:r>
      <w:proofErr w:type="spellStart"/>
      <w:r w:rsidRPr="00723DA9">
        <w:rPr>
          <w:rFonts w:ascii="Times New Roman" w:hAnsi="Times New Roman" w:cs="Times New Roman"/>
          <w:sz w:val="24"/>
          <w:szCs w:val="24"/>
        </w:rPr>
        <w:t>OperH</w:t>
      </w:r>
      <w:proofErr w:type="spellEnd"/>
      <w:r w:rsidRPr="00723DA9">
        <w:rPr>
          <w:rFonts w:ascii="Times New Roman" w:hAnsi="Times New Roman" w:cs="Times New Roman"/>
          <w:sz w:val="24"/>
          <w:szCs w:val="24"/>
        </w:rPr>
        <w:t xml:space="preserve"> is only provided by a few dropsondes in the lower troposphere launched from WP-3D aircraft and TCVital MSLP.  Note that the analysis by this </w:t>
      </w:r>
      <w:proofErr w:type="spellStart"/>
      <w:r w:rsidRPr="00723DA9">
        <w:rPr>
          <w:rFonts w:ascii="Times New Roman" w:hAnsi="Times New Roman" w:cs="Times New Roman"/>
          <w:sz w:val="24"/>
          <w:szCs w:val="24"/>
        </w:rPr>
        <w:t>OperH</w:t>
      </w:r>
      <w:proofErr w:type="spellEnd"/>
      <w:r w:rsidRPr="00723DA9">
        <w:rPr>
          <w:rFonts w:ascii="Times New Roman" w:hAnsi="Times New Roman" w:cs="Times New Roman"/>
          <w:sz w:val="24"/>
          <w:szCs w:val="24"/>
        </w:rPr>
        <w:t xml:space="preserve"> experiment is different from that generated by the operational HWRF.  In addition to the system differences mentioned in </w:t>
      </w:r>
      <w:r w:rsidR="00CA1C05" w:rsidRPr="00723DA9">
        <w:rPr>
          <w:rFonts w:ascii="Times New Roman" w:hAnsi="Times New Roman" w:cs="Times New Roman"/>
          <w:sz w:val="24"/>
          <w:szCs w:val="24"/>
        </w:rPr>
        <w:t>S</w:t>
      </w:r>
      <w:r w:rsidRPr="00723DA9">
        <w:rPr>
          <w:rFonts w:ascii="Times New Roman" w:hAnsi="Times New Roman" w:cs="Times New Roman"/>
          <w:sz w:val="24"/>
          <w:szCs w:val="24"/>
        </w:rPr>
        <w:t xml:space="preserve">ection </w:t>
      </w:r>
      <w:r w:rsidR="00CA1C05" w:rsidRPr="00723DA9">
        <w:rPr>
          <w:rFonts w:ascii="Times New Roman" w:hAnsi="Times New Roman" w:cs="Times New Roman"/>
          <w:sz w:val="24"/>
          <w:szCs w:val="24"/>
        </w:rPr>
        <w:t>5.</w:t>
      </w:r>
      <w:r w:rsidRPr="00723DA9">
        <w:rPr>
          <w:rFonts w:ascii="Times New Roman" w:hAnsi="Times New Roman" w:cs="Times New Roman"/>
          <w:sz w:val="24"/>
          <w:szCs w:val="24"/>
        </w:rPr>
        <w:t>2</w:t>
      </w:r>
      <w:r w:rsidR="00CA1C05" w:rsidRPr="00723DA9">
        <w:rPr>
          <w:rFonts w:ascii="Times New Roman" w:hAnsi="Times New Roman" w:cs="Times New Roman"/>
          <w:sz w:val="24"/>
          <w:szCs w:val="24"/>
        </w:rPr>
        <w:t>.1</w:t>
      </w:r>
      <w:r w:rsidRPr="00723DA9">
        <w:rPr>
          <w:rFonts w:ascii="Times New Roman" w:hAnsi="Times New Roman" w:cs="Times New Roman"/>
          <w:sz w:val="24"/>
          <w:szCs w:val="24"/>
        </w:rPr>
        <w:t xml:space="preserve">, the operational HWRF performs VM before the assimilation whereas this study does not.  </w:t>
      </w:r>
    </w:p>
    <w:p w14:paraId="227620EA" w14:textId="77777777"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lastRenderedPageBreak/>
        <w:t xml:space="preserve">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SFMR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FL</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TDR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are experiments where the corresponding individual type of observations is assimilated, respectively.  Inter-comparison among these experiments,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reveals the data impact of each individual observation type. </w:t>
      </w:r>
    </w:p>
    <w:p w14:paraId="28D968E8" w14:textId="7ECE7B8C" w:rsidR="00C56823" w:rsidRPr="00723DA9" w:rsidRDefault="00C56823" w:rsidP="00771F99">
      <w:pPr>
        <w:spacing w:after="0" w:line="480" w:lineRule="auto"/>
        <w:ind w:firstLine="432"/>
        <w:rPr>
          <w:rFonts w:ascii="Times New Roman" w:eastAsia="宋体" w:hAnsi="Times New Roman" w:cs="Times New Roman"/>
          <w:sz w:val="24"/>
          <w:szCs w:val="24"/>
        </w:rPr>
      </w:pPr>
      <w:bookmarkStart w:id="218" w:name="OLE_LINK153"/>
      <w:r w:rsidRPr="00723DA9">
        <w:rPr>
          <w:rFonts w:ascii="Times New Roman" w:eastAsia="宋体" w:hAnsi="Times New Roman" w:cs="Times New Roman"/>
          <w:sz w:val="24"/>
          <w:szCs w:val="24"/>
        </w:rPr>
        <w:t xml:space="preserve">Experiment All assimilates all types of observations listed above based 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This experiment is conducted to reveal the impact of combining all types of observations.  Note that experiment All is identical to experiment “DA-HDVD” in </w:t>
      </w:r>
      <w:r w:rsidR="00E22E12" w:rsidRPr="00723DA9">
        <w:rPr>
          <w:rFonts w:ascii="Times New Roman" w:eastAsia="宋体" w:hAnsi="Times New Roman" w:cs="Times New Roman"/>
          <w:sz w:val="24"/>
          <w:szCs w:val="24"/>
        </w:rPr>
        <w:t>Chapter</w:t>
      </w:r>
      <w:r w:rsidR="00403CAF" w:rsidRPr="00723DA9">
        <w:rPr>
          <w:rFonts w:ascii="Times New Roman" w:eastAsia="宋体" w:hAnsi="Times New Roman" w:cs="Times New Roman"/>
          <w:sz w:val="24"/>
          <w:szCs w:val="24"/>
        </w:rPr>
        <w:t xml:space="preserve"> 4</w:t>
      </w:r>
      <w:r w:rsidRPr="00723DA9">
        <w:rPr>
          <w:rFonts w:ascii="Times New Roman" w:eastAsia="宋体" w:hAnsi="Times New Roman" w:cs="Times New Roman"/>
          <w:sz w:val="24"/>
          <w:szCs w:val="24"/>
        </w:rPr>
        <w:t>.</w:t>
      </w:r>
      <w:bookmarkEnd w:id="218"/>
    </w:p>
    <w:p w14:paraId="379A5317" w14:textId="1393F7A9" w:rsidR="00C56823" w:rsidRPr="00723DA9" w:rsidRDefault="00C56823" w:rsidP="004F1C22">
      <w:pPr>
        <w:pStyle w:val="Heading2"/>
        <w:numPr>
          <w:ilvl w:val="1"/>
          <w:numId w:val="24"/>
        </w:numPr>
        <w:spacing w:line="480" w:lineRule="auto"/>
        <w:ind w:left="0" w:firstLine="0"/>
        <w:rPr>
          <w:rFonts w:ascii="Times New Roman" w:hAnsi="Times New Roman" w:cs="Times New Roman"/>
          <w:b/>
          <w:bCs/>
          <w:color w:val="auto"/>
          <w:sz w:val="24"/>
          <w:szCs w:val="24"/>
        </w:rPr>
      </w:pPr>
      <w:bookmarkStart w:id="219" w:name="_Toc21624010"/>
      <w:r w:rsidRPr="00723DA9">
        <w:rPr>
          <w:rFonts w:ascii="Times New Roman" w:hAnsi="Times New Roman" w:cs="Times New Roman"/>
          <w:b/>
          <w:bCs/>
          <w:color w:val="auto"/>
          <w:sz w:val="24"/>
          <w:szCs w:val="24"/>
        </w:rPr>
        <w:t>Results</w:t>
      </w:r>
      <w:bookmarkEnd w:id="219"/>
    </w:p>
    <w:p w14:paraId="367265C9" w14:textId="5AA02189" w:rsidR="00C56823" w:rsidRPr="00723DA9" w:rsidRDefault="00C56823" w:rsidP="004F1C22">
      <w:pPr>
        <w:pStyle w:val="Heading3"/>
        <w:numPr>
          <w:ilvl w:val="2"/>
          <w:numId w:val="26"/>
        </w:numPr>
        <w:spacing w:before="160" w:after="160" w:line="480" w:lineRule="auto"/>
        <w:rPr>
          <w:rFonts w:ascii="Times New Roman" w:hAnsi="Times New Roman" w:cs="Times New Roman"/>
          <w:b/>
          <w:bCs/>
          <w:i/>
          <w:iCs/>
          <w:color w:val="auto"/>
        </w:rPr>
      </w:pPr>
      <w:bookmarkStart w:id="220" w:name="_Toc21624011"/>
      <w:r w:rsidRPr="00723DA9">
        <w:rPr>
          <w:rFonts w:ascii="Times New Roman" w:hAnsi="Times New Roman" w:cs="Times New Roman"/>
          <w:b/>
          <w:bCs/>
          <w:i/>
          <w:iCs/>
          <w:color w:val="auto"/>
        </w:rPr>
        <w:t>Evolution of Patricia observed from various platforms</w:t>
      </w:r>
      <w:bookmarkEnd w:id="220"/>
    </w:p>
    <w:p w14:paraId="5DB78DFC" w14:textId="121F2A1D" w:rsidR="00C56823"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 As shown in Fig.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1a, Patricia became a tropical storm around 0000 UTC 21 October 2015 and started its RI on 22 October.  After reaching the peak intensity around 1200 UTC 23 October, Patricia rapidly weakened and made landfall around 2300 UTC 23 October.  This study primarily focuses on the RI evolution of Patricia between 1800 UTC 22 and 1800 UTC 23 October.  The structural evolution of Patricia observed from various platforms during this period is first briefly discussed in this subsection.</w:t>
      </w:r>
    </w:p>
    <w:p w14:paraId="509F513B" w14:textId="70589EC2" w:rsidR="0009534B" w:rsidRPr="00723DA9" w:rsidRDefault="0009534B"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At 1800 UTC 22 October 2015, Patricia was a small-sized, category 4 hurricane.  The Vmax was 59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and the radius of maximum wind (RMW) was about 18-km.  Such a strong Vmax in the northeast (NE) quadrant of Patricia and the small RMW were well captured by the SFMR observations (Figure 5.2a).  The small storm size and the wind speed maximum located in the NE quadrant were also consistently found in the FL and TDR observations (e.g. Figure 5.3a).  A southeast-northwest (SE-NW) cross-section of the radial wind patterns derived from the HDSS dropsondes shows that Patricia was dominated by inflow (blue colors) in the SE section of the low-level and was dominated by outflow (red colors) in the NW section (Fig. 5.4a).  Other than </w:t>
      </w:r>
      <w:r w:rsidRPr="00723DA9">
        <w:rPr>
          <w:rFonts w:ascii="Times New Roman" w:eastAsia="宋体" w:hAnsi="Times New Roman" w:cs="Times New Roman"/>
          <w:sz w:val="24"/>
          <w:szCs w:val="24"/>
        </w:rPr>
        <w:lastRenderedPageBreak/>
        <w:t>the cross-sections, the environmental wind (outside the 150-km radius of the storm) sampled by the CIMSS AMVs was also available.  Given the peak number of observations (Fig. 5.1c)</w:t>
      </w:r>
      <w:r w:rsidRPr="007A1DFF">
        <w:rPr>
          <w:rStyle w:val="FootnoteReference"/>
        </w:rPr>
        <w:footnoteReference w:id="10"/>
      </w:r>
      <w:r w:rsidRPr="00723DA9">
        <w:rPr>
          <w:rFonts w:ascii="Times New Roman" w:eastAsia="宋体" w:hAnsi="Times New Roman" w:cs="Times New Roman"/>
          <w:sz w:val="24"/>
          <w:szCs w:val="24"/>
        </w:rPr>
        <w:t xml:space="preserve">, the corresponding radial flow patterns derived from the CIMSS AMVs at 150 hPa are shown in Figure 5.5a.  The environmental wind at this level was featured with outflow except the east (E) to SE portion.  Besides the dynamic structures, the thermodynamic structures were also sampled from the HDSS dropsondes.  For instance, the corresponding temperature anomaly in the SE-NW cross-section is shown in Figure 5.6a.  The Jordan annual mean profile (Jordan 1958) is used as the environmental sounding during the anomaly calculation.  At this time, there were two warm anomaly maxima in the eye region for this cross-section: one stronger upper-level warm-core (UWC) centered between 200~250 hPa, and one weaker middle-level warm-core (MWC) centered between 550~600 hPa.  </w:t>
      </w:r>
    </w:p>
    <w:p w14:paraId="0ECE4383" w14:textId="5914C128" w:rsidR="00410356" w:rsidRPr="00723DA9" w:rsidRDefault="00CA1C05" w:rsidP="0009534B">
      <w:pPr>
        <w:pStyle w:val="Captions"/>
        <w:spacing w:after="0" w:line="360" w:lineRule="auto"/>
        <w:jc w:val="center"/>
        <w:rPr>
          <w:rFonts w:eastAsia="Times New Roman" w:cs="Times New Roman"/>
          <w:color w:val="000000" w:themeColor="text1"/>
        </w:rPr>
      </w:pPr>
      <w:r w:rsidRPr="00723DA9">
        <w:rPr>
          <w:rFonts w:cs="Times New Roman"/>
          <w:noProof/>
          <w:sz w:val="24"/>
          <w:szCs w:val="24"/>
        </w:rPr>
        <w:lastRenderedPageBreak/>
        <w:drawing>
          <wp:inline distT="0" distB="0" distL="0" distR="0" wp14:anchorId="2BF02990" wp14:editId="14FCC981">
            <wp:extent cx="5486400" cy="56273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5627302"/>
                    </a:xfrm>
                    <a:prstGeom prst="rect">
                      <a:avLst/>
                    </a:prstGeom>
                    <a:noFill/>
                    <a:ln>
                      <a:noFill/>
                    </a:ln>
                  </pic:spPr>
                </pic:pic>
              </a:graphicData>
            </a:graphic>
          </wp:inline>
        </w:drawing>
      </w:r>
    </w:p>
    <w:p w14:paraId="7F757F1D" w14:textId="17228ACA" w:rsidR="00CA1C05" w:rsidRPr="00723DA9" w:rsidRDefault="00410356" w:rsidP="00E86356">
      <w:pPr>
        <w:pStyle w:val="Captions"/>
        <w:spacing w:after="0"/>
        <w:rPr>
          <w:rFonts w:cs="Times New Roman"/>
        </w:rPr>
      </w:pPr>
      <w:bookmarkStart w:id="221" w:name="_Toc21624053"/>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2</w:t>
      </w:r>
      <w:r w:rsidR="00771F99" w:rsidRPr="00723DA9">
        <w:rPr>
          <w:rFonts w:cs="Times New Roman"/>
          <w:noProof/>
        </w:rPr>
        <w:fldChar w:fldCharType="end"/>
      </w:r>
      <w:r w:rsidRPr="00723DA9">
        <w:rPr>
          <w:rFonts w:cs="Times New Roman"/>
        </w:rPr>
        <w:t xml:space="preserve"> </w:t>
      </w:r>
      <w:r w:rsidR="00CA1C05" w:rsidRPr="00723DA9">
        <w:rPr>
          <w:rFonts w:cs="Times New Roman"/>
        </w:rPr>
        <w:t xml:space="preserve">Wind (shading and vectors, m s-1) and pressure (contours, hPa) at 10-m height for (a) SFMR observations onboard NOAA P-3 aircraft centered around 1739 UTC 22 Oct 2015, (b) </w:t>
      </w:r>
      <w:proofErr w:type="spellStart"/>
      <w:r w:rsidR="00CA1C05" w:rsidRPr="00723DA9">
        <w:rPr>
          <w:rFonts w:cs="Times New Roman"/>
        </w:rPr>
        <w:t>NoDA</w:t>
      </w:r>
      <w:proofErr w:type="spellEnd"/>
      <w:r w:rsidR="00CA1C05" w:rsidRPr="00723DA9">
        <w:rPr>
          <w:rFonts w:cs="Times New Roman"/>
        </w:rPr>
        <w:t xml:space="preserve"> analysis, (c) </w:t>
      </w:r>
      <w:proofErr w:type="spellStart"/>
      <w:r w:rsidR="00CA1C05" w:rsidRPr="00723DA9">
        <w:rPr>
          <w:rFonts w:cs="Times New Roman"/>
        </w:rPr>
        <w:t>OperH</w:t>
      </w:r>
      <w:proofErr w:type="spellEnd"/>
      <w:r w:rsidR="00CA1C05" w:rsidRPr="00723DA9">
        <w:rPr>
          <w:rFonts w:cs="Times New Roman"/>
        </w:rPr>
        <w:t xml:space="preserve"> analysis, (d) </w:t>
      </w:r>
      <w:proofErr w:type="spellStart"/>
      <w:r w:rsidR="00CA1C05" w:rsidRPr="00723DA9">
        <w:rPr>
          <w:rFonts w:cs="Times New Roman"/>
        </w:rPr>
        <w:t>CIMSS_Only</w:t>
      </w:r>
      <w:proofErr w:type="spellEnd"/>
      <w:r w:rsidR="00CA1C05" w:rsidRPr="00723DA9">
        <w:rPr>
          <w:rFonts w:cs="Times New Roman"/>
        </w:rPr>
        <w:t xml:space="preserve"> analysis, (e) </w:t>
      </w:r>
      <w:proofErr w:type="spellStart"/>
      <w:r w:rsidR="00CA1C05" w:rsidRPr="00723DA9">
        <w:rPr>
          <w:rFonts w:cs="Times New Roman"/>
        </w:rPr>
        <w:t>SFMR_Only</w:t>
      </w:r>
      <w:proofErr w:type="spellEnd"/>
      <w:r w:rsidR="00CA1C05" w:rsidRPr="00723DA9">
        <w:rPr>
          <w:rFonts w:cs="Times New Roman"/>
        </w:rPr>
        <w:t xml:space="preserve"> analysis, (f) </w:t>
      </w:r>
      <w:proofErr w:type="spellStart"/>
      <w:r w:rsidR="00CA1C05" w:rsidRPr="00723DA9">
        <w:rPr>
          <w:rFonts w:cs="Times New Roman"/>
        </w:rPr>
        <w:t>FL_Only</w:t>
      </w:r>
      <w:proofErr w:type="spellEnd"/>
      <w:r w:rsidR="00CA1C05" w:rsidRPr="00723DA9">
        <w:rPr>
          <w:rFonts w:cs="Times New Roman"/>
        </w:rPr>
        <w:t xml:space="preserve"> analysis, (g) </w:t>
      </w:r>
      <w:proofErr w:type="spellStart"/>
      <w:r w:rsidR="00CA1C05" w:rsidRPr="00723DA9">
        <w:rPr>
          <w:rFonts w:cs="Times New Roman"/>
        </w:rPr>
        <w:t>TDR_Only</w:t>
      </w:r>
      <w:proofErr w:type="spellEnd"/>
      <w:r w:rsidR="00CA1C05" w:rsidRPr="00723DA9">
        <w:rPr>
          <w:rFonts w:cs="Times New Roman"/>
        </w:rPr>
        <w:t xml:space="preserve"> analysis, (h) </w:t>
      </w:r>
      <w:proofErr w:type="spellStart"/>
      <w:r w:rsidR="00CA1C05" w:rsidRPr="00723DA9">
        <w:rPr>
          <w:rFonts w:cs="Times New Roman"/>
        </w:rPr>
        <w:t>HDSS_Only</w:t>
      </w:r>
      <w:proofErr w:type="spellEnd"/>
      <w:r w:rsidR="00CA1C05" w:rsidRPr="00723DA9">
        <w:rPr>
          <w:rFonts w:cs="Times New Roman"/>
        </w:rPr>
        <w:t xml:space="preserve"> analysis and (</w:t>
      </w:r>
      <w:proofErr w:type="spellStart"/>
      <w:r w:rsidR="00CA1C05" w:rsidRPr="00723DA9">
        <w:rPr>
          <w:rFonts w:cs="Times New Roman"/>
        </w:rPr>
        <w:t>i</w:t>
      </w:r>
      <w:proofErr w:type="spellEnd"/>
      <w:r w:rsidR="00CA1C05" w:rsidRPr="00723DA9">
        <w:rPr>
          <w:rFonts w:cs="Times New Roman"/>
        </w:rPr>
        <w:t>) All analysis valid at 1800 UTC 22 Oct 2015 during Patricia.  The black dots denote the best track position valid at 1800 UTC 22 Oct 2015.</w:t>
      </w:r>
      <w:bookmarkEnd w:id="221"/>
      <w:r w:rsidR="00CA1C05" w:rsidRPr="00723DA9">
        <w:rPr>
          <w:rFonts w:cs="Times New Roman"/>
        </w:rPr>
        <w:t xml:space="preserve">  </w:t>
      </w:r>
    </w:p>
    <w:p w14:paraId="4BB57B61" w14:textId="599A8B06" w:rsidR="00CA1C05" w:rsidRPr="00723DA9" w:rsidRDefault="00CA1C05" w:rsidP="00E86356">
      <w:pPr>
        <w:pStyle w:val="Captions"/>
        <w:spacing w:after="0"/>
        <w:rPr>
          <w:rFonts w:eastAsia="Times New Roman" w:cs="Times New Roman"/>
          <w:color w:val="000000" w:themeColor="text1"/>
        </w:rPr>
      </w:pPr>
    </w:p>
    <w:p w14:paraId="5C7B8B02" w14:textId="755AD940" w:rsidR="00CA1C05" w:rsidRPr="00723DA9" w:rsidRDefault="00CA1C05" w:rsidP="0009534B">
      <w:pPr>
        <w:pStyle w:val="Captions"/>
        <w:spacing w:after="0" w:line="360" w:lineRule="auto"/>
        <w:jc w:val="center"/>
        <w:rPr>
          <w:rFonts w:eastAsia="Times New Roman" w:cs="Times New Roman"/>
          <w:color w:val="000000" w:themeColor="text1"/>
        </w:rPr>
      </w:pPr>
      <w:bookmarkStart w:id="222" w:name="_Hlk783495"/>
      <w:r w:rsidRPr="00723DA9">
        <w:rPr>
          <w:rFonts w:cs="Times New Roman"/>
          <w:noProof/>
        </w:rPr>
        <w:lastRenderedPageBreak/>
        <w:drawing>
          <wp:inline distT="0" distB="0" distL="0" distR="0" wp14:anchorId="0BDBE245" wp14:editId="766FA109">
            <wp:extent cx="5486400" cy="59084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5908430"/>
                    </a:xfrm>
                    <a:prstGeom prst="rect">
                      <a:avLst/>
                    </a:prstGeom>
                    <a:noFill/>
                    <a:ln>
                      <a:noFill/>
                    </a:ln>
                  </pic:spPr>
                </pic:pic>
              </a:graphicData>
            </a:graphic>
          </wp:inline>
        </w:drawing>
      </w:r>
    </w:p>
    <w:p w14:paraId="7A9E4D98" w14:textId="31E24CB6" w:rsidR="00CA1C05" w:rsidRPr="00723DA9" w:rsidRDefault="00410356" w:rsidP="00E86356">
      <w:pPr>
        <w:pStyle w:val="Captions"/>
        <w:spacing w:after="0"/>
        <w:rPr>
          <w:rFonts w:cs="Times New Roman"/>
        </w:rPr>
      </w:pPr>
      <w:bookmarkStart w:id="223" w:name="_Toc21624054"/>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3</w:t>
      </w:r>
      <w:r w:rsidR="00771F99" w:rsidRPr="00723DA9">
        <w:rPr>
          <w:rFonts w:cs="Times New Roman"/>
          <w:noProof/>
        </w:rPr>
        <w:fldChar w:fldCharType="end"/>
      </w:r>
      <w:r w:rsidR="00CA1C05" w:rsidRPr="00723DA9">
        <w:rPr>
          <w:rFonts w:cs="Times New Roman"/>
        </w:rPr>
        <w:t xml:space="preserve"> Same as Fig. 5.2 except for the 3-km horizontal wind (shading and vectors, m s</w:t>
      </w:r>
      <w:r w:rsidR="00CA1C05" w:rsidRPr="00723DA9">
        <w:rPr>
          <w:rFonts w:cs="Times New Roman"/>
          <w:vertAlign w:val="superscript"/>
        </w:rPr>
        <w:t>-1</w:t>
      </w:r>
      <w:r w:rsidR="00CA1C05" w:rsidRPr="00723DA9">
        <w:rPr>
          <w:rFonts w:cs="Times New Roman"/>
        </w:rPr>
        <w:t>) in verification with (a) the HRD radar composite.  The blue lines in (a) denote the flight track of WB-57 and the blue lines in (b)~(</w:t>
      </w:r>
      <w:proofErr w:type="spellStart"/>
      <w:r w:rsidR="00CA1C05" w:rsidRPr="00723DA9">
        <w:rPr>
          <w:rFonts w:cs="Times New Roman"/>
        </w:rPr>
        <w:t>i</w:t>
      </w:r>
      <w:proofErr w:type="spellEnd"/>
      <w:r w:rsidR="00CA1C05" w:rsidRPr="00723DA9">
        <w:rPr>
          <w:rFonts w:cs="Times New Roman"/>
        </w:rPr>
        <w:t>) denote corresponding southeast to northwest cross-section to be plotted in Fig. 5.4 and Fig. 5.6.</w:t>
      </w:r>
      <w:bookmarkEnd w:id="223"/>
    </w:p>
    <w:p w14:paraId="0E6BC3CA" w14:textId="77777777" w:rsidR="00E86356" w:rsidRPr="00723DA9" w:rsidRDefault="00E86356" w:rsidP="00E86356">
      <w:pPr>
        <w:pStyle w:val="Captions"/>
        <w:spacing w:after="0"/>
        <w:rPr>
          <w:rFonts w:cs="Times New Roman"/>
        </w:rPr>
      </w:pPr>
    </w:p>
    <w:p w14:paraId="210B32B3" w14:textId="77777777" w:rsidR="00410356" w:rsidRPr="00723DA9" w:rsidRDefault="00BF4BEE" w:rsidP="0009534B">
      <w:pPr>
        <w:pStyle w:val="Captions"/>
        <w:spacing w:after="0" w:line="360" w:lineRule="auto"/>
        <w:jc w:val="center"/>
        <w:rPr>
          <w:rFonts w:cs="Times New Roman"/>
        </w:rPr>
      </w:pPr>
      <w:r w:rsidRPr="00723DA9">
        <w:rPr>
          <w:rFonts w:cs="Times New Roman"/>
          <w:noProof/>
        </w:rPr>
        <w:lastRenderedPageBreak/>
        <w:drawing>
          <wp:inline distT="0" distB="0" distL="0" distR="0" wp14:anchorId="21DF88FF" wp14:editId="08A5BC37">
            <wp:extent cx="5486400" cy="5618497"/>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5618497"/>
                    </a:xfrm>
                    <a:prstGeom prst="rect">
                      <a:avLst/>
                    </a:prstGeom>
                    <a:noFill/>
                    <a:ln>
                      <a:noFill/>
                    </a:ln>
                  </pic:spPr>
                </pic:pic>
              </a:graphicData>
            </a:graphic>
          </wp:inline>
        </w:drawing>
      </w:r>
    </w:p>
    <w:p w14:paraId="5DC868CA" w14:textId="07A16AEE" w:rsidR="00BF4BEE" w:rsidRPr="00723DA9" w:rsidRDefault="00410356" w:rsidP="00E86356">
      <w:pPr>
        <w:pStyle w:val="Captions"/>
        <w:spacing w:after="0"/>
        <w:rPr>
          <w:rFonts w:cs="Times New Roman"/>
        </w:rPr>
      </w:pPr>
      <w:bookmarkStart w:id="224" w:name="_Toc21624055"/>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4</w:t>
      </w:r>
      <w:r w:rsidR="00771F99" w:rsidRPr="00723DA9">
        <w:rPr>
          <w:rFonts w:cs="Times New Roman"/>
          <w:noProof/>
        </w:rPr>
        <w:fldChar w:fldCharType="end"/>
      </w:r>
      <w:r w:rsidR="00BF4BEE" w:rsidRPr="00723DA9">
        <w:rPr>
          <w:rFonts w:cs="Times New Roman"/>
        </w:rPr>
        <w:t xml:space="preserve"> Same as Fig. 5.2 except for the Radial wind (shading, m s-1) analysis of the southeast to northwest vertical section in verification with (a) the HDSS dropsonde observations centered around 1820 UTC 22 October 2015. Positive (warm color) indicates outflow and negative (cold color) indicates inflow.</w:t>
      </w:r>
      <w:bookmarkEnd w:id="224"/>
    </w:p>
    <w:p w14:paraId="4AA7099B" w14:textId="77777777" w:rsidR="00E86356" w:rsidRPr="00723DA9" w:rsidRDefault="00E86356" w:rsidP="00E86356">
      <w:pPr>
        <w:pStyle w:val="Captions"/>
        <w:spacing w:after="0"/>
        <w:rPr>
          <w:rFonts w:cs="Times New Roman"/>
        </w:rPr>
      </w:pPr>
    </w:p>
    <w:p w14:paraId="6C68EB91" w14:textId="77777777" w:rsidR="00BF4BEE" w:rsidRPr="00723DA9" w:rsidRDefault="00BF4BEE" w:rsidP="00771F99">
      <w:pPr>
        <w:pStyle w:val="Captions"/>
        <w:spacing w:after="0" w:line="480" w:lineRule="auto"/>
        <w:rPr>
          <w:rFonts w:cs="Times New Roman"/>
          <w:sz w:val="24"/>
          <w:szCs w:val="24"/>
        </w:rPr>
      </w:pPr>
    </w:p>
    <w:p w14:paraId="1021FFE2" w14:textId="77777777" w:rsidR="00BF4BEE" w:rsidRPr="00723DA9" w:rsidRDefault="00BF4BEE" w:rsidP="00771F99">
      <w:pPr>
        <w:pStyle w:val="Captions"/>
        <w:spacing w:after="0" w:line="480" w:lineRule="auto"/>
        <w:rPr>
          <w:rFonts w:cs="Times New Roman"/>
          <w:sz w:val="22"/>
          <w:szCs w:val="22"/>
        </w:rPr>
      </w:pPr>
      <w:r w:rsidRPr="00723DA9">
        <w:rPr>
          <w:rFonts w:cs="Times New Roman"/>
          <w:sz w:val="24"/>
          <w:szCs w:val="24"/>
        </w:rPr>
        <w:t xml:space="preserve"> </w:t>
      </w:r>
    </w:p>
    <w:p w14:paraId="03622B4A" w14:textId="57279B6A" w:rsidR="00BF4BEE" w:rsidRPr="00723DA9" w:rsidRDefault="00BF4BEE" w:rsidP="0009534B">
      <w:pPr>
        <w:pStyle w:val="Captions"/>
        <w:spacing w:after="0" w:line="360" w:lineRule="auto"/>
        <w:jc w:val="center"/>
        <w:rPr>
          <w:rFonts w:cs="Times New Roman"/>
          <w:sz w:val="24"/>
          <w:szCs w:val="24"/>
        </w:rPr>
      </w:pPr>
      <w:r w:rsidRPr="00723DA9">
        <w:rPr>
          <w:rFonts w:cs="Times New Roman"/>
          <w:noProof/>
        </w:rPr>
        <w:lastRenderedPageBreak/>
        <w:drawing>
          <wp:inline distT="0" distB="0" distL="0" distR="0" wp14:anchorId="17975CFB" wp14:editId="777522C9">
            <wp:extent cx="5486400" cy="5345270"/>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5345270"/>
                    </a:xfrm>
                    <a:prstGeom prst="rect">
                      <a:avLst/>
                    </a:prstGeom>
                    <a:noFill/>
                    <a:ln>
                      <a:noFill/>
                    </a:ln>
                  </pic:spPr>
                </pic:pic>
              </a:graphicData>
            </a:graphic>
          </wp:inline>
        </w:drawing>
      </w:r>
    </w:p>
    <w:p w14:paraId="68237379" w14:textId="75B05731" w:rsidR="00BF4BEE" w:rsidRPr="00723DA9" w:rsidRDefault="00410356" w:rsidP="00E86356">
      <w:pPr>
        <w:pStyle w:val="Captions"/>
        <w:spacing w:after="0"/>
        <w:rPr>
          <w:rFonts w:cs="Times New Roman"/>
        </w:rPr>
      </w:pPr>
      <w:bookmarkStart w:id="225" w:name="_Toc21624056"/>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5</w:t>
      </w:r>
      <w:r w:rsidR="00771F99" w:rsidRPr="00723DA9">
        <w:rPr>
          <w:rFonts w:cs="Times New Roman"/>
          <w:noProof/>
        </w:rPr>
        <w:fldChar w:fldCharType="end"/>
      </w:r>
      <w:r w:rsidR="00BF4BEE" w:rsidRPr="00723DA9">
        <w:rPr>
          <w:rFonts w:cs="Times New Roman"/>
        </w:rPr>
        <w:t xml:space="preserve"> Same as Fig. 5.2 except for 150 hPa radial wind (shading, m s-1) and horizontal wind (vectors, m s-1) in verification with (a) the CIMSS AMV observations. The red star in (a) and the black dots in (b)~(</w:t>
      </w:r>
      <w:proofErr w:type="spellStart"/>
      <w:r w:rsidR="00BF4BEE" w:rsidRPr="00723DA9">
        <w:rPr>
          <w:rFonts w:cs="Times New Roman"/>
        </w:rPr>
        <w:t>i</w:t>
      </w:r>
      <w:proofErr w:type="spellEnd"/>
      <w:r w:rsidR="00BF4BEE" w:rsidRPr="00723DA9">
        <w:rPr>
          <w:rFonts w:cs="Times New Roman"/>
        </w:rPr>
        <w:t>) denote the best track position and the blue dots in (b)~(</w:t>
      </w:r>
      <w:proofErr w:type="spellStart"/>
      <w:r w:rsidR="00BF4BEE" w:rsidRPr="00723DA9">
        <w:rPr>
          <w:rFonts w:cs="Times New Roman"/>
        </w:rPr>
        <w:t>i</w:t>
      </w:r>
      <w:proofErr w:type="spellEnd"/>
      <w:r w:rsidR="00BF4BEE" w:rsidRPr="00723DA9">
        <w:rPr>
          <w:rFonts w:cs="Times New Roman"/>
        </w:rPr>
        <w:t>) denote the analyzed storm center at the surface.  Note, the black and blue dots are very close to each other for each experiment due to the vortex relocation.</w:t>
      </w:r>
      <w:bookmarkEnd w:id="225"/>
    </w:p>
    <w:p w14:paraId="4B36ACD4" w14:textId="77777777" w:rsidR="00E86356" w:rsidRPr="00723DA9" w:rsidRDefault="00E86356" w:rsidP="00E86356">
      <w:pPr>
        <w:pStyle w:val="Captions"/>
        <w:spacing w:after="0"/>
        <w:rPr>
          <w:rFonts w:cs="Times New Roman"/>
        </w:rPr>
      </w:pPr>
    </w:p>
    <w:p w14:paraId="281CC8B2" w14:textId="77777777" w:rsidR="00E86356" w:rsidRPr="00723DA9" w:rsidRDefault="00E86356" w:rsidP="00771F99">
      <w:pPr>
        <w:pStyle w:val="Captions"/>
        <w:spacing w:after="0" w:line="480" w:lineRule="auto"/>
        <w:rPr>
          <w:rFonts w:cs="Times New Roman"/>
        </w:rPr>
      </w:pPr>
    </w:p>
    <w:p w14:paraId="3311CEA3" w14:textId="5B24A6B8" w:rsidR="00BF4BEE" w:rsidRPr="00723DA9" w:rsidRDefault="00BF4BEE" w:rsidP="0009534B">
      <w:pPr>
        <w:pStyle w:val="Captions"/>
        <w:spacing w:after="0" w:line="360" w:lineRule="auto"/>
        <w:jc w:val="center"/>
        <w:rPr>
          <w:rFonts w:cs="Times New Roman"/>
        </w:rPr>
      </w:pPr>
      <w:r w:rsidRPr="00723DA9">
        <w:rPr>
          <w:rFonts w:cs="Times New Roman"/>
        </w:rPr>
        <w:br w:type="page"/>
      </w:r>
      <w:r w:rsidRPr="00723DA9">
        <w:rPr>
          <w:rFonts w:cs="Times New Roman"/>
          <w:noProof/>
        </w:rPr>
        <w:lastRenderedPageBreak/>
        <w:drawing>
          <wp:inline distT="0" distB="0" distL="0" distR="0" wp14:anchorId="24D6C175" wp14:editId="63C46C68">
            <wp:extent cx="5486400" cy="560088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5600884"/>
                    </a:xfrm>
                    <a:prstGeom prst="rect">
                      <a:avLst/>
                    </a:prstGeom>
                    <a:noFill/>
                    <a:ln>
                      <a:noFill/>
                    </a:ln>
                  </pic:spPr>
                </pic:pic>
              </a:graphicData>
            </a:graphic>
          </wp:inline>
        </w:drawing>
      </w:r>
    </w:p>
    <w:p w14:paraId="4D310959" w14:textId="7F38C9AB" w:rsidR="00BF4BEE" w:rsidRPr="00723DA9" w:rsidRDefault="00410356" w:rsidP="00E86356">
      <w:pPr>
        <w:pStyle w:val="Captions"/>
        <w:spacing w:after="0"/>
        <w:rPr>
          <w:rFonts w:cs="Times New Roman"/>
        </w:rPr>
      </w:pPr>
      <w:bookmarkStart w:id="226" w:name="_Toc21624057"/>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6</w:t>
      </w:r>
      <w:r w:rsidR="00771F99" w:rsidRPr="00723DA9">
        <w:rPr>
          <w:rFonts w:cs="Times New Roman"/>
          <w:noProof/>
        </w:rPr>
        <w:fldChar w:fldCharType="end"/>
      </w:r>
      <w:r w:rsidR="00BF4BEE" w:rsidRPr="00723DA9">
        <w:rPr>
          <w:rFonts w:cs="Times New Roman"/>
        </w:rPr>
        <w:t xml:space="preserve"> Same as Fig. 5.4 except for the warm-core anomaly analysis of the southeast to northwest vertical section in verification with (a) the HDSS dropsonde observations centered around 1820 UTC 22 October 2015.  The Jordan annual mean profile is used as the environmental sounding for all experiments for consistency.</w:t>
      </w:r>
      <w:bookmarkEnd w:id="226"/>
      <w:r w:rsidR="00BF4BEE" w:rsidRPr="00723DA9">
        <w:rPr>
          <w:rFonts w:cs="Times New Roman"/>
        </w:rPr>
        <w:t xml:space="preserve"> </w:t>
      </w:r>
    </w:p>
    <w:p w14:paraId="0D97E8D8" w14:textId="77777777" w:rsidR="00410356" w:rsidRPr="00723DA9" w:rsidRDefault="00410356" w:rsidP="00E86356">
      <w:pPr>
        <w:pStyle w:val="Captions"/>
        <w:spacing w:after="0"/>
        <w:rPr>
          <w:rFonts w:cs="Times New Roman"/>
        </w:rPr>
      </w:pPr>
    </w:p>
    <w:p w14:paraId="4C427748" w14:textId="709F66A5"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above observations will then be used to verify the analyses at 1800 UTC 22 October 2015 produced by the various DA experiments.  Since the next aircraft observations were only available at 1800 UCT 23 October, the subsequent 24-hour forecast is verified using the GOES-13 brightness temperature (BT), which is available every 15 minutes (CLASS, 2015).  Forecast verification is based on band 4 (10.7 µm central wavelength), because this longwave band </w:t>
      </w:r>
      <w:r w:rsidRPr="00723DA9">
        <w:rPr>
          <w:rFonts w:ascii="Times New Roman" w:eastAsia="宋体" w:hAnsi="Times New Roman" w:cs="Times New Roman"/>
          <w:sz w:val="24"/>
          <w:szCs w:val="24"/>
        </w:rPr>
        <w:lastRenderedPageBreak/>
        <w:t>retrieved the cloud-top temperature and precipitation evolution of Patricia.  The BT series show that Patricia featured with a well-maintained, small and symmetric eye during the 24-hour period.  According to the hurricane report from NHC (</w:t>
      </w:r>
      <w:proofErr w:type="spellStart"/>
      <w:r w:rsidRPr="00723DA9">
        <w:rPr>
          <w:rFonts w:ascii="Times New Roman" w:eastAsia="宋体" w:hAnsi="Times New Roman" w:cs="Times New Roman"/>
          <w:sz w:val="24"/>
          <w:szCs w:val="24"/>
        </w:rPr>
        <w:t>Kimberlain</w:t>
      </w:r>
      <w:proofErr w:type="spellEnd"/>
      <w:r w:rsidRPr="00723DA9">
        <w:rPr>
          <w:rFonts w:ascii="Times New Roman" w:eastAsia="宋体" w:hAnsi="Times New Roman" w:cs="Times New Roman"/>
          <w:sz w:val="24"/>
          <w:szCs w:val="24"/>
        </w:rPr>
        <w:t xml:space="preserve"> et al. 2016), the eye size of Patricia ranged from 13-km to 18-km during this time period.  Not only the size of the eye remained small, the size of the central dense overcast (CDO) region in Patricia also remained small (diameter ranging from about 250-km to 300-km, e.g. Figure </w:t>
      </w:r>
      <w:r w:rsidR="00CA1C05"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7a-</w:t>
      </w:r>
      <w:r w:rsidR="00B14A3F"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8a).  </w:t>
      </w:r>
    </w:p>
    <w:bookmarkEnd w:id="222"/>
    <w:p w14:paraId="6F838304" w14:textId="77777777" w:rsidR="004F1C22" w:rsidRPr="00723DA9" w:rsidRDefault="004F1C22" w:rsidP="004F1C22">
      <w:pPr>
        <w:pStyle w:val="Captions"/>
        <w:spacing w:after="0"/>
        <w:rPr>
          <w:rFonts w:cs="Times New Roman"/>
        </w:rPr>
      </w:pPr>
    </w:p>
    <w:p w14:paraId="2ABE297E" w14:textId="48ACDF2A" w:rsidR="00BF4BEE" w:rsidRPr="00723DA9" w:rsidRDefault="00BF4BEE" w:rsidP="0009534B">
      <w:pPr>
        <w:pStyle w:val="Captions"/>
        <w:spacing w:after="0" w:line="360" w:lineRule="auto"/>
        <w:jc w:val="center"/>
        <w:rPr>
          <w:rFonts w:cs="Times New Roman"/>
        </w:rPr>
      </w:pPr>
      <w:r w:rsidRPr="00723DA9">
        <w:rPr>
          <w:rFonts w:cs="Times New Roman"/>
          <w:noProof/>
        </w:rPr>
        <w:drawing>
          <wp:inline distT="0" distB="0" distL="0" distR="0" wp14:anchorId="57751388" wp14:editId="5FCEF7F9">
            <wp:extent cx="5171470" cy="5486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71470" cy="5486400"/>
                    </a:xfrm>
                    <a:prstGeom prst="rect">
                      <a:avLst/>
                    </a:prstGeom>
                    <a:noFill/>
                    <a:ln>
                      <a:noFill/>
                    </a:ln>
                  </pic:spPr>
                </pic:pic>
              </a:graphicData>
            </a:graphic>
          </wp:inline>
        </w:drawing>
      </w:r>
    </w:p>
    <w:p w14:paraId="5C4A9645" w14:textId="5C5888FD" w:rsidR="00BF4BEE" w:rsidRPr="00723DA9" w:rsidRDefault="00410356" w:rsidP="00E86356">
      <w:pPr>
        <w:pStyle w:val="Captions"/>
        <w:spacing w:after="0"/>
        <w:rPr>
          <w:rFonts w:cs="Times New Roman"/>
        </w:rPr>
      </w:pPr>
      <w:bookmarkStart w:id="227" w:name="_Toc21624058"/>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7</w:t>
      </w:r>
      <w:r w:rsidR="00771F99" w:rsidRPr="00723DA9">
        <w:rPr>
          <w:rFonts w:cs="Times New Roman"/>
          <w:noProof/>
        </w:rPr>
        <w:fldChar w:fldCharType="end"/>
      </w:r>
      <w:r w:rsidR="00BF4BEE" w:rsidRPr="00723DA9">
        <w:rPr>
          <w:rFonts w:cs="Times New Roman"/>
        </w:rPr>
        <w:t xml:space="preserve"> Same as Fig. 5.2 except for the 4-hour forecasted brightness temperature (K) in verification with (a) GOES-13 band 4 valid at </w:t>
      </w:r>
      <w:r w:rsidR="00F20EA1" w:rsidRPr="00723DA9">
        <w:rPr>
          <w:rFonts w:cs="Times New Roman"/>
        </w:rPr>
        <w:t>22</w:t>
      </w:r>
      <w:r w:rsidR="00BF4BEE" w:rsidRPr="00723DA9">
        <w:rPr>
          <w:rFonts w:cs="Times New Roman"/>
        </w:rPr>
        <w:t xml:space="preserve">00 UTC </w:t>
      </w:r>
      <w:r w:rsidR="00F20EA1" w:rsidRPr="00723DA9">
        <w:rPr>
          <w:rFonts w:cs="Times New Roman"/>
        </w:rPr>
        <w:t>22</w:t>
      </w:r>
      <w:r w:rsidR="00BF4BEE" w:rsidRPr="00723DA9">
        <w:rPr>
          <w:rFonts w:cs="Times New Roman"/>
        </w:rPr>
        <w:t xml:space="preserve"> Oct 2015 during Patricia.  The red dots denote the satellite-derived </w:t>
      </w:r>
      <w:r w:rsidR="00BF4BEE" w:rsidRPr="00723DA9">
        <w:rPr>
          <w:rFonts w:cs="Times New Roman"/>
        </w:rPr>
        <w:lastRenderedPageBreak/>
        <w:t>storm position at this time.</w:t>
      </w:r>
      <w:bookmarkEnd w:id="227"/>
      <w:r w:rsidR="00BF4BEE" w:rsidRPr="00723DA9">
        <w:rPr>
          <w:rFonts w:cs="Times New Roman"/>
        </w:rPr>
        <w:t xml:space="preserve"> </w:t>
      </w:r>
    </w:p>
    <w:p w14:paraId="14CFC973" w14:textId="77777777" w:rsidR="00E86356" w:rsidRPr="00723DA9" w:rsidRDefault="00E86356" w:rsidP="00E86356">
      <w:pPr>
        <w:pStyle w:val="Captions"/>
        <w:spacing w:after="0"/>
        <w:rPr>
          <w:rFonts w:cs="Times New Roman"/>
        </w:rPr>
      </w:pPr>
    </w:p>
    <w:p w14:paraId="7F1C7EC2" w14:textId="77777777" w:rsidR="00666BD3" w:rsidRPr="00723DA9" w:rsidRDefault="00666BD3" w:rsidP="00666BD3">
      <w:pPr>
        <w:pStyle w:val="Captions"/>
        <w:spacing w:after="0"/>
        <w:rPr>
          <w:rFonts w:cs="Times New Roman"/>
        </w:rPr>
      </w:pPr>
    </w:p>
    <w:p w14:paraId="3473CA8E" w14:textId="5C1E9B28" w:rsidR="00BF4BEE" w:rsidRPr="00723DA9" w:rsidRDefault="00BF4BEE" w:rsidP="0009534B">
      <w:pPr>
        <w:pStyle w:val="Captions"/>
        <w:spacing w:after="0" w:line="360" w:lineRule="auto"/>
        <w:jc w:val="center"/>
        <w:rPr>
          <w:rFonts w:cs="Times New Roman"/>
        </w:rPr>
      </w:pPr>
      <w:r w:rsidRPr="00723DA9">
        <w:rPr>
          <w:rFonts w:cs="Times New Roman"/>
          <w:noProof/>
        </w:rPr>
        <w:drawing>
          <wp:inline distT="0" distB="0" distL="0" distR="0" wp14:anchorId="417B1AC1" wp14:editId="562DCA13">
            <wp:extent cx="5005137" cy="548640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05137" cy="5486400"/>
                    </a:xfrm>
                    <a:prstGeom prst="rect">
                      <a:avLst/>
                    </a:prstGeom>
                    <a:noFill/>
                    <a:ln>
                      <a:noFill/>
                    </a:ln>
                  </pic:spPr>
                </pic:pic>
              </a:graphicData>
            </a:graphic>
          </wp:inline>
        </w:drawing>
      </w:r>
    </w:p>
    <w:p w14:paraId="592E7C3B" w14:textId="4113B7E4" w:rsidR="00BF4BEE" w:rsidRPr="00723DA9" w:rsidRDefault="00410356" w:rsidP="00E86356">
      <w:pPr>
        <w:pStyle w:val="Captions"/>
        <w:spacing w:after="0"/>
        <w:rPr>
          <w:rFonts w:cs="Times New Roman"/>
        </w:rPr>
      </w:pPr>
      <w:bookmarkStart w:id="228" w:name="_Toc21624059"/>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8</w:t>
      </w:r>
      <w:r w:rsidR="00771F99" w:rsidRPr="00723DA9">
        <w:rPr>
          <w:rFonts w:cs="Times New Roman"/>
          <w:noProof/>
        </w:rPr>
        <w:fldChar w:fldCharType="end"/>
      </w:r>
      <w:r w:rsidRPr="00723DA9">
        <w:rPr>
          <w:rFonts w:cs="Times New Roman"/>
        </w:rPr>
        <w:t xml:space="preserve"> </w:t>
      </w:r>
      <w:r w:rsidR="00BF4BEE" w:rsidRPr="00723DA9">
        <w:rPr>
          <w:rFonts w:cs="Times New Roman"/>
        </w:rPr>
        <w:t xml:space="preserve">Same as Fig. 5.6 except for the 8-hour forecasted </w:t>
      </w:r>
      <w:bookmarkStart w:id="229" w:name="_Hlk523755082"/>
      <w:r w:rsidR="00BF4BEE" w:rsidRPr="00723DA9">
        <w:rPr>
          <w:rFonts w:cs="Times New Roman"/>
        </w:rPr>
        <w:t xml:space="preserve">brightness temperature (K) </w:t>
      </w:r>
      <w:bookmarkEnd w:id="229"/>
      <w:r w:rsidR="00BF4BEE" w:rsidRPr="00723DA9">
        <w:rPr>
          <w:rFonts w:cs="Times New Roman"/>
        </w:rPr>
        <w:t>valid at 0200 UTC 23 Oct 2015 during Patricia.</w:t>
      </w:r>
      <w:bookmarkEnd w:id="228"/>
      <w:r w:rsidR="00BF4BEE" w:rsidRPr="00723DA9">
        <w:rPr>
          <w:rFonts w:cs="Times New Roman"/>
        </w:rPr>
        <w:t xml:space="preserve"> </w:t>
      </w:r>
    </w:p>
    <w:p w14:paraId="076FABA8" w14:textId="77777777" w:rsidR="00410356" w:rsidRPr="00723DA9" w:rsidRDefault="00410356" w:rsidP="00E86356">
      <w:pPr>
        <w:pStyle w:val="Captions"/>
        <w:spacing w:after="0"/>
        <w:rPr>
          <w:rFonts w:cs="Times New Roman"/>
        </w:rPr>
      </w:pPr>
    </w:p>
    <w:p w14:paraId="2CE6E178" w14:textId="56B44C58"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At 1800 UTC 23 October 2015, Patricia already entered a rapid weakening (RW) stage.  But the storm was still well-organized, and the Vmax was as strong as 92.6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(180 </w:t>
      </w:r>
      <w:proofErr w:type="spellStart"/>
      <w:r w:rsidRPr="00723DA9">
        <w:rPr>
          <w:rFonts w:ascii="Times New Roman" w:eastAsia="宋体" w:hAnsi="Times New Roman" w:cs="Times New Roman"/>
          <w:sz w:val="24"/>
          <w:szCs w:val="24"/>
        </w:rPr>
        <w:t>kt</w:t>
      </w:r>
      <w:proofErr w:type="spellEnd"/>
      <w:r w:rsidRPr="00723DA9">
        <w:rPr>
          <w:rFonts w:ascii="Times New Roman" w:eastAsia="宋体" w:hAnsi="Times New Roman" w:cs="Times New Roman"/>
          <w:sz w:val="24"/>
          <w:szCs w:val="24"/>
        </w:rPr>
        <w:t xml:space="preserve">).  The strong Vmax and the small size (RMW about 9-km) of Patricia can be consistently found in the </w:t>
      </w:r>
      <w:r w:rsidRPr="00723DA9">
        <w:rPr>
          <w:rFonts w:ascii="Times New Roman" w:hAnsi="Times New Roman" w:cs="Times New Roman"/>
          <w:noProof/>
          <w:sz w:val="24"/>
          <w:szCs w:val="24"/>
        </w:rPr>
        <w:t>Hurricane Imaging Radiometer</w:t>
      </w:r>
      <w:r w:rsidRPr="00723DA9">
        <w:rPr>
          <w:rFonts w:ascii="Times New Roman" w:eastAsia="宋体" w:hAnsi="Times New Roman" w:cs="Times New Roman"/>
          <w:sz w:val="24"/>
          <w:szCs w:val="24"/>
        </w:rPr>
        <w:t xml:space="preserve"> (HIRAD) observations at 10-m altitude (Cecil et l. 2016) and the corresponding HRD radar composite at 3-km height (Figure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 and Figure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    </w:t>
      </w:r>
    </w:p>
    <w:p w14:paraId="608418E8" w14:textId="77777777" w:rsidR="00666BD3" w:rsidRPr="00723DA9" w:rsidRDefault="00666BD3" w:rsidP="00666BD3">
      <w:pPr>
        <w:pStyle w:val="Captions"/>
        <w:spacing w:after="0"/>
        <w:rPr>
          <w:rFonts w:cs="Times New Roman"/>
        </w:rPr>
      </w:pPr>
    </w:p>
    <w:p w14:paraId="080C9AD5" w14:textId="77777777" w:rsidR="00410356" w:rsidRPr="00723DA9" w:rsidRDefault="00BF4BEE" w:rsidP="00E86356">
      <w:pPr>
        <w:pStyle w:val="Captions"/>
        <w:spacing w:after="0" w:line="360" w:lineRule="auto"/>
        <w:jc w:val="center"/>
        <w:rPr>
          <w:rFonts w:cs="Times New Roman"/>
        </w:rPr>
      </w:pPr>
      <w:r w:rsidRPr="00723DA9">
        <w:rPr>
          <w:rFonts w:cs="Times New Roman"/>
          <w:noProof/>
        </w:rPr>
        <w:drawing>
          <wp:inline distT="0" distB="0" distL="0" distR="0" wp14:anchorId="5EF63515" wp14:editId="69CC51F5">
            <wp:extent cx="5283200" cy="5486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83200" cy="5486400"/>
                    </a:xfrm>
                    <a:prstGeom prst="rect">
                      <a:avLst/>
                    </a:prstGeom>
                    <a:noFill/>
                    <a:ln>
                      <a:noFill/>
                    </a:ln>
                  </pic:spPr>
                </pic:pic>
              </a:graphicData>
            </a:graphic>
          </wp:inline>
        </w:drawing>
      </w:r>
    </w:p>
    <w:p w14:paraId="3160F470" w14:textId="334A631A" w:rsidR="00BF4BEE" w:rsidRPr="00723DA9" w:rsidRDefault="00410356" w:rsidP="00E86356">
      <w:pPr>
        <w:pStyle w:val="Captions"/>
        <w:spacing w:after="0"/>
        <w:rPr>
          <w:rFonts w:cs="Times New Roman"/>
        </w:rPr>
      </w:pPr>
      <w:bookmarkStart w:id="230" w:name="_Toc21624060"/>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9</w:t>
      </w:r>
      <w:r w:rsidR="00771F99" w:rsidRPr="00723DA9">
        <w:rPr>
          <w:rFonts w:cs="Times New Roman"/>
          <w:noProof/>
        </w:rPr>
        <w:fldChar w:fldCharType="end"/>
      </w:r>
      <w:r w:rsidRPr="00723DA9">
        <w:rPr>
          <w:rFonts w:cs="Times New Roman"/>
        </w:rPr>
        <w:t xml:space="preserve"> </w:t>
      </w:r>
      <w:r w:rsidR="00BF4BEE" w:rsidRPr="00723DA9">
        <w:rPr>
          <w:rFonts w:cs="Times New Roman"/>
        </w:rPr>
        <w:t xml:space="preserve"> Same as Fig. 5.2 except for the 24-hour forecasted surface wind (shading and vectors, m s</w:t>
      </w:r>
      <w:r w:rsidR="00BF4BEE" w:rsidRPr="00723DA9">
        <w:rPr>
          <w:rFonts w:cs="Times New Roman"/>
          <w:vertAlign w:val="superscript"/>
        </w:rPr>
        <w:t>-1</w:t>
      </w:r>
      <w:r w:rsidR="00BF4BEE" w:rsidRPr="00723DA9">
        <w:rPr>
          <w:rFonts w:cs="Times New Roman"/>
        </w:rPr>
        <w:t>) valid at 1800 UTC 23 Oct 2015 in verification with (a) HIRAD (Hurricane Imaging Radiometer) observations centered at 2000 UTC 23 Oct 2015 during Patricia.  The domain size is the same in (a)-(</w:t>
      </w:r>
      <w:proofErr w:type="spellStart"/>
      <w:r w:rsidR="00BF4BEE" w:rsidRPr="00723DA9">
        <w:rPr>
          <w:rFonts w:cs="Times New Roman"/>
        </w:rPr>
        <w:t>i</w:t>
      </w:r>
      <w:proofErr w:type="spellEnd"/>
      <w:r w:rsidR="00BF4BEE" w:rsidRPr="00723DA9">
        <w:rPr>
          <w:rFonts w:cs="Times New Roman"/>
        </w:rPr>
        <w:t>).  The black dots denote the best track position at 1800 UTC 23 Oct 2015.</w:t>
      </w:r>
      <w:bookmarkEnd w:id="230"/>
      <w:r w:rsidR="00BF4BEE" w:rsidRPr="00723DA9">
        <w:rPr>
          <w:rFonts w:cs="Times New Roman"/>
        </w:rPr>
        <w:t xml:space="preserve"> </w:t>
      </w:r>
      <w:r w:rsidR="00BF4BEE" w:rsidRPr="00723DA9">
        <w:rPr>
          <w:rFonts w:cs="Times New Roman"/>
        </w:rPr>
        <w:br w:type="page"/>
      </w:r>
    </w:p>
    <w:p w14:paraId="65B71640" w14:textId="77777777" w:rsidR="00E86356" w:rsidRPr="00723DA9" w:rsidRDefault="00E86356" w:rsidP="00E86356">
      <w:pPr>
        <w:pStyle w:val="Captions"/>
        <w:spacing w:after="0"/>
        <w:rPr>
          <w:rFonts w:cs="Times New Roman"/>
        </w:rPr>
      </w:pPr>
    </w:p>
    <w:p w14:paraId="3DA36919" w14:textId="4103B920" w:rsidR="00410356" w:rsidRPr="00723DA9" w:rsidRDefault="00BF4BEE" w:rsidP="00E86356">
      <w:pPr>
        <w:pStyle w:val="Captions"/>
        <w:spacing w:after="0" w:line="360" w:lineRule="auto"/>
        <w:jc w:val="center"/>
        <w:rPr>
          <w:rFonts w:cs="Times New Roman"/>
          <w:noProof/>
        </w:rPr>
      </w:pPr>
      <w:r w:rsidRPr="00723DA9">
        <w:rPr>
          <w:rFonts w:cs="Times New Roman"/>
          <w:noProof/>
        </w:rPr>
        <w:drawing>
          <wp:inline distT="0" distB="0" distL="0" distR="0" wp14:anchorId="265F4EDB" wp14:editId="0A332579">
            <wp:extent cx="5316015" cy="5486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16015" cy="5486400"/>
                    </a:xfrm>
                    <a:prstGeom prst="rect">
                      <a:avLst/>
                    </a:prstGeom>
                    <a:noFill/>
                    <a:ln>
                      <a:noFill/>
                    </a:ln>
                  </pic:spPr>
                </pic:pic>
              </a:graphicData>
            </a:graphic>
          </wp:inline>
        </w:drawing>
      </w:r>
    </w:p>
    <w:p w14:paraId="5DE1B132" w14:textId="11A45B68" w:rsidR="00BF4BEE" w:rsidRPr="00723DA9" w:rsidRDefault="00410356" w:rsidP="00E86356">
      <w:pPr>
        <w:pStyle w:val="Captions"/>
        <w:spacing w:after="0"/>
        <w:rPr>
          <w:rFonts w:cs="Times New Roman"/>
        </w:rPr>
      </w:pPr>
      <w:bookmarkStart w:id="231" w:name="_Toc21624061"/>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10</w:t>
      </w:r>
      <w:r w:rsidR="00771F99" w:rsidRPr="00723DA9">
        <w:rPr>
          <w:rFonts w:cs="Times New Roman"/>
          <w:noProof/>
        </w:rPr>
        <w:fldChar w:fldCharType="end"/>
      </w:r>
      <w:r w:rsidRPr="00723DA9">
        <w:rPr>
          <w:rFonts w:cs="Times New Roman"/>
        </w:rPr>
        <w:t xml:space="preserve"> </w:t>
      </w:r>
      <w:r w:rsidR="00BF4BEE" w:rsidRPr="00723DA9">
        <w:rPr>
          <w:rFonts w:cs="Times New Roman"/>
        </w:rPr>
        <w:t xml:space="preserve"> Same as Fig. 5.2 except for the 24-hour forecasted 3-km wind (shading and vectors, m s</w:t>
      </w:r>
      <w:r w:rsidR="00BF4BEE" w:rsidRPr="00723DA9">
        <w:rPr>
          <w:rFonts w:cs="Times New Roman"/>
          <w:vertAlign w:val="superscript"/>
        </w:rPr>
        <w:t>-1</w:t>
      </w:r>
      <w:r w:rsidR="00BF4BEE" w:rsidRPr="00723DA9">
        <w:rPr>
          <w:rFonts w:cs="Times New Roman"/>
        </w:rPr>
        <w:t>) in verification with (a) HRD radar composite valid at 1733 UTC 23 Oct 2015 during Patricia.  The black dots denote the best track position valid at 1800 UTC 23 Oct 2015.</w:t>
      </w:r>
      <w:bookmarkEnd w:id="231"/>
      <w:r w:rsidR="00BF4BEE" w:rsidRPr="00723DA9">
        <w:rPr>
          <w:rFonts w:cs="Times New Roman"/>
        </w:rPr>
        <w:t xml:space="preserve">  </w:t>
      </w:r>
    </w:p>
    <w:p w14:paraId="7723B2F0" w14:textId="77777777" w:rsidR="00410356" w:rsidRPr="00723DA9" w:rsidRDefault="00410356" w:rsidP="00E86356">
      <w:pPr>
        <w:pStyle w:val="Captions"/>
        <w:spacing w:after="0"/>
        <w:rPr>
          <w:rFonts w:eastAsia="宋体" w:cs="Times New Roman"/>
        </w:rPr>
      </w:pPr>
    </w:p>
    <w:p w14:paraId="30648A0B" w14:textId="0A378145" w:rsidR="00C56823" w:rsidRPr="00723DA9" w:rsidRDefault="00C56823" w:rsidP="004F1C22">
      <w:pPr>
        <w:pStyle w:val="Heading3"/>
        <w:numPr>
          <w:ilvl w:val="2"/>
          <w:numId w:val="26"/>
        </w:numPr>
        <w:spacing w:before="160" w:after="160" w:line="480" w:lineRule="auto"/>
        <w:rPr>
          <w:rFonts w:ascii="Times New Roman" w:hAnsi="Times New Roman" w:cs="Times New Roman"/>
          <w:b/>
          <w:bCs/>
          <w:i/>
          <w:iCs/>
          <w:color w:val="auto"/>
        </w:rPr>
      </w:pPr>
      <w:bookmarkStart w:id="232" w:name="_Toc21624012"/>
      <w:r w:rsidRPr="00723DA9">
        <w:rPr>
          <w:rFonts w:ascii="Times New Roman" w:hAnsi="Times New Roman" w:cs="Times New Roman"/>
          <w:b/>
          <w:bCs/>
          <w:i/>
          <w:iCs/>
          <w:color w:val="auto"/>
        </w:rPr>
        <w:t xml:space="preserve">Analysis and forecast from </w:t>
      </w:r>
      <w:proofErr w:type="spellStart"/>
      <w:r w:rsidRPr="00723DA9">
        <w:rPr>
          <w:rFonts w:ascii="Times New Roman" w:hAnsi="Times New Roman" w:cs="Times New Roman"/>
          <w:b/>
          <w:bCs/>
          <w:i/>
          <w:iCs/>
          <w:color w:val="auto"/>
        </w:rPr>
        <w:t>NoDA</w:t>
      </w:r>
      <w:bookmarkEnd w:id="232"/>
      <w:proofErr w:type="spellEnd"/>
    </w:p>
    <w:p w14:paraId="1C108C7C" w14:textId="40CB0ADE"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This subsection shows model-predicted Patricia in the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experiments during the 24 hours between 1800 UTC 22 October and 1800 UTC 23 October 2015.  </w:t>
      </w:r>
    </w:p>
    <w:p w14:paraId="41EA2546" w14:textId="486CB88B"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At the initial time (1800 UTC 22 October), the vortex from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spuriously large in size, weak in intensity.  For example,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2b shows that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produces a</w:t>
      </w:r>
      <w:r w:rsidR="00786C0C">
        <w:rPr>
          <w:rFonts w:ascii="Times New Roman" w:eastAsia="宋体" w:hAnsi="Times New Roman" w:cs="Times New Roman" w:hint="eastAsia"/>
          <w:sz w:val="24"/>
          <w:szCs w:val="24"/>
        </w:rPr>
        <w:t>n</w:t>
      </w:r>
      <w:r w:rsidRPr="00723DA9">
        <w:rPr>
          <w:rFonts w:ascii="Times New Roman" w:eastAsia="宋体" w:hAnsi="Times New Roman" w:cs="Times New Roman"/>
          <w:sz w:val="24"/>
          <w:szCs w:val="24"/>
        </w:rPr>
        <w:t xml:space="preserve"> RMW about 39-</w:t>
      </w:r>
      <w:r w:rsidRPr="00723DA9">
        <w:rPr>
          <w:rFonts w:ascii="Times New Roman" w:eastAsia="宋体" w:hAnsi="Times New Roman" w:cs="Times New Roman"/>
          <w:sz w:val="24"/>
          <w:szCs w:val="24"/>
        </w:rPr>
        <w:lastRenderedPageBreak/>
        <w:t>km with the Vmax weaker than 45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Although the value of the wind speed maximum at 3-km is almost comparable with the observations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3b), the storm is still significantly larger and more symmetric.  This weak Vmax but comparable 3-km wind maximum structure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could be attributed to the HWRF model bias in the vertical wind profile (Tong et al. 2018).  Additionally, </w:t>
      </w:r>
      <w:bookmarkStart w:id="233" w:name="OLE_LINK6"/>
      <w:bookmarkEnd w:id="233"/>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produces incorrect radial inflow/outflow patterns.  For example, the NW low-level outflow is incorrectly represented as an inflow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4b), and the westward upper-level outflow in the W to NW side of the storm are overestimated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5a, b).  </w:t>
      </w:r>
    </w:p>
    <w:p w14:paraId="4EA4B90F" w14:textId="0A9F0C77"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Aside from those inconsistencies in the model-predicted dynamical fields,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also suffers from biases in the thermodynamic fields of the TC.  Specifically,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6b shows that the center of the UWC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about 50 hPa lower than that captured by the HDSS dropsondes.  Additionally, the MWC centered around 600 hPa is stronger than that in the observations.  Both warm-cores are about twice as wide as those in the observations.  Such an erroneously large warm-core size is consistent with the abnormally large storm size shown in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2 and Fig.</w:t>
      </w:r>
      <w:r w:rsidR="00BF4BEE" w:rsidRPr="00723DA9">
        <w:rPr>
          <w:rFonts w:ascii="Times New Roman" w:eastAsia="宋体" w:hAnsi="Times New Roman" w:cs="Times New Roman"/>
          <w:sz w:val="24"/>
          <w:szCs w:val="24"/>
        </w:rPr>
        <w:t xml:space="preserve"> 5.</w:t>
      </w:r>
      <w:r w:rsidRPr="00723DA9">
        <w:rPr>
          <w:rFonts w:ascii="Times New Roman" w:eastAsia="宋体" w:hAnsi="Times New Roman" w:cs="Times New Roman"/>
          <w:sz w:val="24"/>
          <w:szCs w:val="24"/>
        </w:rPr>
        <w:t>3.</w:t>
      </w:r>
    </w:p>
    <w:p w14:paraId="205C4AFE" w14:textId="1884EFDA"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Those spurious dynamic and thermodynamic structures in the initial conditions therefore produces false structural forecast within the next 24 hours.  For example, in the model-derived BT patterns produced by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the eye size (~60-km on average) and the size of the CDO region (~400 to 500-km) are almost tripled or doubled the corresponding sizes in the observations, respectively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7b -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8b).  Moreover, given the larger regions of CDO, the spiral rainbands found in the observations become less pronounced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 instance, at 22 UTC 22 October, there is only a few convective bands outside of the CDO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7b).  Four hours later at 02 UTC 23 October, the convective bands started to grow around the CDO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8b).  But the strong convective bands, which developed from the NE quadrant in the observations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8a), are still significantly weaker and smaller in the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forecast.  After </w:t>
      </w:r>
      <w:r w:rsidRPr="00723DA9">
        <w:rPr>
          <w:rFonts w:ascii="Times New Roman" w:eastAsia="宋体" w:hAnsi="Times New Roman" w:cs="Times New Roman"/>
          <w:sz w:val="24"/>
          <w:szCs w:val="24"/>
        </w:rPr>
        <w:lastRenderedPageBreak/>
        <w:t xml:space="preserve">24 hours of model integration, the storm size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still significantly larger than the observations at all levels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9b and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10b).  Although the wind speed at the 3-km height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seems to be greater than the observations at hour 24, the Vmax is weaker.  Again, this mismatch of the vertical wind profile could be attributed to the HWRF model bias (Tong et al., 2018).</w:t>
      </w:r>
    </w:p>
    <w:p w14:paraId="0337E62C" w14:textId="77777777" w:rsidR="00666BD3" w:rsidRPr="00723DA9" w:rsidRDefault="00666BD3" w:rsidP="00666BD3">
      <w:pPr>
        <w:pStyle w:val="Captions"/>
        <w:spacing w:after="0"/>
        <w:rPr>
          <w:rFonts w:cs="Times New Roman"/>
        </w:rPr>
      </w:pPr>
    </w:p>
    <w:p w14:paraId="62756E2B" w14:textId="77777777" w:rsidR="00410356" w:rsidRPr="00723DA9" w:rsidRDefault="00BF4BEE" w:rsidP="00E86356">
      <w:pPr>
        <w:pStyle w:val="Captions"/>
        <w:spacing w:after="0" w:line="360" w:lineRule="auto"/>
        <w:jc w:val="center"/>
        <w:rPr>
          <w:rFonts w:cs="Times New Roman"/>
        </w:rPr>
      </w:pPr>
      <w:r w:rsidRPr="00723DA9">
        <w:rPr>
          <w:rFonts w:cs="Times New Roman"/>
          <w:noProof/>
        </w:rPr>
        <w:drawing>
          <wp:inline distT="0" distB="0" distL="0" distR="0" wp14:anchorId="35BA397C" wp14:editId="44805D4E">
            <wp:extent cx="5669280" cy="4513584"/>
            <wp:effectExtent l="0" t="0" r="762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69280" cy="4513584"/>
                    </a:xfrm>
                    <a:prstGeom prst="rect">
                      <a:avLst/>
                    </a:prstGeom>
                    <a:noFill/>
                    <a:ln>
                      <a:noFill/>
                    </a:ln>
                  </pic:spPr>
                </pic:pic>
              </a:graphicData>
            </a:graphic>
          </wp:inline>
        </w:drawing>
      </w:r>
    </w:p>
    <w:p w14:paraId="443C13B4" w14:textId="393F90A7" w:rsidR="00BF4BEE" w:rsidRPr="00723DA9" w:rsidRDefault="00410356" w:rsidP="00E86356">
      <w:pPr>
        <w:pStyle w:val="Captions"/>
        <w:spacing w:after="0"/>
        <w:rPr>
          <w:rStyle w:val="CaptionsChar"/>
          <w:rFonts w:cs="Times New Roman"/>
          <w:b/>
          <w:bCs/>
          <w:iCs/>
          <w:color w:val="auto"/>
        </w:rPr>
      </w:pPr>
      <w:bookmarkStart w:id="234" w:name="_Toc21624062"/>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11</w:t>
      </w:r>
      <w:r w:rsidR="00771F99" w:rsidRPr="00723DA9">
        <w:rPr>
          <w:rFonts w:cs="Times New Roman"/>
          <w:noProof/>
        </w:rPr>
        <w:fldChar w:fldCharType="end"/>
      </w:r>
      <w:r w:rsidRPr="00723DA9">
        <w:rPr>
          <w:rFonts w:cs="Times New Roman"/>
        </w:rPr>
        <w:t xml:space="preserve"> </w:t>
      </w:r>
      <w:r w:rsidR="00BF4BEE" w:rsidRPr="00723DA9">
        <w:rPr>
          <w:rStyle w:val="CaptionsChar"/>
          <w:rFonts w:cs="Times New Roman"/>
          <w:b/>
          <w:bCs/>
          <w:iCs/>
          <w:color w:val="auto"/>
        </w:rPr>
        <w:t>(a), (e), (</w:t>
      </w:r>
      <w:proofErr w:type="spellStart"/>
      <w:r w:rsidR="00BF4BEE" w:rsidRPr="00723DA9">
        <w:rPr>
          <w:rStyle w:val="CaptionsChar"/>
          <w:rFonts w:cs="Times New Roman"/>
          <w:b/>
          <w:bCs/>
          <w:iCs/>
          <w:color w:val="auto"/>
        </w:rPr>
        <w:t>i</w:t>
      </w:r>
      <w:proofErr w:type="spellEnd"/>
      <w:r w:rsidR="00BF4BEE" w:rsidRPr="00723DA9">
        <w:rPr>
          <w:rStyle w:val="CaptionsChar"/>
          <w:rFonts w:cs="Times New Roman"/>
          <w:b/>
          <w:bCs/>
          <w:iCs/>
          <w:color w:val="auto"/>
        </w:rPr>
        <w:t xml:space="preserve">) MSLP forecast, (b), (f), (j) Vmax forecast, (c), (g), (k) track forecast and (d), (h), (l) track forecast errors for </w:t>
      </w:r>
      <w:proofErr w:type="spellStart"/>
      <w:r w:rsidR="00BF4BEE" w:rsidRPr="00723DA9">
        <w:rPr>
          <w:rStyle w:val="CaptionsChar"/>
          <w:rFonts w:cs="Times New Roman"/>
          <w:b/>
          <w:bCs/>
          <w:iCs/>
          <w:color w:val="auto"/>
        </w:rPr>
        <w:t>NoDA</w:t>
      </w:r>
      <w:proofErr w:type="spellEnd"/>
      <w:r w:rsidR="00BF4BEE" w:rsidRPr="00723DA9">
        <w:rPr>
          <w:rStyle w:val="CaptionsChar"/>
          <w:rFonts w:cs="Times New Roman"/>
          <w:b/>
          <w:bCs/>
          <w:iCs/>
          <w:color w:val="auto"/>
        </w:rPr>
        <w:t xml:space="preserve"> (blue), </w:t>
      </w:r>
      <w:proofErr w:type="spellStart"/>
      <w:r w:rsidR="00BF4BEE" w:rsidRPr="00723DA9">
        <w:rPr>
          <w:rStyle w:val="CaptionsChar"/>
          <w:rFonts w:cs="Times New Roman"/>
          <w:b/>
          <w:bCs/>
          <w:iCs/>
          <w:color w:val="auto"/>
        </w:rPr>
        <w:t>OperH</w:t>
      </w:r>
      <w:proofErr w:type="spellEnd"/>
      <w:r w:rsidR="00BF4BEE" w:rsidRPr="00723DA9">
        <w:rPr>
          <w:rStyle w:val="CaptionsChar"/>
          <w:rFonts w:cs="Times New Roman"/>
          <w:b/>
          <w:bCs/>
          <w:iCs/>
          <w:color w:val="auto"/>
        </w:rPr>
        <w:t xml:space="preserve"> (green), </w:t>
      </w:r>
      <w:proofErr w:type="spellStart"/>
      <w:r w:rsidR="00BF4BEE" w:rsidRPr="00723DA9">
        <w:rPr>
          <w:rStyle w:val="CaptionsChar"/>
          <w:rFonts w:cs="Times New Roman"/>
          <w:b/>
          <w:bCs/>
          <w:iCs/>
          <w:color w:val="auto"/>
        </w:rPr>
        <w:t>CIMSS_Only</w:t>
      </w:r>
      <w:proofErr w:type="spellEnd"/>
      <w:r w:rsidR="00BF4BEE" w:rsidRPr="00723DA9">
        <w:rPr>
          <w:rStyle w:val="CaptionsChar"/>
          <w:rFonts w:cs="Times New Roman"/>
          <w:b/>
          <w:bCs/>
          <w:iCs/>
          <w:color w:val="auto"/>
        </w:rPr>
        <w:t xml:space="preserve"> (yellow), </w:t>
      </w:r>
      <w:proofErr w:type="spellStart"/>
      <w:r w:rsidR="00BF4BEE" w:rsidRPr="00723DA9">
        <w:rPr>
          <w:rStyle w:val="CaptionsChar"/>
          <w:rFonts w:cs="Times New Roman"/>
          <w:b/>
          <w:bCs/>
          <w:iCs/>
          <w:color w:val="auto"/>
        </w:rPr>
        <w:t>SFMR_Only</w:t>
      </w:r>
      <w:proofErr w:type="spellEnd"/>
      <w:r w:rsidR="00BF4BEE" w:rsidRPr="00723DA9">
        <w:rPr>
          <w:rStyle w:val="CaptionsChar"/>
          <w:rFonts w:cs="Times New Roman"/>
          <w:b/>
          <w:bCs/>
          <w:iCs/>
          <w:color w:val="auto"/>
        </w:rPr>
        <w:t xml:space="preserve"> (purple), </w:t>
      </w:r>
      <w:proofErr w:type="spellStart"/>
      <w:r w:rsidR="00BF4BEE" w:rsidRPr="00723DA9">
        <w:rPr>
          <w:rStyle w:val="CaptionsChar"/>
          <w:rFonts w:cs="Times New Roman"/>
          <w:b/>
          <w:bCs/>
          <w:iCs/>
          <w:color w:val="auto"/>
        </w:rPr>
        <w:t>FL_Only</w:t>
      </w:r>
      <w:proofErr w:type="spellEnd"/>
      <w:r w:rsidR="00BF4BEE" w:rsidRPr="00723DA9">
        <w:rPr>
          <w:rStyle w:val="CaptionsChar"/>
          <w:rFonts w:cs="Times New Roman"/>
          <w:b/>
          <w:bCs/>
          <w:iCs/>
          <w:color w:val="auto"/>
        </w:rPr>
        <w:t xml:space="preserve"> (red), </w:t>
      </w:r>
      <w:proofErr w:type="spellStart"/>
      <w:r w:rsidR="00BF4BEE" w:rsidRPr="00723DA9">
        <w:rPr>
          <w:rStyle w:val="CaptionsChar"/>
          <w:rFonts w:cs="Times New Roman"/>
          <w:b/>
          <w:bCs/>
          <w:iCs/>
          <w:color w:val="auto"/>
        </w:rPr>
        <w:t>TDR_Only</w:t>
      </w:r>
      <w:proofErr w:type="spellEnd"/>
      <w:r w:rsidR="00BF4BEE" w:rsidRPr="00723DA9">
        <w:rPr>
          <w:rStyle w:val="CaptionsChar"/>
          <w:rFonts w:cs="Times New Roman"/>
          <w:b/>
          <w:bCs/>
          <w:iCs/>
          <w:color w:val="auto"/>
        </w:rPr>
        <w:t xml:space="preserve"> (orange), </w:t>
      </w:r>
      <w:proofErr w:type="spellStart"/>
      <w:r w:rsidR="00BF4BEE" w:rsidRPr="00723DA9">
        <w:rPr>
          <w:rStyle w:val="CaptionsChar"/>
          <w:rFonts w:cs="Times New Roman"/>
          <w:b/>
          <w:bCs/>
          <w:iCs/>
          <w:color w:val="auto"/>
        </w:rPr>
        <w:t>HDSS_Only</w:t>
      </w:r>
      <w:proofErr w:type="spellEnd"/>
      <w:r w:rsidR="00BF4BEE" w:rsidRPr="00723DA9">
        <w:rPr>
          <w:rStyle w:val="CaptionsChar"/>
          <w:rFonts w:cs="Times New Roman"/>
          <w:b/>
          <w:bCs/>
          <w:iCs/>
          <w:color w:val="auto"/>
        </w:rPr>
        <w:t xml:space="preserve"> (gold), All (cyan) and best track (black) initialized from 1800 UTC 22 Oct 2015 during Patricia.</w:t>
      </w:r>
      <w:bookmarkEnd w:id="234"/>
    </w:p>
    <w:p w14:paraId="653E8C00" w14:textId="77777777" w:rsidR="00410356" w:rsidRPr="00723DA9" w:rsidRDefault="00410356" w:rsidP="00E86356">
      <w:pPr>
        <w:pStyle w:val="Captions"/>
        <w:spacing w:after="0"/>
        <w:rPr>
          <w:rStyle w:val="CaptionsChar"/>
          <w:rFonts w:cs="Times New Roman"/>
          <w:b/>
          <w:bCs/>
          <w:iCs/>
          <w:color w:val="auto"/>
        </w:rPr>
      </w:pPr>
    </w:p>
    <w:p w14:paraId="0FB5C440" w14:textId="3E87014C"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In addition to evaluating the TC evolution in the forecasts, the traditional Minimum Sea Level Pressure (MSLP), Vmax and track forecasts produced by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are also shown in Figure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 and compared against the best track.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 shows that although the initial MSLP in </w:t>
      </w:r>
      <w:proofErr w:type="spellStart"/>
      <w:r w:rsidRPr="00723DA9">
        <w:rPr>
          <w:rFonts w:ascii="Times New Roman" w:eastAsia="宋体" w:hAnsi="Times New Roman" w:cs="Times New Roman"/>
          <w:sz w:val="24"/>
          <w:szCs w:val="24"/>
        </w:rPr>
        <w:lastRenderedPageBreak/>
        <w:t>NoDA</w:t>
      </w:r>
      <w:proofErr w:type="spellEnd"/>
      <w:r w:rsidRPr="00723DA9">
        <w:rPr>
          <w:rFonts w:ascii="Times New Roman" w:eastAsia="宋体" w:hAnsi="Times New Roman" w:cs="Times New Roman"/>
          <w:sz w:val="24"/>
          <w:szCs w:val="24"/>
        </w:rPr>
        <w:t xml:space="preserve"> is almost comparable with the best track, the initial Vmax is weaker.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11b also indicates that the RI rate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roughly comparable to the best track, which is likely a result of the modified model physics as discussed in </w:t>
      </w:r>
      <w:r w:rsidR="00E22E12" w:rsidRPr="00723DA9">
        <w:rPr>
          <w:rFonts w:ascii="Times New Roman" w:eastAsia="宋体" w:hAnsi="Times New Roman" w:cs="Times New Roman"/>
          <w:sz w:val="24"/>
          <w:szCs w:val="24"/>
        </w:rPr>
        <w:t>Chapter</w:t>
      </w:r>
      <w:r w:rsidR="00403CAF" w:rsidRPr="00723DA9">
        <w:rPr>
          <w:rFonts w:ascii="Times New Roman" w:eastAsia="宋体" w:hAnsi="Times New Roman" w:cs="Times New Roman"/>
          <w:sz w:val="24"/>
          <w:szCs w:val="24"/>
        </w:rPr>
        <w:t xml:space="preserve"> 4</w:t>
      </w:r>
      <w:r w:rsidRPr="00723DA9">
        <w:rPr>
          <w:rFonts w:ascii="Times New Roman" w:eastAsia="宋体" w:hAnsi="Times New Roman" w:cs="Times New Roman"/>
          <w:sz w:val="24"/>
          <w:szCs w:val="24"/>
        </w:rPr>
        <w:t xml:space="preserve">.  The peak intensity is however weaker than the best track, and the time of peak Vmax is about 6 hours earlier.  Overall, without any DA,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produces a large and weak storm in both the analysis and the subsequent forecast.</w:t>
      </w:r>
    </w:p>
    <w:p w14:paraId="4B3673C9" w14:textId="1DA1CB7C" w:rsidR="00C56823" w:rsidRPr="00723DA9" w:rsidRDefault="00657DF2" w:rsidP="00582D73">
      <w:pPr>
        <w:pStyle w:val="Heading3"/>
        <w:numPr>
          <w:ilvl w:val="2"/>
          <w:numId w:val="26"/>
        </w:numPr>
        <w:spacing w:before="160" w:after="160" w:line="480" w:lineRule="auto"/>
        <w:rPr>
          <w:rFonts w:ascii="Times New Roman" w:hAnsi="Times New Roman" w:cs="Times New Roman"/>
          <w:b/>
          <w:bCs/>
          <w:i/>
          <w:iCs/>
          <w:color w:val="auto"/>
        </w:rPr>
      </w:pPr>
      <w:bookmarkStart w:id="235" w:name="_Toc21624013"/>
      <w:r w:rsidRPr="00723DA9">
        <w:rPr>
          <w:rFonts w:ascii="Times New Roman" w:hAnsi="Times New Roman" w:cs="Times New Roman"/>
          <w:b/>
          <w:bCs/>
          <w:i/>
          <w:iCs/>
          <w:color w:val="auto"/>
        </w:rPr>
        <w:t>I</w:t>
      </w:r>
      <w:r w:rsidR="00C56823" w:rsidRPr="00723DA9">
        <w:rPr>
          <w:rFonts w:ascii="Times New Roman" w:hAnsi="Times New Roman" w:cs="Times New Roman"/>
          <w:b/>
          <w:bCs/>
          <w:i/>
          <w:iCs/>
          <w:color w:val="auto"/>
        </w:rPr>
        <w:t>mpact of the operational HWRF observations</w:t>
      </w:r>
      <w:bookmarkEnd w:id="235"/>
    </w:p>
    <w:p w14:paraId="0304CA21" w14:textId="0A8BC870"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Assimilating observations from the operational HWRF data stream, experiment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shows slight corrections in the vortex structure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 example, the west side of the vortex is weakened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at both the surface and 3-km height as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2c and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3c).  As indicated in </w:t>
      </w:r>
      <w:r w:rsidR="00BF4BEE" w:rsidRPr="00723DA9">
        <w:rPr>
          <w:rFonts w:ascii="Times New Roman" w:eastAsia="宋体" w:hAnsi="Times New Roman" w:cs="Times New Roman"/>
          <w:sz w:val="24"/>
          <w:szCs w:val="24"/>
        </w:rPr>
        <w:t>S</w:t>
      </w:r>
      <w:r w:rsidRPr="00723DA9">
        <w:rPr>
          <w:rFonts w:ascii="Times New Roman" w:eastAsia="宋体" w:hAnsi="Times New Roman" w:cs="Times New Roman"/>
          <w:sz w:val="24"/>
          <w:szCs w:val="24"/>
        </w:rPr>
        <w:t xml:space="preserve">ection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2</w:t>
      </w:r>
      <w:r w:rsidR="00BF4BEE" w:rsidRPr="00723DA9">
        <w:rPr>
          <w:rFonts w:ascii="Times New Roman" w:eastAsia="宋体" w:hAnsi="Times New Roman" w:cs="Times New Roman"/>
          <w:sz w:val="24"/>
          <w:szCs w:val="24"/>
        </w:rPr>
        <w:t>.3</w:t>
      </w:r>
      <w:r w:rsidRPr="00723DA9">
        <w:rPr>
          <w:rFonts w:ascii="Times New Roman" w:eastAsia="宋体" w:hAnsi="Times New Roman" w:cs="Times New Roman"/>
          <w:sz w:val="24"/>
          <w:szCs w:val="24"/>
        </w:rPr>
        <w:t xml:space="preserve">, these low-level inner-core modifications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primarily come from the assimilation of limited dropsondes and TCVital information.  But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4c shows that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does not significantly modify the spurious low-level inflow in the NW section from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the upper-levels,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reduces the strong outflow bias in the NW region of the storm as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4c and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5c).  Such corrections are primarily due to the operational AMVs assimilated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To help better visualize the improvements, co-located radial wind increments from the DA analyses relative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are shown in Figure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12.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12a clearly shows the outflow reduction in the W to NW side of the storm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However,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also spuriously enhances the near-core inflow in the NW side of Patricia (around 16° N, 104.5° W).  Additionally, an erroneous correction happens in the due south of TC, which resulted in the weakening of the southward outflow (e.g. between 12~13° N and 104~105.5° W).  In the thermodynamic field,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slightly reduces the MWC in both size and strength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6c), which is more consistent with the observations.  </w:t>
      </w:r>
    </w:p>
    <w:p w14:paraId="1285C5AF" w14:textId="77777777" w:rsidR="00666BD3" w:rsidRPr="00723DA9" w:rsidRDefault="00666BD3" w:rsidP="00666BD3">
      <w:pPr>
        <w:pStyle w:val="Captions"/>
        <w:spacing w:after="0"/>
        <w:rPr>
          <w:rFonts w:cs="Times New Roman"/>
        </w:rPr>
      </w:pPr>
    </w:p>
    <w:p w14:paraId="2AF90B16" w14:textId="4E10443B" w:rsidR="00BF4BEE" w:rsidRPr="00723DA9" w:rsidRDefault="00BF4BEE" w:rsidP="0009534B">
      <w:pPr>
        <w:pStyle w:val="Captions"/>
        <w:spacing w:after="0" w:line="360" w:lineRule="auto"/>
        <w:jc w:val="center"/>
        <w:rPr>
          <w:rFonts w:cs="Times New Roman"/>
        </w:rPr>
      </w:pPr>
      <w:r w:rsidRPr="00723DA9">
        <w:rPr>
          <w:rFonts w:cs="Times New Roman"/>
          <w:noProof/>
        </w:rPr>
        <w:drawing>
          <wp:inline distT="0" distB="0" distL="0" distR="0" wp14:anchorId="1595B2CC" wp14:editId="0C3B542B">
            <wp:extent cx="5669280" cy="5614680"/>
            <wp:effectExtent l="0" t="0" r="762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69280" cy="5614680"/>
                    </a:xfrm>
                    <a:prstGeom prst="rect">
                      <a:avLst/>
                    </a:prstGeom>
                    <a:noFill/>
                    <a:ln>
                      <a:noFill/>
                    </a:ln>
                  </pic:spPr>
                </pic:pic>
              </a:graphicData>
            </a:graphic>
          </wp:inline>
        </w:drawing>
      </w:r>
    </w:p>
    <w:p w14:paraId="2F2B0FB4" w14:textId="09936CB7" w:rsidR="00BF4BEE" w:rsidRPr="00723DA9" w:rsidRDefault="00410356" w:rsidP="00E86356">
      <w:pPr>
        <w:pStyle w:val="Captions"/>
        <w:spacing w:after="0"/>
        <w:rPr>
          <w:rFonts w:cs="Times New Roman"/>
        </w:rPr>
      </w:pPr>
      <w:bookmarkStart w:id="236" w:name="_Toc21624063"/>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12</w:t>
      </w:r>
      <w:r w:rsidR="00771F99" w:rsidRPr="00723DA9">
        <w:rPr>
          <w:rFonts w:cs="Times New Roman"/>
          <w:noProof/>
        </w:rPr>
        <w:fldChar w:fldCharType="end"/>
      </w:r>
      <w:r w:rsidRPr="00723DA9">
        <w:rPr>
          <w:rFonts w:cs="Times New Roman"/>
        </w:rPr>
        <w:t xml:space="preserve"> </w:t>
      </w:r>
      <w:r w:rsidR="00BF4BEE" w:rsidRPr="00723DA9">
        <w:rPr>
          <w:rFonts w:cs="Times New Roman"/>
        </w:rPr>
        <w:t>The co-located 150 hPa radial wind increment (shading, m s</w:t>
      </w:r>
      <w:r w:rsidR="00BF4BEE" w:rsidRPr="00723DA9">
        <w:rPr>
          <w:rFonts w:cs="Times New Roman"/>
          <w:vertAlign w:val="superscript"/>
        </w:rPr>
        <w:t>-1</w:t>
      </w:r>
      <w:r w:rsidR="00BF4BEE" w:rsidRPr="00723DA9">
        <w:rPr>
          <w:rFonts w:cs="Times New Roman"/>
        </w:rPr>
        <w:t xml:space="preserve">) by subtracting </w:t>
      </w:r>
      <w:proofErr w:type="spellStart"/>
      <w:r w:rsidR="00BF4BEE" w:rsidRPr="00723DA9">
        <w:rPr>
          <w:rFonts w:cs="Times New Roman"/>
        </w:rPr>
        <w:t>NoDA</w:t>
      </w:r>
      <w:proofErr w:type="spellEnd"/>
      <w:r w:rsidR="00BF4BEE" w:rsidRPr="00723DA9">
        <w:rPr>
          <w:rFonts w:cs="Times New Roman"/>
        </w:rPr>
        <w:t xml:space="preserve"> from (a) </w:t>
      </w:r>
      <w:proofErr w:type="spellStart"/>
      <w:r w:rsidR="00BF4BEE" w:rsidRPr="00723DA9">
        <w:rPr>
          <w:rFonts w:cs="Times New Roman"/>
        </w:rPr>
        <w:t>OperH</w:t>
      </w:r>
      <w:proofErr w:type="spellEnd"/>
      <w:r w:rsidR="00BF4BEE" w:rsidRPr="00723DA9">
        <w:rPr>
          <w:rFonts w:cs="Times New Roman"/>
        </w:rPr>
        <w:t xml:space="preserve"> analysis, (b) </w:t>
      </w:r>
      <w:proofErr w:type="spellStart"/>
      <w:r w:rsidR="00BF4BEE" w:rsidRPr="00723DA9">
        <w:rPr>
          <w:rFonts w:cs="Times New Roman"/>
        </w:rPr>
        <w:t>CIMSS</w:t>
      </w:r>
      <w:r w:rsidR="00BF4BEE" w:rsidRPr="00723DA9">
        <w:rPr>
          <w:rFonts w:eastAsia="Times New Roman" w:cs="Times New Roman"/>
          <w:color w:val="000000" w:themeColor="text1"/>
        </w:rPr>
        <w:t>_Only</w:t>
      </w:r>
      <w:proofErr w:type="spellEnd"/>
      <w:r w:rsidR="00BF4BEE" w:rsidRPr="00723DA9">
        <w:rPr>
          <w:rFonts w:cs="Times New Roman"/>
        </w:rPr>
        <w:t xml:space="preserve"> analysis, (c) </w:t>
      </w:r>
      <w:proofErr w:type="spellStart"/>
      <w:r w:rsidR="00BF4BEE" w:rsidRPr="00723DA9">
        <w:rPr>
          <w:rFonts w:cs="Times New Roman"/>
        </w:rPr>
        <w:t>SFMR</w:t>
      </w:r>
      <w:r w:rsidR="00BF4BEE" w:rsidRPr="00723DA9">
        <w:rPr>
          <w:rFonts w:eastAsia="Times New Roman" w:cs="Times New Roman"/>
          <w:color w:val="000000" w:themeColor="text1"/>
        </w:rPr>
        <w:t>_Only</w:t>
      </w:r>
      <w:proofErr w:type="spellEnd"/>
      <w:r w:rsidR="00BF4BEE" w:rsidRPr="00723DA9">
        <w:rPr>
          <w:rFonts w:cs="Times New Roman"/>
        </w:rPr>
        <w:t xml:space="preserve"> analysis, (d) </w:t>
      </w:r>
      <w:proofErr w:type="spellStart"/>
      <w:r w:rsidR="00BF4BEE" w:rsidRPr="00723DA9">
        <w:rPr>
          <w:rFonts w:cs="Times New Roman"/>
        </w:rPr>
        <w:t>FL</w:t>
      </w:r>
      <w:r w:rsidR="00BF4BEE" w:rsidRPr="00723DA9">
        <w:rPr>
          <w:rFonts w:eastAsia="Times New Roman" w:cs="Times New Roman"/>
          <w:color w:val="000000" w:themeColor="text1"/>
        </w:rPr>
        <w:t>_Only</w:t>
      </w:r>
      <w:proofErr w:type="spellEnd"/>
      <w:r w:rsidR="00BF4BEE" w:rsidRPr="00723DA9">
        <w:rPr>
          <w:rFonts w:cs="Times New Roman"/>
        </w:rPr>
        <w:t xml:space="preserve"> analysis, (e) </w:t>
      </w:r>
      <w:proofErr w:type="spellStart"/>
      <w:r w:rsidR="00BF4BEE" w:rsidRPr="00723DA9">
        <w:rPr>
          <w:rFonts w:cs="Times New Roman"/>
        </w:rPr>
        <w:t>TDR</w:t>
      </w:r>
      <w:r w:rsidR="00BF4BEE" w:rsidRPr="00723DA9">
        <w:rPr>
          <w:rFonts w:eastAsia="Times New Roman" w:cs="Times New Roman"/>
          <w:color w:val="000000" w:themeColor="text1"/>
        </w:rPr>
        <w:t>_Only</w:t>
      </w:r>
      <w:proofErr w:type="spellEnd"/>
      <w:r w:rsidR="00BF4BEE" w:rsidRPr="00723DA9">
        <w:rPr>
          <w:rFonts w:cs="Times New Roman"/>
        </w:rPr>
        <w:t xml:space="preserve"> analysis, (f) </w:t>
      </w:r>
      <w:proofErr w:type="spellStart"/>
      <w:r w:rsidR="00BF4BEE" w:rsidRPr="00723DA9">
        <w:rPr>
          <w:rFonts w:cs="Times New Roman"/>
        </w:rPr>
        <w:t>HDSS</w:t>
      </w:r>
      <w:r w:rsidR="00BF4BEE" w:rsidRPr="00723DA9">
        <w:rPr>
          <w:rFonts w:eastAsia="Times New Roman" w:cs="Times New Roman"/>
          <w:color w:val="000000" w:themeColor="text1"/>
        </w:rPr>
        <w:t>_Only</w:t>
      </w:r>
      <w:proofErr w:type="spellEnd"/>
      <w:r w:rsidR="00BF4BEE" w:rsidRPr="00723DA9">
        <w:rPr>
          <w:rFonts w:cs="Times New Roman"/>
        </w:rPr>
        <w:t xml:space="preserve"> analysis and (g) All analysis valid at 1800 UTC 22 Oct 2015 during Patricia. The vectors are the 150 hPa horizontal wind from </w:t>
      </w:r>
      <w:proofErr w:type="spellStart"/>
      <w:r w:rsidR="00BF4BEE" w:rsidRPr="00723DA9">
        <w:rPr>
          <w:rFonts w:cs="Times New Roman"/>
        </w:rPr>
        <w:t>NoDA</w:t>
      </w:r>
      <w:proofErr w:type="spellEnd"/>
      <w:r w:rsidR="00BF4BEE" w:rsidRPr="00723DA9">
        <w:rPr>
          <w:rFonts w:cs="Times New Roman"/>
        </w:rPr>
        <w:t xml:space="preserve"> as a reference.</w:t>
      </w:r>
      <w:bookmarkEnd w:id="236"/>
    </w:p>
    <w:p w14:paraId="349E4A1C" w14:textId="77777777" w:rsidR="00410356" w:rsidRPr="00723DA9" w:rsidRDefault="00410356" w:rsidP="00E86356">
      <w:pPr>
        <w:pStyle w:val="Captions"/>
        <w:spacing w:after="0"/>
        <w:rPr>
          <w:rFonts w:cs="Times New Roman"/>
        </w:rPr>
      </w:pPr>
    </w:p>
    <w:p w14:paraId="69CAFAE0" w14:textId="0D5B3C8F"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To further quantitively evaluate the analysis, the root-mean-square-fit (RMSF) of the analysis against the SFMR, FL, TDR, HDSS dropsondes and CIMSS AMV observations is calculated (Figure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The corresponding RMSF from the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analysis is also given as a reference.  For example, the RMSF to the SFMR, TDR and FL observations </w:t>
      </w:r>
      <w:bookmarkStart w:id="237" w:name="OLE_LINK135"/>
      <w:r w:rsidRPr="00723DA9">
        <w:rPr>
          <w:rFonts w:ascii="Times New Roman" w:eastAsia="宋体" w:hAnsi="Times New Roman" w:cs="Times New Roman"/>
          <w:sz w:val="24"/>
          <w:szCs w:val="24"/>
        </w:rPr>
        <w:t xml:space="preserve">can </w:t>
      </w:r>
      <w:bookmarkStart w:id="238" w:name="OLE_LINK113"/>
      <w:bookmarkStart w:id="239" w:name="OLE_LINK112"/>
      <w:r w:rsidRPr="00723DA9">
        <w:rPr>
          <w:rFonts w:ascii="Times New Roman" w:eastAsia="宋体" w:hAnsi="Times New Roman" w:cs="Times New Roman"/>
          <w:sz w:val="24"/>
          <w:szCs w:val="24"/>
        </w:rPr>
        <w:t xml:space="preserve">measure the impact of assimilating the operational observations over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the inner-core region.  T</w:t>
      </w:r>
      <w:bookmarkEnd w:id="237"/>
      <w:bookmarkEnd w:id="238"/>
      <w:bookmarkEnd w:id="239"/>
      <w:r w:rsidRPr="00723DA9">
        <w:rPr>
          <w:rFonts w:ascii="Times New Roman" w:eastAsia="宋体" w:hAnsi="Times New Roman" w:cs="Times New Roman"/>
          <w:sz w:val="24"/>
          <w:szCs w:val="24"/>
        </w:rPr>
        <w:t xml:space="preserve">he </w:t>
      </w:r>
      <w:r w:rsidRPr="00723DA9">
        <w:rPr>
          <w:rFonts w:ascii="Times New Roman" w:eastAsia="宋体" w:hAnsi="Times New Roman" w:cs="Times New Roman"/>
          <w:sz w:val="24"/>
          <w:szCs w:val="24"/>
        </w:rPr>
        <w:lastRenderedPageBreak/>
        <w:t xml:space="preserve">corresponding RMSFs in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show that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improves the inner-core dynamic structures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Similarly, the RMSF calculated against the HDSS dropsonde observations can measure the 3D improvements of the DA analysis over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the inner-core and outflow regions, and the RMSF calculated against the CIMSS AMV observations can indicate that the corresponding improvements in the upper-level environment wind field.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shows that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overall slightly improves both the dynamic and thermodynamic fields relative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almost all aspects.  </w:t>
      </w:r>
    </w:p>
    <w:p w14:paraId="30FD77AF" w14:textId="77777777" w:rsidR="00666BD3" w:rsidRPr="00723DA9" w:rsidRDefault="00666BD3" w:rsidP="00666BD3">
      <w:pPr>
        <w:pStyle w:val="Captions"/>
        <w:spacing w:after="0"/>
        <w:rPr>
          <w:rFonts w:cs="Times New Roman"/>
        </w:rPr>
      </w:pPr>
    </w:p>
    <w:p w14:paraId="5C906B6C" w14:textId="3D21E342" w:rsidR="00BF4BEE" w:rsidRPr="00723DA9" w:rsidRDefault="006F6BD4" w:rsidP="0009534B">
      <w:pPr>
        <w:pStyle w:val="Captions"/>
        <w:spacing w:after="0" w:line="360" w:lineRule="auto"/>
        <w:jc w:val="center"/>
        <w:rPr>
          <w:rFonts w:cs="Times New Roman"/>
          <w:sz w:val="24"/>
          <w:szCs w:val="24"/>
        </w:rPr>
      </w:pPr>
      <w:r>
        <w:rPr>
          <w:noProof/>
        </w:rPr>
        <w:drawing>
          <wp:inline distT="0" distB="0" distL="0" distR="0" wp14:anchorId="53D44917" wp14:editId="01628F58">
            <wp:extent cx="5943600" cy="27908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2790825"/>
                    </a:xfrm>
                    <a:prstGeom prst="rect">
                      <a:avLst/>
                    </a:prstGeom>
                  </pic:spPr>
                </pic:pic>
              </a:graphicData>
            </a:graphic>
          </wp:inline>
        </w:drawing>
      </w:r>
    </w:p>
    <w:p w14:paraId="2B7608D2" w14:textId="6E88D0CC" w:rsidR="00BF4BEE" w:rsidRPr="00723DA9" w:rsidRDefault="00410356" w:rsidP="00E86356">
      <w:pPr>
        <w:pStyle w:val="Captions"/>
        <w:spacing w:after="0"/>
        <w:rPr>
          <w:rFonts w:cs="Times New Roman"/>
        </w:rPr>
      </w:pPr>
      <w:bookmarkStart w:id="240" w:name="_Toc21624064"/>
      <w:r w:rsidRPr="00723DA9">
        <w:rPr>
          <w:rFonts w:cs="Times New Roman"/>
        </w:rPr>
        <w:t xml:space="preserve">Figure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Figure \* ARABIC \s 1 </w:instrText>
      </w:r>
      <w:r w:rsidR="00771F99" w:rsidRPr="00723DA9">
        <w:rPr>
          <w:rFonts w:cs="Times New Roman"/>
        </w:rPr>
        <w:fldChar w:fldCharType="separate"/>
      </w:r>
      <w:r w:rsidR="00C350DE">
        <w:rPr>
          <w:rFonts w:cs="Times New Roman"/>
          <w:noProof/>
        </w:rPr>
        <w:t>13</w:t>
      </w:r>
      <w:r w:rsidR="00771F99" w:rsidRPr="00723DA9">
        <w:rPr>
          <w:rFonts w:cs="Times New Roman"/>
          <w:noProof/>
        </w:rPr>
        <w:fldChar w:fldCharType="end"/>
      </w:r>
      <w:r w:rsidRPr="00723DA9">
        <w:rPr>
          <w:rFonts w:cs="Times New Roman"/>
        </w:rPr>
        <w:t xml:space="preserve"> </w:t>
      </w:r>
      <w:r w:rsidR="00BF4BEE" w:rsidRPr="00723DA9">
        <w:rPr>
          <w:rFonts w:cs="Times New Roman"/>
        </w:rPr>
        <w:t xml:space="preserve">Root-Mean-Square-Fit (RMSF) of different types of observation verifications for each experiment. The colors denote the percentage of RMSF changes relative to </w:t>
      </w:r>
      <w:proofErr w:type="spellStart"/>
      <w:r w:rsidR="00BF4BEE" w:rsidRPr="00723DA9">
        <w:rPr>
          <w:rFonts w:cs="Times New Roman"/>
        </w:rPr>
        <w:t>NoDA</w:t>
      </w:r>
      <w:proofErr w:type="spellEnd"/>
      <w:r w:rsidR="00BF4BEE" w:rsidRPr="00723DA9">
        <w:rPr>
          <w:rFonts w:cs="Times New Roman"/>
        </w:rPr>
        <w:t xml:space="preserve"> for the independent verifications. The warmer the colors, the larger the relative RMSF.</w:t>
      </w:r>
      <w:bookmarkEnd w:id="240"/>
    </w:p>
    <w:p w14:paraId="1A97802B" w14:textId="77777777" w:rsidR="00410356" w:rsidRPr="00723DA9" w:rsidRDefault="00410356" w:rsidP="00E86356">
      <w:pPr>
        <w:pStyle w:val="Captions"/>
        <w:spacing w:after="0"/>
        <w:rPr>
          <w:rFonts w:cs="Times New Roman"/>
        </w:rPr>
      </w:pPr>
    </w:p>
    <w:p w14:paraId="2B0747A2" w14:textId="337C635A"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Due to these improvements in the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analysis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the structural forecasts produced by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are also moderately better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 example, both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7c and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8c show that the forecasted CDO region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is always smaller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However, these slightly reduced CDO regions are still much larger than the observations.  Additionally, the eye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is not well organized after 5 hours of model integration (e.g.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7c) and the simulated eye size is about twice the observed size (e.g.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8c).  Moreover,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over-</w:t>
      </w:r>
      <w:r w:rsidRPr="00723DA9">
        <w:rPr>
          <w:rFonts w:ascii="Times New Roman" w:eastAsia="宋体" w:hAnsi="Times New Roman" w:cs="Times New Roman"/>
          <w:sz w:val="24"/>
          <w:szCs w:val="24"/>
        </w:rPr>
        <w:lastRenderedPageBreak/>
        <w:t xml:space="preserve">predicts the storm speed, which pushes the predicted storm much closer to the Mexican coast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(e.g.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9c,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10c and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11c).  </w:t>
      </w:r>
      <w:r w:rsidR="007E0EEB">
        <w:rPr>
          <w:rFonts w:ascii="Times New Roman" w:eastAsia="宋体" w:hAnsi="Times New Roman" w:cs="Times New Roman"/>
          <w:sz w:val="24"/>
          <w:szCs w:val="24"/>
        </w:rPr>
        <w:t xml:space="preserve">The over-predicted storm movement is likely to be associated with the weaker but still large size of the storm, which is pushed by the northward steering environmental flow more than </w:t>
      </w:r>
      <w:proofErr w:type="spellStart"/>
      <w:r w:rsidR="007E0EEB">
        <w:rPr>
          <w:rFonts w:ascii="Times New Roman" w:eastAsia="宋体" w:hAnsi="Times New Roman" w:cs="Times New Roman"/>
          <w:sz w:val="24"/>
          <w:szCs w:val="24"/>
        </w:rPr>
        <w:t>NoDA</w:t>
      </w:r>
      <w:proofErr w:type="spellEnd"/>
      <w:r w:rsidR="007E0EEB">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The over-prediction of the storm speed therefore results in an early RW in the BT evolution after 1400 UTC October 23 (not shown).  Such an early RW is also reflected by the Vmax and MSLP predictions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11a, b).  As a result of the early RW and the influence by land, the storm size produced by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becomes smaller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after 24 hours at 1800 UTC 23 October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9c and Fig.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10c). </w:t>
      </w:r>
      <w:r w:rsidR="007E0EEB">
        <w:rPr>
          <w:rFonts w:ascii="Times New Roman" w:eastAsia="宋体" w:hAnsi="Times New Roman" w:cs="Times New Roman"/>
          <w:sz w:val="24"/>
          <w:szCs w:val="24"/>
        </w:rPr>
        <w:t xml:space="preserve"> </w:t>
      </w:r>
      <w:r w:rsidRPr="00723DA9">
        <w:rPr>
          <w:rFonts w:ascii="Times New Roman" w:eastAsia="宋体" w:hAnsi="Times New Roman" w:cs="Times New Roman"/>
          <w:sz w:val="24"/>
          <w:szCs w:val="24"/>
        </w:rPr>
        <w:t xml:space="preserve">Although such a contracted storm size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seems to be more consistent with the observations, the 3D correlation coefficient calculated against the co-located HRD radar composite indicates that the wind patterns produced by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is actually worse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due to the early RW (Table </w:t>
      </w:r>
      <w:r w:rsidR="00BF4BE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2)</w:t>
      </w:r>
      <w:r w:rsidRPr="007A1DFF">
        <w:rPr>
          <w:rStyle w:val="FootnoteReference"/>
        </w:rPr>
        <w:footnoteReference w:id="11"/>
      </w:r>
      <w:r w:rsidRPr="00723DA9">
        <w:rPr>
          <w:rFonts w:ascii="Times New Roman" w:eastAsia="宋体" w:hAnsi="Times New Roman" w:cs="Times New Roman"/>
          <w:sz w:val="24"/>
          <w:szCs w:val="24"/>
        </w:rPr>
        <w:t xml:space="preserve">. </w:t>
      </w:r>
    </w:p>
    <w:p w14:paraId="06E54C65" w14:textId="77777777" w:rsidR="00666BD3" w:rsidRPr="00723DA9" w:rsidRDefault="00666BD3" w:rsidP="00666BD3">
      <w:pPr>
        <w:pStyle w:val="Captions"/>
        <w:spacing w:after="0"/>
        <w:rPr>
          <w:rFonts w:cs="Times New Roman"/>
        </w:rPr>
      </w:pPr>
    </w:p>
    <w:p w14:paraId="7A8AF1DE" w14:textId="6B8AD7C5" w:rsidR="00BF4BEE" w:rsidRPr="00723DA9" w:rsidRDefault="00410356" w:rsidP="00E86356">
      <w:pPr>
        <w:pStyle w:val="Captions"/>
        <w:spacing w:after="160"/>
        <w:rPr>
          <w:rFonts w:cs="Times New Roman"/>
        </w:rPr>
      </w:pPr>
      <w:bookmarkStart w:id="241" w:name="_Toc21629873"/>
      <w:r w:rsidRPr="00723DA9">
        <w:rPr>
          <w:rFonts w:cs="Times New Roman"/>
        </w:rPr>
        <w:t xml:space="preserve">Table </w:t>
      </w:r>
      <w:r w:rsidR="00514F69" w:rsidRPr="00723DA9">
        <w:rPr>
          <w:rFonts w:cs="Times New Roman"/>
        </w:rPr>
        <w:t>5</w:t>
      </w:r>
      <w:r w:rsidRPr="00723DA9">
        <w:rPr>
          <w:rFonts w:cs="Times New Roman"/>
        </w:rPr>
        <w:t>.</w:t>
      </w:r>
      <w:r w:rsidR="00771F99" w:rsidRPr="00723DA9">
        <w:rPr>
          <w:rFonts w:cs="Times New Roman"/>
        </w:rPr>
        <w:fldChar w:fldCharType="begin"/>
      </w:r>
      <w:r w:rsidR="00771F99" w:rsidRPr="00723DA9">
        <w:rPr>
          <w:rFonts w:cs="Times New Roman"/>
        </w:rPr>
        <w:instrText xml:space="preserve"> SEQ Table \* ARABIC \s 1 </w:instrText>
      </w:r>
      <w:r w:rsidR="00771F99" w:rsidRPr="00723DA9">
        <w:rPr>
          <w:rFonts w:cs="Times New Roman"/>
        </w:rPr>
        <w:fldChar w:fldCharType="separate"/>
      </w:r>
      <w:r w:rsidR="00C350DE">
        <w:rPr>
          <w:rFonts w:cs="Times New Roman"/>
          <w:noProof/>
        </w:rPr>
        <w:t>2</w:t>
      </w:r>
      <w:r w:rsidR="00771F99" w:rsidRPr="00723DA9">
        <w:rPr>
          <w:rFonts w:cs="Times New Roman"/>
          <w:noProof/>
        </w:rPr>
        <w:fldChar w:fldCharType="end"/>
      </w:r>
      <w:r w:rsidRPr="00723DA9">
        <w:rPr>
          <w:rFonts w:cs="Times New Roman"/>
        </w:rPr>
        <w:t xml:space="preserve"> </w:t>
      </w:r>
      <w:r w:rsidR="00BF4BEE" w:rsidRPr="00723DA9">
        <w:rPr>
          <w:rFonts w:cs="Times New Roman"/>
        </w:rPr>
        <w:t>Correlation coefficients calculated against the 3D HRD radar composite for the 24-hour forecasted storm structure from each experiment.</w:t>
      </w:r>
      <w:bookmarkEnd w:id="241"/>
    </w:p>
    <w:tbl>
      <w:tblPr>
        <w:tblStyle w:val="TableGrid"/>
        <w:tblpPr w:leftFromText="180" w:rightFromText="180" w:vertAnchor="text" w:horzAnchor="margin" w:tblpXSpec="center" w:tblpY="146"/>
        <w:tblW w:w="9040" w:type="dxa"/>
        <w:tblInd w:w="0" w:type="dxa"/>
        <w:tblLayout w:type="fixed"/>
        <w:tblLook w:val="0600" w:firstRow="0" w:lastRow="0" w:firstColumn="0" w:lastColumn="0" w:noHBand="1" w:noVBand="1"/>
      </w:tblPr>
      <w:tblGrid>
        <w:gridCol w:w="1165"/>
        <w:gridCol w:w="990"/>
        <w:gridCol w:w="990"/>
        <w:gridCol w:w="1000"/>
        <w:gridCol w:w="979"/>
        <w:gridCol w:w="979"/>
        <w:gridCol w:w="979"/>
        <w:gridCol w:w="979"/>
        <w:gridCol w:w="979"/>
      </w:tblGrid>
      <w:tr w:rsidR="00BF4BEE" w:rsidRPr="00723DA9" w14:paraId="006630CD" w14:textId="77777777" w:rsidTr="0009534B">
        <w:trPr>
          <w:trHeight w:val="260"/>
        </w:trPr>
        <w:tc>
          <w:tcPr>
            <w:tcW w:w="1165" w:type="dxa"/>
            <w:tcBorders>
              <w:top w:val="single" w:sz="4" w:space="0" w:color="auto"/>
              <w:left w:val="single" w:sz="4" w:space="0" w:color="auto"/>
              <w:bottom w:val="single" w:sz="4" w:space="0" w:color="auto"/>
              <w:right w:val="single" w:sz="4" w:space="0" w:color="auto"/>
            </w:tcBorders>
            <w:hideMark/>
          </w:tcPr>
          <w:p w14:paraId="3F6DDA2B" w14:textId="77777777" w:rsidR="00BF4BEE" w:rsidRPr="00723DA9" w:rsidRDefault="00BF4BEE" w:rsidP="00E86356">
            <w:pPr>
              <w:jc w:val="center"/>
              <w:textAlignment w:val="bottom"/>
              <w:rPr>
                <w:rFonts w:ascii="Times New Roman" w:eastAsia="宋体" w:hAnsi="Times New Roman" w:cs="Times New Roman"/>
                <w:sz w:val="20"/>
                <w:szCs w:val="20"/>
              </w:rPr>
            </w:pPr>
            <w:r w:rsidRPr="00723DA9">
              <w:rPr>
                <w:rFonts w:ascii="Times New Roman" w:eastAsia="宋体" w:hAnsi="Times New Roman" w:cs="Times New Roman"/>
                <w:color w:val="000000"/>
                <w:kern w:val="24"/>
                <w:sz w:val="20"/>
                <w:szCs w:val="20"/>
              </w:rPr>
              <w:t>Experiment</w:t>
            </w:r>
          </w:p>
        </w:tc>
        <w:tc>
          <w:tcPr>
            <w:tcW w:w="990" w:type="dxa"/>
            <w:tcBorders>
              <w:top w:val="single" w:sz="4" w:space="0" w:color="auto"/>
              <w:left w:val="single" w:sz="4" w:space="0" w:color="auto"/>
              <w:bottom w:val="single" w:sz="4" w:space="0" w:color="auto"/>
              <w:right w:val="single" w:sz="4" w:space="0" w:color="auto"/>
            </w:tcBorders>
            <w:hideMark/>
          </w:tcPr>
          <w:p w14:paraId="74577BA9" w14:textId="77777777" w:rsidR="00BF4BEE" w:rsidRPr="00723DA9" w:rsidRDefault="00BF4BEE" w:rsidP="00E86356">
            <w:pPr>
              <w:jc w:val="center"/>
              <w:textAlignment w:val="bottom"/>
              <w:rPr>
                <w:rFonts w:ascii="Times New Roman" w:eastAsia="宋体" w:hAnsi="Times New Roman" w:cs="Times New Roman"/>
                <w:color w:val="000000"/>
                <w:kern w:val="24"/>
                <w:sz w:val="20"/>
                <w:szCs w:val="20"/>
              </w:rPr>
            </w:pPr>
            <w:proofErr w:type="spellStart"/>
            <w:r w:rsidRPr="00723DA9">
              <w:rPr>
                <w:rFonts w:ascii="Times New Roman" w:eastAsia="宋体" w:hAnsi="Times New Roman" w:cs="Times New Roman"/>
                <w:color w:val="000000"/>
                <w:kern w:val="24"/>
                <w:sz w:val="20"/>
                <w:szCs w:val="20"/>
              </w:rPr>
              <w:t>NoDA</w:t>
            </w:r>
            <w:proofErr w:type="spellEnd"/>
          </w:p>
        </w:tc>
        <w:tc>
          <w:tcPr>
            <w:tcW w:w="990" w:type="dxa"/>
            <w:tcBorders>
              <w:top w:val="single" w:sz="4" w:space="0" w:color="auto"/>
              <w:left w:val="single" w:sz="4" w:space="0" w:color="auto"/>
              <w:bottom w:val="single" w:sz="4" w:space="0" w:color="auto"/>
              <w:right w:val="single" w:sz="4" w:space="0" w:color="auto"/>
            </w:tcBorders>
            <w:hideMark/>
          </w:tcPr>
          <w:p w14:paraId="5B2FECA4" w14:textId="77777777" w:rsidR="00BF4BEE" w:rsidRPr="00723DA9" w:rsidRDefault="00BF4BEE" w:rsidP="00E86356">
            <w:pPr>
              <w:jc w:val="center"/>
              <w:textAlignment w:val="bottom"/>
              <w:rPr>
                <w:rFonts w:ascii="Times New Roman" w:eastAsia="宋体" w:hAnsi="Times New Roman" w:cs="Times New Roman"/>
                <w:sz w:val="20"/>
                <w:szCs w:val="20"/>
              </w:rPr>
            </w:pPr>
            <w:proofErr w:type="spellStart"/>
            <w:r w:rsidRPr="00723DA9">
              <w:rPr>
                <w:rFonts w:ascii="Times New Roman" w:eastAsia="宋体" w:hAnsi="Times New Roman" w:cs="Times New Roman"/>
                <w:color w:val="000000"/>
                <w:kern w:val="24"/>
                <w:sz w:val="20"/>
                <w:szCs w:val="20"/>
              </w:rPr>
              <w:t>OperH</w:t>
            </w:r>
            <w:proofErr w:type="spellEnd"/>
          </w:p>
        </w:tc>
        <w:tc>
          <w:tcPr>
            <w:tcW w:w="1000" w:type="dxa"/>
            <w:tcBorders>
              <w:top w:val="single" w:sz="4" w:space="0" w:color="auto"/>
              <w:left w:val="single" w:sz="4" w:space="0" w:color="auto"/>
              <w:bottom w:val="single" w:sz="4" w:space="0" w:color="auto"/>
              <w:right w:val="single" w:sz="4" w:space="0" w:color="auto"/>
            </w:tcBorders>
            <w:hideMark/>
          </w:tcPr>
          <w:p w14:paraId="58963F4C" w14:textId="77777777" w:rsidR="00BF4BEE" w:rsidRPr="00723DA9" w:rsidRDefault="00BF4BEE" w:rsidP="00E86356">
            <w:pPr>
              <w:jc w:val="center"/>
              <w:textAlignment w:val="bottom"/>
              <w:rPr>
                <w:rFonts w:ascii="Times New Roman" w:eastAsia="宋体" w:hAnsi="Times New Roman" w:cs="Times New Roman"/>
                <w:sz w:val="20"/>
                <w:szCs w:val="20"/>
              </w:rPr>
            </w:pPr>
            <w:proofErr w:type="spellStart"/>
            <w:r w:rsidRPr="00723DA9">
              <w:rPr>
                <w:rFonts w:ascii="Times New Roman" w:eastAsia="宋体" w:hAnsi="Times New Roman" w:cs="Times New Roman"/>
                <w:color w:val="000000"/>
                <w:kern w:val="24"/>
                <w:sz w:val="20"/>
                <w:szCs w:val="20"/>
              </w:rPr>
              <w:t>CIMSS_Only</w:t>
            </w:r>
            <w:proofErr w:type="spellEnd"/>
          </w:p>
        </w:tc>
        <w:tc>
          <w:tcPr>
            <w:tcW w:w="979" w:type="dxa"/>
            <w:tcBorders>
              <w:top w:val="single" w:sz="4" w:space="0" w:color="auto"/>
              <w:left w:val="single" w:sz="4" w:space="0" w:color="auto"/>
              <w:bottom w:val="single" w:sz="4" w:space="0" w:color="auto"/>
              <w:right w:val="single" w:sz="4" w:space="0" w:color="auto"/>
            </w:tcBorders>
            <w:hideMark/>
          </w:tcPr>
          <w:p w14:paraId="170719C8" w14:textId="77777777" w:rsidR="00BF4BEE" w:rsidRPr="00723DA9" w:rsidRDefault="00BF4BEE" w:rsidP="00E86356">
            <w:pPr>
              <w:jc w:val="center"/>
              <w:textAlignment w:val="bottom"/>
              <w:rPr>
                <w:rFonts w:ascii="Times New Roman" w:eastAsia="宋体" w:hAnsi="Times New Roman" w:cs="Times New Roman"/>
                <w:sz w:val="20"/>
                <w:szCs w:val="20"/>
              </w:rPr>
            </w:pPr>
            <w:proofErr w:type="spellStart"/>
            <w:r w:rsidRPr="00723DA9">
              <w:rPr>
                <w:rFonts w:ascii="Times New Roman" w:eastAsia="宋体" w:hAnsi="Times New Roman" w:cs="Times New Roman"/>
                <w:color w:val="000000"/>
                <w:kern w:val="24"/>
                <w:sz w:val="20"/>
                <w:szCs w:val="20"/>
              </w:rPr>
              <w:t>SFMR_Only</w:t>
            </w:r>
            <w:proofErr w:type="spellEnd"/>
          </w:p>
        </w:tc>
        <w:tc>
          <w:tcPr>
            <w:tcW w:w="979" w:type="dxa"/>
            <w:tcBorders>
              <w:top w:val="single" w:sz="4" w:space="0" w:color="auto"/>
              <w:left w:val="single" w:sz="4" w:space="0" w:color="auto"/>
              <w:bottom w:val="single" w:sz="4" w:space="0" w:color="auto"/>
              <w:right w:val="single" w:sz="4" w:space="0" w:color="auto"/>
            </w:tcBorders>
            <w:hideMark/>
          </w:tcPr>
          <w:p w14:paraId="0674D8F7" w14:textId="77777777" w:rsidR="00BF4BEE" w:rsidRPr="00723DA9" w:rsidRDefault="00BF4BEE" w:rsidP="00E86356">
            <w:pPr>
              <w:jc w:val="center"/>
              <w:textAlignment w:val="bottom"/>
              <w:rPr>
                <w:rFonts w:ascii="Times New Roman" w:eastAsia="宋体" w:hAnsi="Times New Roman" w:cs="Times New Roman"/>
                <w:sz w:val="20"/>
                <w:szCs w:val="20"/>
              </w:rPr>
            </w:pPr>
            <w:proofErr w:type="spellStart"/>
            <w:r w:rsidRPr="00723DA9">
              <w:rPr>
                <w:rFonts w:ascii="Times New Roman" w:eastAsia="宋体" w:hAnsi="Times New Roman" w:cs="Times New Roman"/>
                <w:color w:val="000000"/>
                <w:kern w:val="24"/>
                <w:sz w:val="20"/>
                <w:szCs w:val="20"/>
              </w:rPr>
              <w:t>FL_Only</w:t>
            </w:r>
            <w:proofErr w:type="spellEnd"/>
          </w:p>
        </w:tc>
        <w:tc>
          <w:tcPr>
            <w:tcW w:w="979" w:type="dxa"/>
            <w:tcBorders>
              <w:top w:val="single" w:sz="4" w:space="0" w:color="auto"/>
              <w:left w:val="single" w:sz="4" w:space="0" w:color="auto"/>
              <w:bottom w:val="single" w:sz="4" w:space="0" w:color="auto"/>
              <w:right w:val="single" w:sz="4" w:space="0" w:color="auto"/>
            </w:tcBorders>
            <w:hideMark/>
          </w:tcPr>
          <w:p w14:paraId="4BB41DE6" w14:textId="77777777" w:rsidR="00BF4BEE" w:rsidRPr="00723DA9" w:rsidRDefault="00BF4BEE" w:rsidP="00E86356">
            <w:pPr>
              <w:jc w:val="center"/>
              <w:textAlignment w:val="bottom"/>
              <w:rPr>
                <w:rFonts w:ascii="Times New Roman" w:eastAsia="宋体" w:hAnsi="Times New Roman" w:cs="Times New Roman"/>
                <w:sz w:val="20"/>
                <w:szCs w:val="20"/>
              </w:rPr>
            </w:pPr>
            <w:proofErr w:type="spellStart"/>
            <w:r w:rsidRPr="00723DA9">
              <w:rPr>
                <w:rFonts w:ascii="Times New Roman" w:eastAsia="宋体" w:hAnsi="Times New Roman" w:cs="Times New Roman"/>
                <w:color w:val="000000"/>
                <w:kern w:val="24"/>
                <w:sz w:val="20"/>
                <w:szCs w:val="20"/>
              </w:rPr>
              <w:t>TDR_Only</w:t>
            </w:r>
            <w:proofErr w:type="spellEnd"/>
          </w:p>
        </w:tc>
        <w:tc>
          <w:tcPr>
            <w:tcW w:w="979" w:type="dxa"/>
            <w:tcBorders>
              <w:top w:val="single" w:sz="4" w:space="0" w:color="auto"/>
              <w:left w:val="single" w:sz="4" w:space="0" w:color="auto"/>
              <w:bottom w:val="single" w:sz="4" w:space="0" w:color="auto"/>
              <w:right w:val="single" w:sz="4" w:space="0" w:color="auto"/>
            </w:tcBorders>
            <w:hideMark/>
          </w:tcPr>
          <w:p w14:paraId="57EBD3CD" w14:textId="77777777" w:rsidR="00BF4BEE" w:rsidRPr="00723DA9" w:rsidRDefault="00BF4BEE" w:rsidP="00E86356">
            <w:pPr>
              <w:jc w:val="center"/>
              <w:textAlignment w:val="bottom"/>
              <w:rPr>
                <w:rFonts w:ascii="Times New Roman" w:eastAsia="宋体" w:hAnsi="Times New Roman" w:cs="Times New Roman"/>
                <w:sz w:val="20"/>
                <w:szCs w:val="20"/>
              </w:rPr>
            </w:pPr>
            <w:proofErr w:type="spellStart"/>
            <w:r w:rsidRPr="00723DA9">
              <w:rPr>
                <w:rFonts w:ascii="Times New Roman" w:eastAsia="宋体" w:hAnsi="Times New Roman" w:cs="Times New Roman"/>
                <w:color w:val="000000"/>
                <w:kern w:val="24"/>
                <w:sz w:val="20"/>
                <w:szCs w:val="20"/>
              </w:rPr>
              <w:t>HDSS_Only</w:t>
            </w:r>
            <w:proofErr w:type="spellEnd"/>
          </w:p>
        </w:tc>
        <w:tc>
          <w:tcPr>
            <w:tcW w:w="979" w:type="dxa"/>
            <w:tcBorders>
              <w:top w:val="single" w:sz="4" w:space="0" w:color="auto"/>
              <w:left w:val="single" w:sz="4" w:space="0" w:color="auto"/>
              <w:bottom w:val="single" w:sz="4" w:space="0" w:color="auto"/>
              <w:right w:val="single" w:sz="4" w:space="0" w:color="auto"/>
            </w:tcBorders>
            <w:hideMark/>
          </w:tcPr>
          <w:p w14:paraId="0D2931BF" w14:textId="77777777" w:rsidR="00BF4BEE" w:rsidRPr="00723DA9" w:rsidRDefault="00BF4BEE" w:rsidP="00E86356">
            <w:pPr>
              <w:jc w:val="center"/>
              <w:textAlignment w:val="bottom"/>
              <w:rPr>
                <w:rFonts w:ascii="Times New Roman" w:eastAsia="宋体" w:hAnsi="Times New Roman" w:cs="Times New Roman"/>
                <w:sz w:val="20"/>
                <w:szCs w:val="20"/>
              </w:rPr>
            </w:pPr>
            <w:r w:rsidRPr="00723DA9">
              <w:rPr>
                <w:rFonts w:ascii="Times New Roman" w:eastAsia="宋体" w:hAnsi="Times New Roman" w:cs="Times New Roman"/>
                <w:color w:val="000000"/>
                <w:kern w:val="24"/>
                <w:sz w:val="20"/>
                <w:szCs w:val="20"/>
              </w:rPr>
              <w:t>All</w:t>
            </w:r>
          </w:p>
        </w:tc>
      </w:tr>
      <w:tr w:rsidR="00BF4BEE" w:rsidRPr="00723DA9" w14:paraId="0A37E2D3" w14:textId="77777777" w:rsidTr="0009534B">
        <w:trPr>
          <w:trHeight w:val="56"/>
        </w:trPr>
        <w:tc>
          <w:tcPr>
            <w:tcW w:w="1165" w:type="dxa"/>
            <w:tcBorders>
              <w:top w:val="single" w:sz="4" w:space="0" w:color="auto"/>
              <w:left w:val="single" w:sz="4" w:space="0" w:color="auto"/>
              <w:bottom w:val="single" w:sz="4" w:space="0" w:color="auto"/>
              <w:right w:val="single" w:sz="4" w:space="0" w:color="auto"/>
            </w:tcBorders>
            <w:hideMark/>
          </w:tcPr>
          <w:p w14:paraId="6B6AD5BA" w14:textId="77777777" w:rsidR="00BF4BEE" w:rsidRPr="00723DA9" w:rsidRDefault="00BF4BEE" w:rsidP="00E86356">
            <w:pPr>
              <w:jc w:val="center"/>
              <w:textAlignment w:val="bottom"/>
              <w:rPr>
                <w:rFonts w:ascii="Times New Roman" w:eastAsia="宋体" w:hAnsi="Times New Roman" w:cs="Times New Roman"/>
                <w:sz w:val="20"/>
                <w:szCs w:val="20"/>
              </w:rPr>
            </w:pPr>
            <w:r w:rsidRPr="00723DA9">
              <w:rPr>
                <w:rFonts w:ascii="Times New Roman" w:eastAsia="宋体" w:hAnsi="Times New Roman" w:cs="Times New Roman"/>
                <w:color w:val="000000"/>
                <w:kern w:val="24"/>
                <w:sz w:val="20"/>
                <w:szCs w:val="20"/>
              </w:rPr>
              <w:t>Correlation Coefficient</w:t>
            </w:r>
          </w:p>
        </w:tc>
        <w:tc>
          <w:tcPr>
            <w:tcW w:w="990" w:type="dxa"/>
            <w:tcBorders>
              <w:top w:val="single" w:sz="4" w:space="0" w:color="auto"/>
              <w:left w:val="single" w:sz="4" w:space="0" w:color="auto"/>
              <w:bottom w:val="single" w:sz="4" w:space="0" w:color="auto"/>
              <w:right w:val="single" w:sz="4" w:space="0" w:color="auto"/>
            </w:tcBorders>
            <w:vAlign w:val="bottom"/>
            <w:hideMark/>
          </w:tcPr>
          <w:p w14:paraId="7C9635AE" w14:textId="77777777" w:rsidR="00BF4BEE" w:rsidRPr="00723DA9" w:rsidRDefault="00BF4BEE" w:rsidP="00E86356">
            <w:pPr>
              <w:jc w:val="center"/>
              <w:rPr>
                <w:rFonts w:ascii="Times New Roman" w:hAnsi="Times New Roman" w:cs="Times New Roman"/>
                <w:sz w:val="20"/>
                <w:szCs w:val="20"/>
              </w:rPr>
            </w:pPr>
            <w:r w:rsidRPr="00723DA9">
              <w:rPr>
                <w:rFonts w:ascii="Times New Roman" w:hAnsi="Times New Roman" w:cs="Times New Roman"/>
                <w:color w:val="000000"/>
                <w:kern w:val="24"/>
                <w:sz w:val="20"/>
                <w:szCs w:val="20"/>
              </w:rPr>
              <w:t>0.792248</w:t>
            </w:r>
          </w:p>
        </w:tc>
        <w:tc>
          <w:tcPr>
            <w:tcW w:w="990" w:type="dxa"/>
            <w:tcBorders>
              <w:top w:val="single" w:sz="4" w:space="0" w:color="auto"/>
              <w:left w:val="single" w:sz="4" w:space="0" w:color="auto"/>
              <w:bottom w:val="single" w:sz="4" w:space="0" w:color="auto"/>
              <w:right w:val="single" w:sz="4" w:space="0" w:color="auto"/>
            </w:tcBorders>
            <w:vAlign w:val="bottom"/>
            <w:hideMark/>
          </w:tcPr>
          <w:p w14:paraId="29965F34" w14:textId="77777777" w:rsidR="00BF4BEE" w:rsidRPr="00723DA9" w:rsidRDefault="00BF4BEE" w:rsidP="00E86356">
            <w:pPr>
              <w:jc w:val="center"/>
              <w:rPr>
                <w:rFonts w:ascii="Times New Roman" w:hAnsi="Times New Roman" w:cs="Times New Roman"/>
                <w:sz w:val="20"/>
                <w:szCs w:val="20"/>
              </w:rPr>
            </w:pPr>
            <w:r w:rsidRPr="00723DA9">
              <w:rPr>
                <w:rFonts w:ascii="Times New Roman" w:hAnsi="Times New Roman" w:cs="Times New Roman"/>
                <w:sz w:val="20"/>
                <w:szCs w:val="20"/>
              </w:rPr>
              <w:t>0.790339</w:t>
            </w:r>
          </w:p>
        </w:tc>
        <w:tc>
          <w:tcPr>
            <w:tcW w:w="1000" w:type="dxa"/>
            <w:tcBorders>
              <w:top w:val="single" w:sz="4" w:space="0" w:color="auto"/>
              <w:left w:val="single" w:sz="4" w:space="0" w:color="auto"/>
              <w:bottom w:val="single" w:sz="4" w:space="0" w:color="auto"/>
              <w:right w:val="single" w:sz="4" w:space="0" w:color="auto"/>
            </w:tcBorders>
            <w:vAlign w:val="bottom"/>
            <w:hideMark/>
          </w:tcPr>
          <w:p w14:paraId="08CF25A3" w14:textId="77777777" w:rsidR="00BF4BEE" w:rsidRPr="00723DA9" w:rsidRDefault="00BF4BEE" w:rsidP="00E86356">
            <w:pPr>
              <w:pStyle w:val="NormalWeb"/>
              <w:spacing w:before="0" w:beforeAutospacing="0" w:after="0" w:afterAutospacing="0"/>
              <w:jc w:val="center"/>
              <w:textAlignment w:val="bottom"/>
              <w:rPr>
                <w:rFonts w:ascii="Times New Roman" w:hAnsi="Times New Roman" w:cs="Times New Roman"/>
                <w:sz w:val="20"/>
                <w:szCs w:val="20"/>
              </w:rPr>
            </w:pPr>
            <w:r w:rsidRPr="00723DA9">
              <w:rPr>
                <w:rFonts w:ascii="Times New Roman" w:hAnsi="Times New Roman" w:cs="Times New Roman"/>
                <w:sz w:val="20"/>
                <w:szCs w:val="20"/>
              </w:rPr>
              <w:t>0.807257</w:t>
            </w:r>
          </w:p>
        </w:tc>
        <w:tc>
          <w:tcPr>
            <w:tcW w:w="979" w:type="dxa"/>
            <w:tcBorders>
              <w:top w:val="single" w:sz="4" w:space="0" w:color="auto"/>
              <w:left w:val="single" w:sz="4" w:space="0" w:color="auto"/>
              <w:bottom w:val="single" w:sz="4" w:space="0" w:color="auto"/>
              <w:right w:val="single" w:sz="4" w:space="0" w:color="auto"/>
            </w:tcBorders>
            <w:vAlign w:val="bottom"/>
            <w:hideMark/>
          </w:tcPr>
          <w:p w14:paraId="0DE3863B" w14:textId="77777777" w:rsidR="00BF4BEE" w:rsidRPr="00723DA9" w:rsidRDefault="00BF4BEE" w:rsidP="00E86356">
            <w:pPr>
              <w:pStyle w:val="NormalWeb"/>
              <w:spacing w:before="0" w:beforeAutospacing="0" w:after="0" w:afterAutospacing="0"/>
              <w:jc w:val="center"/>
              <w:textAlignment w:val="bottom"/>
              <w:rPr>
                <w:rFonts w:ascii="Times New Roman" w:hAnsi="Times New Roman" w:cs="Times New Roman"/>
                <w:sz w:val="20"/>
                <w:szCs w:val="20"/>
              </w:rPr>
            </w:pPr>
            <w:r w:rsidRPr="00723DA9">
              <w:rPr>
                <w:rFonts w:ascii="Times New Roman" w:hAnsi="Times New Roman" w:cs="Times New Roman"/>
                <w:sz w:val="20"/>
                <w:szCs w:val="20"/>
              </w:rPr>
              <w:t>0.788751</w:t>
            </w:r>
          </w:p>
        </w:tc>
        <w:tc>
          <w:tcPr>
            <w:tcW w:w="979" w:type="dxa"/>
            <w:tcBorders>
              <w:top w:val="single" w:sz="4" w:space="0" w:color="auto"/>
              <w:left w:val="single" w:sz="4" w:space="0" w:color="auto"/>
              <w:bottom w:val="single" w:sz="4" w:space="0" w:color="auto"/>
              <w:right w:val="single" w:sz="4" w:space="0" w:color="auto"/>
            </w:tcBorders>
            <w:vAlign w:val="bottom"/>
            <w:hideMark/>
          </w:tcPr>
          <w:p w14:paraId="6CA138C2" w14:textId="77777777" w:rsidR="00BF4BEE" w:rsidRPr="00723DA9" w:rsidRDefault="00BF4BEE" w:rsidP="00E86356">
            <w:pPr>
              <w:pStyle w:val="NormalWeb"/>
              <w:spacing w:before="0" w:beforeAutospacing="0" w:after="0" w:afterAutospacing="0"/>
              <w:jc w:val="center"/>
              <w:textAlignment w:val="bottom"/>
              <w:rPr>
                <w:rFonts w:ascii="Times New Roman" w:hAnsi="Times New Roman" w:cs="Times New Roman"/>
                <w:sz w:val="20"/>
                <w:szCs w:val="20"/>
              </w:rPr>
            </w:pPr>
            <w:r w:rsidRPr="00723DA9">
              <w:rPr>
                <w:rFonts w:ascii="Times New Roman" w:hAnsi="Times New Roman" w:cs="Times New Roman"/>
                <w:sz w:val="20"/>
                <w:szCs w:val="20"/>
              </w:rPr>
              <w:t>0.817344</w:t>
            </w:r>
          </w:p>
        </w:tc>
        <w:tc>
          <w:tcPr>
            <w:tcW w:w="979" w:type="dxa"/>
            <w:tcBorders>
              <w:top w:val="single" w:sz="4" w:space="0" w:color="auto"/>
              <w:left w:val="single" w:sz="4" w:space="0" w:color="auto"/>
              <w:bottom w:val="single" w:sz="4" w:space="0" w:color="auto"/>
              <w:right w:val="single" w:sz="4" w:space="0" w:color="auto"/>
            </w:tcBorders>
            <w:vAlign w:val="bottom"/>
            <w:hideMark/>
          </w:tcPr>
          <w:p w14:paraId="000B5494" w14:textId="77777777" w:rsidR="00BF4BEE" w:rsidRPr="00723DA9" w:rsidRDefault="00BF4BEE" w:rsidP="00E86356">
            <w:pPr>
              <w:pStyle w:val="NormalWeb"/>
              <w:spacing w:before="0" w:beforeAutospacing="0" w:after="0" w:afterAutospacing="0"/>
              <w:jc w:val="center"/>
              <w:textAlignment w:val="bottom"/>
              <w:rPr>
                <w:rFonts w:ascii="Times New Roman" w:hAnsi="Times New Roman" w:cs="Times New Roman"/>
                <w:sz w:val="20"/>
                <w:szCs w:val="20"/>
              </w:rPr>
            </w:pPr>
            <w:r w:rsidRPr="00723DA9">
              <w:rPr>
                <w:rFonts w:ascii="Times New Roman" w:hAnsi="Times New Roman" w:cs="Times New Roman"/>
                <w:sz w:val="20"/>
                <w:szCs w:val="20"/>
              </w:rPr>
              <w:t>0.805085</w:t>
            </w:r>
          </w:p>
        </w:tc>
        <w:tc>
          <w:tcPr>
            <w:tcW w:w="979" w:type="dxa"/>
            <w:tcBorders>
              <w:top w:val="single" w:sz="4" w:space="0" w:color="auto"/>
              <w:left w:val="single" w:sz="4" w:space="0" w:color="auto"/>
              <w:bottom w:val="single" w:sz="4" w:space="0" w:color="auto"/>
              <w:right w:val="single" w:sz="4" w:space="0" w:color="auto"/>
            </w:tcBorders>
            <w:vAlign w:val="bottom"/>
            <w:hideMark/>
          </w:tcPr>
          <w:p w14:paraId="4DB86D09" w14:textId="77777777" w:rsidR="00BF4BEE" w:rsidRPr="00723DA9" w:rsidRDefault="00BF4BEE" w:rsidP="00E86356">
            <w:pPr>
              <w:pStyle w:val="NormalWeb"/>
              <w:spacing w:before="0" w:beforeAutospacing="0" w:after="0" w:afterAutospacing="0"/>
              <w:jc w:val="center"/>
              <w:textAlignment w:val="bottom"/>
              <w:rPr>
                <w:rFonts w:ascii="Times New Roman" w:hAnsi="Times New Roman" w:cs="Times New Roman"/>
                <w:sz w:val="20"/>
                <w:szCs w:val="20"/>
              </w:rPr>
            </w:pPr>
            <w:r w:rsidRPr="00723DA9">
              <w:rPr>
                <w:rFonts w:ascii="Times New Roman" w:hAnsi="Times New Roman" w:cs="Times New Roman"/>
                <w:sz w:val="20"/>
                <w:szCs w:val="20"/>
              </w:rPr>
              <w:t>0.825169</w:t>
            </w:r>
          </w:p>
        </w:tc>
        <w:tc>
          <w:tcPr>
            <w:tcW w:w="979" w:type="dxa"/>
            <w:tcBorders>
              <w:top w:val="single" w:sz="4" w:space="0" w:color="auto"/>
              <w:left w:val="single" w:sz="4" w:space="0" w:color="auto"/>
              <w:bottom w:val="single" w:sz="4" w:space="0" w:color="auto"/>
              <w:right w:val="single" w:sz="4" w:space="0" w:color="auto"/>
            </w:tcBorders>
            <w:vAlign w:val="bottom"/>
            <w:hideMark/>
          </w:tcPr>
          <w:p w14:paraId="373BBFBF" w14:textId="77777777" w:rsidR="00BF4BEE" w:rsidRPr="00723DA9" w:rsidRDefault="00BF4BEE" w:rsidP="00E86356">
            <w:pPr>
              <w:pStyle w:val="NormalWeb"/>
              <w:spacing w:before="0" w:beforeAutospacing="0" w:after="0" w:afterAutospacing="0"/>
              <w:jc w:val="center"/>
              <w:textAlignment w:val="bottom"/>
              <w:rPr>
                <w:rFonts w:ascii="Times New Roman" w:hAnsi="Times New Roman" w:cs="Times New Roman"/>
                <w:sz w:val="20"/>
                <w:szCs w:val="20"/>
              </w:rPr>
            </w:pPr>
            <w:r w:rsidRPr="00723DA9">
              <w:rPr>
                <w:rFonts w:ascii="Times New Roman" w:hAnsi="Times New Roman" w:cs="Times New Roman"/>
                <w:sz w:val="20"/>
                <w:szCs w:val="20"/>
              </w:rPr>
              <w:t>0.834651</w:t>
            </w:r>
          </w:p>
        </w:tc>
      </w:tr>
    </w:tbl>
    <w:p w14:paraId="72C1AECA" w14:textId="77777777" w:rsidR="00BF4BEE" w:rsidRPr="00723DA9" w:rsidRDefault="00BF4BEE" w:rsidP="00E86356">
      <w:pPr>
        <w:spacing w:after="0" w:line="240" w:lineRule="auto"/>
        <w:ind w:firstLine="432"/>
        <w:rPr>
          <w:rFonts w:ascii="Times New Roman" w:eastAsia="宋体" w:hAnsi="Times New Roman" w:cs="Times New Roman"/>
          <w:sz w:val="24"/>
          <w:szCs w:val="24"/>
        </w:rPr>
      </w:pPr>
    </w:p>
    <w:p w14:paraId="28C34C1A" w14:textId="3F3CE099" w:rsidR="00E86356"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Overall, with rather limited inner-core observations,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is only able to slightly improve the structural analysis and prediction of Patricia at early lead times.  Such benefits cannot be well maintained during the model integration, and storm movement becomes biased and degrades the predictions at later lead times. </w:t>
      </w:r>
    </w:p>
    <w:p w14:paraId="196C2F29" w14:textId="4B11B7EE" w:rsidR="00C56823" w:rsidRPr="00723DA9" w:rsidRDefault="00657DF2" w:rsidP="00582D73">
      <w:pPr>
        <w:pStyle w:val="Heading3"/>
        <w:numPr>
          <w:ilvl w:val="2"/>
          <w:numId w:val="26"/>
        </w:numPr>
        <w:spacing w:before="160" w:after="160" w:line="480" w:lineRule="auto"/>
        <w:rPr>
          <w:rFonts w:ascii="Times New Roman" w:hAnsi="Times New Roman" w:cs="Times New Roman"/>
          <w:b/>
          <w:bCs/>
          <w:i/>
          <w:iCs/>
          <w:color w:val="auto"/>
        </w:rPr>
      </w:pPr>
      <w:bookmarkStart w:id="242" w:name="_Toc21624014"/>
      <w:r w:rsidRPr="00723DA9">
        <w:rPr>
          <w:rFonts w:ascii="Times New Roman" w:hAnsi="Times New Roman" w:cs="Times New Roman"/>
          <w:b/>
          <w:bCs/>
          <w:i/>
          <w:iCs/>
          <w:color w:val="auto"/>
        </w:rPr>
        <w:lastRenderedPageBreak/>
        <w:t>I</w:t>
      </w:r>
      <w:r w:rsidR="00C56823" w:rsidRPr="00723DA9">
        <w:rPr>
          <w:rFonts w:ascii="Times New Roman" w:hAnsi="Times New Roman" w:cs="Times New Roman"/>
          <w:b/>
          <w:bCs/>
          <w:i/>
          <w:iCs/>
          <w:color w:val="auto"/>
        </w:rPr>
        <w:t>mpacts of CIMSS AMV observations</w:t>
      </w:r>
      <w:bookmarkEnd w:id="242"/>
    </w:p>
    <w:p w14:paraId="6659EE4A" w14:textId="06D1640A" w:rsidR="00C56823" w:rsidRPr="00723DA9" w:rsidRDefault="00C56823" w:rsidP="00771F99">
      <w:pPr>
        <w:spacing w:after="0" w:line="480" w:lineRule="auto"/>
        <w:ind w:firstLine="360"/>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Since the number of CIMSS AMVs peaks around 150hPa in the innermost domain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1c), the surface and low-level wind patterns in </w:t>
      </w:r>
      <w:proofErr w:type="spellStart"/>
      <w:r w:rsidRPr="00723DA9">
        <w:rPr>
          <w:rFonts w:ascii="Times New Roman" w:eastAsia="宋体" w:hAnsi="Times New Roman" w:cs="Times New Roman"/>
          <w:sz w:val="24"/>
          <w:szCs w:val="24"/>
        </w:rPr>
        <w:t>CIMSS_</w:t>
      </w:r>
      <w:r w:rsidRPr="00723DA9">
        <w:rPr>
          <w:rFonts w:ascii="Times New Roman" w:eastAsia="Times New Roman" w:hAnsi="Times New Roman" w:cs="Times New Roman"/>
          <w:bCs/>
          <w:color w:val="000000" w:themeColor="text1"/>
          <w:sz w:val="24"/>
          <w:szCs w:val="24"/>
        </w:rPr>
        <w:t>Only</w:t>
      </w:r>
      <w:proofErr w:type="spellEnd"/>
      <w:r w:rsidRPr="00723DA9">
        <w:rPr>
          <w:rFonts w:ascii="Times New Roman" w:eastAsia="宋体" w:hAnsi="Times New Roman" w:cs="Times New Roman"/>
          <w:sz w:val="24"/>
          <w:szCs w:val="24"/>
        </w:rPr>
        <w:t xml:space="preserve"> are almost identical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through subjective evaluation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2b, d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3b, d).  This similarity is also reflected by the RMSF calculated against the SFMR and FL observations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Because the thermodynamic observations in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are only available at the lower troposphere below 700 hPa from several WP-3D dropsondes, the RMSF against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thermodynamic observations indicates that there is almost no improvement in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in those low levels.  Likely due to that the CIMSS AMVs primarily sampled the environment wind outside 150-km radius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1b),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also does not show significant corrections in the near-core inflow and outflow wind patterns in the SE-NW cross-section as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 4d).  The inner-core thermodynamic structures like the warm-core in </w:t>
      </w:r>
      <w:proofErr w:type="spellStart"/>
      <w:r w:rsidRPr="00723DA9">
        <w:rPr>
          <w:rFonts w:ascii="Times New Roman" w:eastAsia="宋体" w:hAnsi="Times New Roman" w:cs="Times New Roman"/>
          <w:sz w:val="24"/>
          <w:szCs w:val="24"/>
        </w:rPr>
        <w:t>CIMSS_Only</w:t>
      </w:r>
      <w:proofErr w:type="spellEnd"/>
      <w:r w:rsidRPr="00723DA9">
        <w:rPr>
          <w:rFonts w:ascii="Times New Roman" w:eastAsia="宋体" w:hAnsi="Times New Roman" w:cs="Times New Roman"/>
          <w:sz w:val="24"/>
          <w:szCs w:val="24"/>
        </w:rPr>
        <w:t xml:space="preserve"> are also almost identical with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6d).  But the RMSFs against the 3D TDR radial velocity observations and the HDSS wind observations show that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still improves the middle- to upper-level inner-core dynamic structure to some extent.  Additionally, the RMSF against the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wind observations (primarily the operational AMVs, not shown) suggests that the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produces more realistic upper-level environmental wind field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The major adjustment by </w:t>
      </w:r>
      <w:proofErr w:type="spellStart"/>
      <w:r w:rsidRPr="00723DA9">
        <w:rPr>
          <w:rFonts w:ascii="Times New Roman" w:eastAsia="宋体" w:hAnsi="Times New Roman" w:cs="Times New Roman"/>
          <w:sz w:val="24"/>
          <w:szCs w:val="24"/>
        </w:rPr>
        <w:t>CIMSS_Only</w:t>
      </w:r>
      <w:proofErr w:type="spellEnd"/>
      <w:r w:rsidRPr="00723DA9">
        <w:rPr>
          <w:rFonts w:ascii="Times New Roman" w:eastAsia="宋体" w:hAnsi="Times New Roman" w:cs="Times New Roman"/>
          <w:sz w:val="24"/>
          <w:szCs w:val="24"/>
        </w:rPr>
        <w:t xml:space="preserve"> is in the NW quadrant where the overly strong outflow is corrected (e.g.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12b).  </w:t>
      </w:r>
    </w:p>
    <w:p w14:paraId="23178824" w14:textId="674B5237"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forecasted BT structures in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are not significantly improved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during the next 24 hours.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almost comparable with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with only slight size contraction in the BT evolution (e.g.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7d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8d).  At 1800 UTC 23 October, the storm size predicted by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only slightly smaller than that produced by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(e.g. </w:t>
      </w:r>
      <w:r w:rsidRPr="00723DA9">
        <w:rPr>
          <w:rFonts w:ascii="Times New Roman" w:eastAsia="宋体" w:hAnsi="Times New Roman" w:cs="Times New Roman"/>
          <w:sz w:val="24"/>
          <w:szCs w:val="24"/>
        </w:rPr>
        <w:lastRenderedPageBreak/>
        <w:t xml:space="preserve">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9d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10d).  The 3D correlation coefficient against the co-located HRD radar composite also suggests only a slight improvement in the 3D inner-core structure in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Times New Roman" w:hAnsi="Times New Roman" w:cs="Times New Roman"/>
          <w:bCs/>
          <w:color w:val="000000" w:themeColor="text1"/>
          <w:sz w:val="24"/>
          <w:szCs w:val="24"/>
        </w:rPr>
        <w:t xml:space="preserve"> over </w:t>
      </w:r>
      <w:proofErr w:type="spellStart"/>
      <w:r w:rsidRPr="00723DA9">
        <w:rPr>
          <w:rFonts w:ascii="Times New Roman" w:eastAsia="Times New Roman" w:hAnsi="Times New Roman" w:cs="Times New Roman"/>
          <w:bCs/>
          <w:color w:val="000000" w:themeColor="text1"/>
          <w:sz w:val="24"/>
          <w:szCs w:val="24"/>
        </w:rPr>
        <w:t>NoDA</w:t>
      </w:r>
      <w:proofErr w:type="spellEnd"/>
      <w:r w:rsidRPr="00723DA9">
        <w:rPr>
          <w:rFonts w:ascii="Times New Roman" w:eastAsia="Times New Roman" w:hAnsi="Times New Roman" w:cs="Times New Roman"/>
          <w:bCs/>
          <w:color w:val="000000" w:themeColor="text1"/>
          <w:sz w:val="24"/>
          <w:szCs w:val="24"/>
        </w:rPr>
        <w:t xml:space="preserve"> (Table </w:t>
      </w:r>
      <w:r w:rsidR="0049757E" w:rsidRPr="00723DA9">
        <w:rPr>
          <w:rFonts w:ascii="Times New Roman" w:eastAsia="Times New Roman" w:hAnsi="Times New Roman" w:cs="Times New Roman"/>
          <w:bCs/>
          <w:color w:val="000000" w:themeColor="text1"/>
          <w:sz w:val="24"/>
          <w:szCs w:val="24"/>
        </w:rPr>
        <w:t>5.</w:t>
      </w:r>
      <w:r w:rsidRPr="00723DA9">
        <w:rPr>
          <w:rFonts w:ascii="Times New Roman" w:eastAsia="Times New Roman" w:hAnsi="Times New Roman" w:cs="Times New Roman"/>
          <w:bCs/>
          <w:color w:val="000000" w:themeColor="text1"/>
          <w:sz w:val="24"/>
          <w:szCs w:val="24"/>
        </w:rPr>
        <w:t>2)</w:t>
      </w:r>
      <w:r w:rsidRPr="00723DA9">
        <w:rPr>
          <w:rFonts w:ascii="Times New Roman" w:eastAsia="宋体" w:hAnsi="Times New Roman" w:cs="Times New Roman"/>
          <w:sz w:val="24"/>
          <w:szCs w:val="24"/>
        </w:rPr>
        <w:t xml:space="preserve">. This lack of improvements in the predicted structures in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suggests that purely modifying the upper-level environment wind has limited impact on the prediction of short-term TC inner-core structure evolution.  As a result, the Vmax, MSLP and track forecasts of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are almost comparable with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except that the peak Vmax time and the RI rate are now slightly more consistent with the best track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11a~d).</w:t>
      </w:r>
    </w:p>
    <w:p w14:paraId="58CE9F33" w14:textId="3F032B3F" w:rsidR="00C56823" w:rsidRPr="00723DA9" w:rsidRDefault="00657DF2" w:rsidP="00582D73">
      <w:pPr>
        <w:pStyle w:val="Heading3"/>
        <w:numPr>
          <w:ilvl w:val="2"/>
          <w:numId w:val="26"/>
        </w:numPr>
        <w:spacing w:before="160" w:after="160" w:line="480" w:lineRule="auto"/>
        <w:rPr>
          <w:rFonts w:ascii="Times New Roman" w:hAnsi="Times New Roman" w:cs="Times New Roman"/>
          <w:b/>
          <w:bCs/>
          <w:i/>
          <w:iCs/>
          <w:color w:val="auto"/>
        </w:rPr>
      </w:pPr>
      <w:bookmarkStart w:id="243" w:name="_Toc21624015"/>
      <w:r w:rsidRPr="00723DA9">
        <w:rPr>
          <w:rFonts w:ascii="Times New Roman" w:hAnsi="Times New Roman" w:cs="Times New Roman"/>
          <w:b/>
          <w:bCs/>
          <w:i/>
          <w:iCs/>
          <w:color w:val="auto"/>
        </w:rPr>
        <w:t>I</w:t>
      </w:r>
      <w:r w:rsidR="00C56823" w:rsidRPr="00723DA9">
        <w:rPr>
          <w:rFonts w:ascii="Times New Roman" w:hAnsi="Times New Roman" w:cs="Times New Roman"/>
          <w:b/>
          <w:bCs/>
          <w:i/>
          <w:iCs/>
          <w:color w:val="auto"/>
        </w:rPr>
        <w:t>mpact of SFMR observations</w:t>
      </w:r>
      <w:bookmarkEnd w:id="243"/>
    </w:p>
    <w:p w14:paraId="09BE445E" w14:textId="626F1F9B"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Assimilating the surface wind observations in the inner-core region,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shows more significant modifications in the surface vortex structure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as compared to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CIMSS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2e).  For example, the surface RMW is now reduced to about 31-km, and the Vmax is significantly increased as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However, the wind speed at 3-km height is also spuriously strengthened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3e).  This spurious correction is reflected by the increased RMSF against FL observations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and it can be attributed to the biased vertical wind profile in the HWRF model (Tong et al. 2018).  But the RMSFs against the TDR and HDSS wind observations show that the overall 3D inner-core structure produced by SFMR is still improved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(e.g. contracted TC size).  The improvement is reflected by the radial wind pattern in the middle- to low-levels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4e).  E.g.,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reduces the inaccurate middle-level inflow (between 250 to 800 hPa) in the SE of </w:t>
      </w:r>
      <w:proofErr w:type="spellStart"/>
      <w:r w:rsidRPr="00723DA9">
        <w:rPr>
          <w:rFonts w:ascii="Times New Roman" w:eastAsia="宋体" w:hAnsi="Times New Roman" w:cs="Times New Roman"/>
          <w:sz w:val="24"/>
          <w:szCs w:val="24"/>
        </w:rPr>
        <w:t>NoDA</w:t>
      </w:r>
      <w:proofErr w:type="spellEnd"/>
      <w:r w:rsidR="00786C0C">
        <w:rPr>
          <w:rFonts w:ascii="Times New Roman" w:eastAsia="宋体" w:hAnsi="Times New Roman" w:cs="Times New Roman"/>
          <w:sz w:val="24"/>
          <w:szCs w:val="24"/>
        </w:rPr>
        <w:t>.</w:t>
      </w:r>
      <w:r w:rsidRPr="00723DA9">
        <w:rPr>
          <w:rFonts w:ascii="Times New Roman" w:eastAsia="宋体" w:hAnsi="Times New Roman" w:cs="Times New Roman"/>
          <w:sz w:val="24"/>
          <w:szCs w:val="24"/>
        </w:rPr>
        <w:t xml:space="preserve">  Also, the inflow between 600 hPa to 800 hPa in the NW of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enhanced in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although this feature is only partially found and is much weaker in the observations.  In the upper-level, </w:t>
      </w:r>
      <w:proofErr w:type="spellStart"/>
      <w:r w:rsidRPr="00723DA9">
        <w:rPr>
          <w:rFonts w:ascii="Times New Roman" w:eastAsia="宋体" w:hAnsi="Times New Roman" w:cs="Times New Roman"/>
          <w:sz w:val="24"/>
          <w:szCs w:val="24"/>
        </w:rPr>
        <w:lastRenderedPageBreak/>
        <w:t>SFMR_Only</w:t>
      </w:r>
      <w:proofErr w:type="spellEnd"/>
      <w:r w:rsidRPr="00723DA9">
        <w:rPr>
          <w:rFonts w:ascii="Times New Roman" w:eastAsia="宋体" w:hAnsi="Times New Roman" w:cs="Times New Roman"/>
          <w:sz w:val="24"/>
          <w:szCs w:val="24"/>
        </w:rPr>
        <w:t xml:space="preserve"> shows little corrections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the radial wind pattern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5e,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12c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w:t>
      </w:r>
    </w:p>
    <w:p w14:paraId="63517FA5" w14:textId="7EBCDBCC"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In contrast to the aforementioned modifications in the kinematic fields, the RMSFs against the FL, HDSS and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thermodynamic observations suggest that the overall thermodynamic structures analyzed in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are degraded, especially in the moisture field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But the size of the MWC is slightly reduced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6e), somewhat more consistent with the observed as reflected by the RMSF against the HDSS temperature observations.  </w:t>
      </w:r>
    </w:p>
    <w:p w14:paraId="489AD14E" w14:textId="2E8FE2EB"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The forecasted eye and CDO sizes in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are reduced in comparison with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at the early lead times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7e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8e).  Nevertheless, the convections within and around the CDO are weaker than both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and the observations.  Moreover, the size improvement in the BT evolution is gradually lost as the model integrates (not shown).  Consistently, the 24-hour vortex predicted by </w:t>
      </w:r>
      <w:proofErr w:type="spellStart"/>
      <w:r w:rsidRPr="00723DA9">
        <w:rPr>
          <w:rFonts w:ascii="Times New Roman" w:eastAsia="宋体" w:hAnsi="Times New Roman" w:cs="Times New Roman"/>
          <w:sz w:val="24"/>
          <w:szCs w:val="24"/>
        </w:rPr>
        <w:t>SFMR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almost comparable with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both size and wind pattern, except the stronger wind maxima at both surface and 3-km height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9e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10e). Although the Vmax is closer to the best track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11f), the 3-km height wind maximum is stronger than the observations.  This can still be attributed to the HWRF model bias and it leads to a slightly degraded 3D structural forecast (Table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  </w:t>
      </w:r>
    </w:p>
    <w:p w14:paraId="765C7A8B" w14:textId="0A2E68BA"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Altogether, these results suggest that the assimilation of purely 2D surface wind observations in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is primarily helpful for the short-term inner-core structural prediction for Patricia.  When verified against the best track, </w:t>
      </w:r>
      <w:proofErr w:type="spellStart"/>
      <w:r w:rsidRPr="00723DA9">
        <w:rPr>
          <w:rFonts w:ascii="Times New Roman" w:eastAsia="宋体" w:hAnsi="Times New Roman" w:cs="Times New Roman"/>
          <w:sz w:val="24"/>
          <w:szCs w:val="24"/>
        </w:rPr>
        <w:t>SFMR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produces the best Vmax forecasts among all the experiments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11f).  This result is as expected since the assimilation of SFMR observations should primarily modify the surface wind.  With the strongest initial Vmax, </w:t>
      </w:r>
      <w:proofErr w:type="spellStart"/>
      <w:r w:rsidRPr="00723DA9">
        <w:rPr>
          <w:rFonts w:ascii="Times New Roman" w:eastAsia="宋体" w:hAnsi="Times New Roman" w:cs="Times New Roman"/>
          <w:sz w:val="24"/>
          <w:szCs w:val="24"/>
        </w:rPr>
        <w:t>SFMR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produces the highest peak intensity forecast among all the </w:t>
      </w:r>
      <w:r w:rsidRPr="00723DA9">
        <w:rPr>
          <w:rFonts w:ascii="Times New Roman" w:eastAsia="宋体" w:hAnsi="Times New Roman" w:cs="Times New Roman"/>
          <w:sz w:val="24"/>
          <w:szCs w:val="24"/>
        </w:rPr>
        <w:lastRenderedPageBreak/>
        <w:t xml:space="preserve">experiments although its RI rate is slightly reduced as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Finally, the track forecast seems to be almost comparable with the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experiment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11g, h).</w:t>
      </w:r>
    </w:p>
    <w:p w14:paraId="54D62533" w14:textId="25C17586" w:rsidR="00C56823" w:rsidRPr="00723DA9" w:rsidRDefault="00657DF2" w:rsidP="00582D73">
      <w:pPr>
        <w:pStyle w:val="Heading3"/>
        <w:numPr>
          <w:ilvl w:val="2"/>
          <w:numId w:val="26"/>
        </w:numPr>
        <w:spacing w:before="160" w:after="160" w:line="480" w:lineRule="auto"/>
        <w:rPr>
          <w:rFonts w:ascii="Times New Roman" w:hAnsi="Times New Roman" w:cs="Times New Roman"/>
          <w:b/>
          <w:bCs/>
          <w:i/>
          <w:iCs/>
          <w:color w:val="auto"/>
        </w:rPr>
      </w:pPr>
      <w:bookmarkStart w:id="244" w:name="_Toc21624016"/>
      <w:r w:rsidRPr="00723DA9">
        <w:rPr>
          <w:rFonts w:ascii="Times New Roman" w:hAnsi="Times New Roman" w:cs="Times New Roman"/>
          <w:b/>
          <w:bCs/>
          <w:i/>
          <w:iCs/>
          <w:color w:val="auto"/>
        </w:rPr>
        <w:t>I</w:t>
      </w:r>
      <w:r w:rsidR="00C56823" w:rsidRPr="00723DA9">
        <w:rPr>
          <w:rFonts w:ascii="Times New Roman" w:hAnsi="Times New Roman" w:cs="Times New Roman"/>
          <w:b/>
          <w:bCs/>
          <w:i/>
          <w:iCs/>
          <w:color w:val="auto"/>
        </w:rPr>
        <w:t>mpact of FL observations</w:t>
      </w:r>
      <w:bookmarkEnd w:id="244"/>
    </w:p>
    <w:p w14:paraId="365DF55D" w14:textId="0A4B7BD7"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Like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assimilating the 2D inner-core observations in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also produces significant modifications in the wind patterns from the surface to the middle-levels.  For example, the surface RMW is now contracted to about 33-km and the Vmax is increased about 5 ms</w:t>
      </w:r>
      <w:r w:rsidRPr="00723DA9">
        <w:rPr>
          <w:rFonts w:ascii="Times New Roman" w:eastAsia="宋体" w:hAnsi="Times New Roman" w:cs="Times New Roman"/>
          <w:sz w:val="24"/>
          <w:szCs w:val="24"/>
          <w:vertAlign w:val="superscript"/>
        </w:rPr>
        <w:t>-1</w:t>
      </w:r>
      <w:r w:rsidRPr="00723DA9">
        <w:rPr>
          <w:rFonts w:ascii="Times New Roman" w:eastAsia="宋体" w:hAnsi="Times New Roman" w:cs="Times New Roman"/>
          <w:sz w:val="24"/>
          <w:szCs w:val="24"/>
        </w:rPr>
        <w:t xml:space="preserve">, in more agreement with the observations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2f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11f).  Additionally,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reduces the 3-km height wind speed in the SW region of the storm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3f).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4f shows that </w:t>
      </w:r>
      <w:proofErr w:type="spellStart"/>
      <w:r w:rsidRPr="00723DA9">
        <w:rPr>
          <w:rFonts w:ascii="Times New Roman" w:eastAsia="宋体" w:hAnsi="Times New Roman" w:cs="Times New Roman"/>
          <w:sz w:val="24"/>
          <w:szCs w:val="24"/>
        </w:rPr>
        <w:t>FL</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also produces corrections to the middle-level outflow and inflow in the SE and NW sections, respectively.  These improvements in the inner-core dynamics are also reflected by the RMSF against the SFMR, TDR and HDSS wind observations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However, like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barely changes the upper-level wind patterns when verified against the AMVs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5f,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12d, and Fig. </w:t>
      </w:r>
      <w:r w:rsidR="0049757E"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Likely due to the assimilation of additional thermodynamic observations, the RMSFs against the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and HDSS temperature and moisture observations suggest that the inner-core thermodynamic structure produced by </w:t>
      </w:r>
      <w:proofErr w:type="spellStart"/>
      <w:r w:rsidRPr="00723DA9">
        <w:rPr>
          <w:rFonts w:ascii="Times New Roman" w:eastAsia="宋体" w:hAnsi="Times New Roman" w:cs="Times New Roman"/>
          <w:sz w:val="24"/>
          <w:szCs w:val="24"/>
        </w:rPr>
        <w:t>FL</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improved relative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Such an improvement can be consistently found in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6f where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slightly reduces the MWC, and slightly elevates the UWC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w:t>
      </w:r>
    </w:p>
    <w:p w14:paraId="4D9AB079" w14:textId="7B8741BF"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Overall, although both SFMR and FL data sample the TC’s inner-core in the horizontal direction, the additional thermodynamic information in the FL observations produces a better analysis of the TC structure in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compared to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Consequently, while the improvements from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over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gradually diminish over time, the improvements from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last for the next 24 hours of model integration.  For example,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continuously produces small eye (about 45-km in average) and small CDO regions after hours of </w:t>
      </w:r>
      <w:r w:rsidRPr="00723DA9">
        <w:rPr>
          <w:rFonts w:ascii="Times New Roman" w:eastAsia="宋体" w:hAnsi="Times New Roman" w:cs="Times New Roman"/>
          <w:sz w:val="24"/>
          <w:szCs w:val="24"/>
        </w:rPr>
        <w:lastRenderedPageBreak/>
        <w:t xml:space="preserve">spin-up (e.g.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7f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8f).  The contracted storm produces a better fit to the observations than any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CIMSS_Only</w:t>
      </w:r>
      <w:proofErr w:type="spellEnd"/>
      <w:r w:rsidRPr="00723DA9">
        <w:rPr>
          <w:rFonts w:ascii="Times New Roman" w:eastAsia="宋体" w:hAnsi="Times New Roman" w:cs="Times New Roman"/>
          <w:sz w:val="24"/>
          <w:szCs w:val="24"/>
        </w:rPr>
        <w:t xml:space="preserve"> or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experiments.  At 1800 UTC 23 October, the 24-hour forecasted vortex in </w:t>
      </w:r>
      <w:proofErr w:type="spellStart"/>
      <w:r w:rsidRPr="00723DA9">
        <w:rPr>
          <w:rFonts w:ascii="Times New Roman" w:eastAsia="宋体" w:hAnsi="Times New Roman" w:cs="Times New Roman"/>
          <w:sz w:val="24"/>
          <w:szCs w:val="24"/>
        </w:rPr>
        <w:t>FL</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still smaller and fits the observations better than the aforementioned experiments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9f,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10f, and </w:t>
      </w:r>
      <w:r w:rsidR="001A7A61" w:rsidRPr="00723DA9">
        <w:rPr>
          <w:rFonts w:ascii="Times New Roman" w:eastAsia="宋体" w:hAnsi="Times New Roman" w:cs="Times New Roman"/>
          <w:sz w:val="24"/>
          <w:szCs w:val="24"/>
        </w:rPr>
        <w:t>T</w:t>
      </w:r>
      <w:r w:rsidRPr="00723DA9">
        <w:rPr>
          <w:rFonts w:ascii="Times New Roman" w:eastAsia="宋体" w:hAnsi="Times New Roman" w:cs="Times New Roman"/>
          <w:sz w:val="24"/>
          <w:szCs w:val="24"/>
        </w:rPr>
        <w:t xml:space="preserve">able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  However, the size contraction is still not sufficient when compared to the observations.  Moreover, since the corrections from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are primarily in the inner-core region, the convections away from the core region evolve freely as the CDO region contracts.  For instance, there are stronger and larger convective bands between the TC and the coast of Mexico generated around 0200 UTC 23 October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8f), which lasts several hours longer than the observations (not shown).  </w:t>
      </w:r>
    </w:p>
    <w:p w14:paraId="4270FAEF" w14:textId="43EB598A"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Verification against the best track indicates that the intensity forecast in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is only improved relative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within the first 6 hours of model integration, in addition to the better timing of the Vmax peak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11f).  The track forecast at early lead times in </w:t>
      </w:r>
      <w:proofErr w:type="spellStart"/>
      <w:r w:rsidRPr="00723DA9">
        <w:rPr>
          <w:rFonts w:ascii="Times New Roman" w:eastAsia="宋体" w:hAnsi="Times New Roman" w:cs="Times New Roman"/>
          <w:sz w:val="24"/>
          <w:szCs w:val="24"/>
        </w:rPr>
        <w:t>FL</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slightly improved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However, such an improvement is lost at later lead times due to the slower movement after landfall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11g).  Overall, the improvements in the TC structural forecast produced by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do not lead to apparent improvement in Vmax, MSLP or track forecast.</w:t>
      </w:r>
      <w:r w:rsidR="005C2C44">
        <w:rPr>
          <w:rFonts w:ascii="Times New Roman" w:eastAsia="宋体" w:hAnsi="Times New Roman" w:cs="Times New Roman"/>
          <w:sz w:val="24"/>
          <w:szCs w:val="24"/>
        </w:rPr>
        <w:t xml:space="preserve">  Although sampled at different levels, the results between </w:t>
      </w:r>
      <w:proofErr w:type="spellStart"/>
      <w:r w:rsidR="005C2C44">
        <w:rPr>
          <w:rFonts w:ascii="Times New Roman" w:eastAsia="宋体" w:hAnsi="Times New Roman" w:cs="Times New Roman"/>
          <w:sz w:val="24"/>
          <w:szCs w:val="24"/>
        </w:rPr>
        <w:t>FL_Only</w:t>
      </w:r>
      <w:proofErr w:type="spellEnd"/>
      <w:r w:rsidR="005C2C44">
        <w:rPr>
          <w:rFonts w:ascii="Times New Roman" w:eastAsia="宋体" w:hAnsi="Times New Roman" w:cs="Times New Roman"/>
          <w:sz w:val="24"/>
          <w:szCs w:val="24"/>
        </w:rPr>
        <w:t xml:space="preserve"> and </w:t>
      </w:r>
      <w:proofErr w:type="spellStart"/>
      <w:r w:rsidR="005C2C44">
        <w:rPr>
          <w:rFonts w:ascii="Times New Roman" w:eastAsia="宋体" w:hAnsi="Times New Roman" w:cs="Times New Roman"/>
          <w:sz w:val="24"/>
          <w:szCs w:val="24"/>
        </w:rPr>
        <w:t>SFMR_Only</w:t>
      </w:r>
      <w:proofErr w:type="spellEnd"/>
      <w:r w:rsidR="005C2C44">
        <w:rPr>
          <w:rFonts w:ascii="Times New Roman" w:eastAsia="宋体" w:hAnsi="Times New Roman" w:cs="Times New Roman"/>
          <w:sz w:val="24"/>
          <w:szCs w:val="24"/>
        </w:rPr>
        <w:t xml:space="preserve"> suggest the benefits of additional thermal observations upon the pure wind observations in maintaining the structural improvements from the DA analysis during forecast.</w:t>
      </w:r>
    </w:p>
    <w:p w14:paraId="035768A9" w14:textId="1A8EEB90" w:rsidR="00C56823" w:rsidRPr="00723DA9" w:rsidRDefault="00657DF2" w:rsidP="00582D73">
      <w:pPr>
        <w:pStyle w:val="Heading3"/>
        <w:numPr>
          <w:ilvl w:val="2"/>
          <w:numId w:val="26"/>
        </w:numPr>
        <w:spacing w:before="160" w:after="160" w:line="480" w:lineRule="auto"/>
        <w:rPr>
          <w:rFonts w:ascii="Times New Roman" w:hAnsi="Times New Roman" w:cs="Times New Roman"/>
          <w:b/>
          <w:bCs/>
          <w:i/>
          <w:iCs/>
          <w:color w:val="auto"/>
        </w:rPr>
      </w:pPr>
      <w:bookmarkStart w:id="245" w:name="_Toc21624017"/>
      <w:r w:rsidRPr="00723DA9">
        <w:rPr>
          <w:rFonts w:ascii="Times New Roman" w:hAnsi="Times New Roman" w:cs="Times New Roman"/>
          <w:b/>
          <w:bCs/>
          <w:i/>
          <w:iCs/>
          <w:color w:val="auto"/>
        </w:rPr>
        <w:t>I</w:t>
      </w:r>
      <w:r w:rsidR="00C56823" w:rsidRPr="00723DA9">
        <w:rPr>
          <w:rFonts w:ascii="Times New Roman" w:hAnsi="Times New Roman" w:cs="Times New Roman"/>
          <w:b/>
          <w:bCs/>
          <w:i/>
          <w:iCs/>
          <w:color w:val="auto"/>
        </w:rPr>
        <w:t>mpacts of TDR observations</w:t>
      </w:r>
      <w:bookmarkEnd w:id="245"/>
    </w:p>
    <w:p w14:paraId="4B56D9F6" w14:textId="61670C26"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 compared to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assimilating 3D wind observations in </w:t>
      </w:r>
      <w:proofErr w:type="spellStart"/>
      <w:r w:rsidRPr="00723DA9">
        <w:rPr>
          <w:rFonts w:ascii="Times New Roman" w:eastAsia="宋体" w:hAnsi="Times New Roman" w:cs="Times New Roman"/>
          <w:sz w:val="24"/>
          <w:szCs w:val="24"/>
        </w:rPr>
        <w:t>TDR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leads to more contraction in the storm inner-core structures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2g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3g).  The RMW in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(28-km) is even smaller than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(31-km).  In addition to the vortex size corrections,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also modifies radial wind flow in the SE-NW cross-section </w:t>
      </w:r>
      <w:r w:rsidRPr="00723DA9">
        <w:rPr>
          <w:rFonts w:ascii="Times New Roman" w:eastAsia="宋体" w:hAnsi="Times New Roman" w:cs="Times New Roman"/>
          <w:sz w:val="24"/>
          <w:szCs w:val="24"/>
        </w:rPr>
        <w:lastRenderedPageBreak/>
        <w:t xml:space="preserve">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4g).  For example, the middle-level inflow in the SE cross-section is corrected to be an outflow, and the low-level inflow in the NW cross-section (outside the 30-km radius) is corrected to be an outflow.  These middle-level to surface improvements are reflected by the RMSFs against the SFMR and FL wind observations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But in the upper-level,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the NW outflow in </w:t>
      </w:r>
      <w:proofErr w:type="spellStart"/>
      <w:r w:rsidRPr="00723DA9">
        <w:rPr>
          <w:rFonts w:ascii="Times New Roman" w:eastAsia="宋体" w:hAnsi="Times New Roman" w:cs="Times New Roman"/>
          <w:sz w:val="24"/>
          <w:szCs w:val="24"/>
        </w:rPr>
        <w:t>TDR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even more unrealistically strong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4g,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12e).  Even with these degradations in the upper-level outflow, the RMSF against the HDSS wind observations still indicates better analysis of the 3D inner-core dynamic structures than any other aforementioned DA experiment.  </w:t>
      </w:r>
    </w:p>
    <w:p w14:paraId="5DF47F8B" w14:textId="53DFDB51"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Other than improvements in the TC dynamics, positive data impacts are also apparent in the thermodynamic fields.  For example, the two warm-cores in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are reduced in both size and strength, and the center of the UWC is elevated to be between 200~250 hPa, in better agreement with the observations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The only exception concerns the smaller depth of the UWC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6g).  Subsequently, the RMSF against the corresponding HDSS thermodynamic observations is smaller in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However, although the RMSFs against the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and HDSS thermodynamic observations indicate improvements, the RMSFs against the FL moisture and temperature observations s</w:t>
      </w:r>
      <w:r w:rsidRPr="00723DA9">
        <w:rPr>
          <w:rFonts w:ascii="Times New Roman" w:eastAsia="Times New Roman" w:hAnsi="Times New Roman" w:cs="Times New Roman"/>
          <w:bCs/>
          <w:color w:val="000000" w:themeColor="text1"/>
          <w:sz w:val="24"/>
          <w:szCs w:val="24"/>
        </w:rPr>
        <w:t xml:space="preserve">till </w:t>
      </w:r>
      <w:r w:rsidRPr="00723DA9">
        <w:rPr>
          <w:rFonts w:ascii="Times New Roman" w:eastAsia="宋体" w:hAnsi="Times New Roman" w:cs="Times New Roman"/>
          <w:sz w:val="24"/>
          <w:szCs w:val="24"/>
        </w:rPr>
        <w:t xml:space="preserve">suggest some degradations in the TC thermodynamic structure as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Note that the thermodynamic modifications in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are purely from the cross-variable covariances due to the absence of thermodynamic observations.  Such cross-variable corrections may not be accurate in the regions with highly nonlinear processes like the eyewall and rainbands.</w:t>
      </w:r>
    </w:p>
    <w:p w14:paraId="07CDD4C9" w14:textId="05FC8F6E"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Consequently, the early-lead time BT forecasts produced by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are worse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 example, there is no clear eye formed, and the convective bands are less organized as compared to either the observations or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during the 4-hour BT forecast evolution (Fig. </w:t>
      </w:r>
      <w:r w:rsidR="001A7A61" w:rsidRPr="00723DA9">
        <w:rPr>
          <w:rFonts w:ascii="Times New Roman" w:eastAsia="宋体" w:hAnsi="Times New Roman" w:cs="Times New Roman"/>
          <w:sz w:val="24"/>
          <w:szCs w:val="24"/>
        </w:rPr>
        <w:lastRenderedPageBreak/>
        <w:t>5.</w:t>
      </w:r>
      <w:r w:rsidRPr="00723DA9">
        <w:rPr>
          <w:rFonts w:ascii="Times New Roman" w:eastAsia="宋体" w:hAnsi="Times New Roman" w:cs="Times New Roman"/>
          <w:sz w:val="24"/>
          <w:szCs w:val="24"/>
        </w:rPr>
        <w:t xml:space="preserve">7g).  Such a BT evolution reflects the imbalances between the dynamic and the thermodynamic fields in the early lead times.  However, once the balance is re-established 6 or 7 hours later,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produces a storm structure more consistent with the observations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 example, the eye size of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is almost comparable with the observations at hour 8 although the CDO size is slightly smaller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8g).  The modification in the storm size in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can be consistently found in the next 24 hours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9g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10g).  But outside the CDO, when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“cuts off” the connection between the CDO and those convective bands due to size contraction, the convections inherited from the spuriously large background in the data void regions become freely-developed.  For instance, the spiral rainbands in the SW section are incorrectly larger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8g) and the NE convective bands exist much longer (not shown) than the observations.</w:t>
      </w:r>
    </w:p>
    <w:p w14:paraId="7E68DBF6" w14:textId="716C993A"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Verification against the best track data suggests that the intensity forecast in </w:t>
      </w:r>
      <w:proofErr w:type="spellStart"/>
      <w:r w:rsidRPr="00723DA9">
        <w:rPr>
          <w:rFonts w:ascii="Times New Roman" w:eastAsia="宋体" w:hAnsi="Times New Roman" w:cs="Times New Roman"/>
          <w:sz w:val="24"/>
          <w:szCs w:val="24"/>
        </w:rPr>
        <w:t>TDR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not improved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 example, the intensification in Vmax forecast is lagged and the peak intensity is lowered in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in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11j.  The track forecast at the early times is improved in </w:t>
      </w:r>
      <w:proofErr w:type="spellStart"/>
      <w:r w:rsidRPr="00723DA9">
        <w:rPr>
          <w:rFonts w:ascii="Times New Roman" w:eastAsia="宋体" w:hAnsi="Times New Roman" w:cs="Times New Roman"/>
          <w:sz w:val="24"/>
          <w:szCs w:val="24"/>
        </w:rPr>
        <w:t>TDR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as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but is slightly degraded after hour 15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11k, l).  Overall, the improved structural analysis and forecast produced by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do not lead to apparent improvements in the Vmax, MSLP or track forecast</w:t>
      </w:r>
      <w:r w:rsidR="005C2C44" w:rsidRPr="00FA14B9">
        <w:rPr>
          <w:rFonts w:ascii="Times New Roman" w:eastAsia="宋体" w:hAnsi="Times New Roman" w:cs="Times New Roman"/>
          <w:sz w:val="24"/>
          <w:szCs w:val="24"/>
        </w:rPr>
        <w:t>.</w:t>
      </w:r>
      <w:r w:rsidR="005C2C44">
        <w:rPr>
          <w:rFonts w:ascii="Times New Roman" w:eastAsia="宋体" w:hAnsi="Times New Roman" w:cs="Times New Roman"/>
          <w:sz w:val="24"/>
          <w:szCs w:val="24"/>
        </w:rPr>
        <w:t xml:space="preserve">  In comparison to the 2D wind observations sampled by CIMSS AMV and SFMR, TDR has a 3D sampling of the TC inner-core structure with a </w:t>
      </w:r>
      <w:r w:rsidR="00C008FA">
        <w:rPr>
          <w:rFonts w:ascii="Times New Roman" w:eastAsia="宋体" w:hAnsi="Times New Roman" w:cs="Times New Roman"/>
          <w:sz w:val="24"/>
          <w:szCs w:val="24"/>
        </w:rPr>
        <w:t>broader</w:t>
      </w:r>
      <w:r w:rsidR="005C2C44">
        <w:rPr>
          <w:rFonts w:ascii="Times New Roman" w:eastAsia="宋体" w:hAnsi="Times New Roman" w:cs="Times New Roman"/>
          <w:sz w:val="24"/>
          <w:szCs w:val="24"/>
        </w:rPr>
        <w:t xml:space="preserve"> spatial coverage.  Therefore, the results between </w:t>
      </w:r>
      <w:proofErr w:type="spellStart"/>
      <w:r w:rsidR="005C2C44">
        <w:rPr>
          <w:rFonts w:ascii="Times New Roman" w:eastAsia="宋体" w:hAnsi="Times New Roman" w:cs="Times New Roman"/>
          <w:sz w:val="24"/>
          <w:szCs w:val="24"/>
        </w:rPr>
        <w:t>CIMSS_Only</w:t>
      </w:r>
      <w:proofErr w:type="spellEnd"/>
      <w:r w:rsidR="005C2C44">
        <w:rPr>
          <w:rFonts w:ascii="Times New Roman" w:eastAsia="宋体" w:hAnsi="Times New Roman" w:cs="Times New Roman"/>
          <w:sz w:val="24"/>
          <w:szCs w:val="24"/>
        </w:rPr>
        <w:t xml:space="preserve">, </w:t>
      </w:r>
      <w:proofErr w:type="spellStart"/>
      <w:r w:rsidR="005C2C44">
        <w:rPr>
          <w:rFonts w:ascii="Times New Roman" w:eastAsia="宋体" w:hAnsi="Times New Roman" w:cs="Times New Roman"/>
          <w:sz w:val="24"/>
          <w:szCs w:val="24"/>
        </w:rPr>
        <w:t>SFMR_Only</w:t>
      </w:r>
      <w:proofErr w:type="spellEnd"/>
      <w:r w:rsidR="005C2C44">
        <w:rPr>
          <w:rFonts w:ascii="Times New Roman" w:eastAsia="宋体" w:hAnsi="Times New Roman" w:cs="Times New Roman"/>
          <w:sz w:val="24"/>
          <w:szCs w:val="24"/>
        </w:rPr>
        <w:t xml:space="preserve"> and </w:t>
      </w:r>
      <w:proofErr w:type="spellStart"/>
      <w:r w:rsidR="005C2C44">
        <w:rPr>
          <w:rFonts w:ascii="Times New Roman" w:eastAsia="宋体" w:hAnsi="Times New Roman" w:cs="Times New Roman"/>
          <w:sz w:val="24"/>
          <w:szCs w:val="24"/>
        </w:rPr>
        <w:t>TDR_Only</w:t>
      </w:r>
      <w:proofErr w:type="spellEnd"/>
      <w:r w:rsidR="005C2C44">
        <w:rPr>
          <w:rFonts w:ascii="Times New Roman" w:eastAsia="宋体" w:hAnsi="Times New Roman" w:cs="Times New Roman"/>
          <w:sz w:val="24"/>
          <w:szCs w:val="24"/>
        </w:rPr>
        <w:t xml:space="preserve"> suggest the benefits of 3D over 2D observations in maintaining the TC structural analysis improvements during </w:t>
      </w:r>
      <w:r w:rsidR="00C008FA">
        <w:rPr>
          <w:rFonts w:ascii="Times New Roman" w:eastAsia="宋体" w:hAnsi="Times New Roman" w:cs="Times New Roman"/>
          <w:sz w:val="24"/>
          <w:szCs w:val="24"/>
        </w:rPr>
        <w:t xml:space="preserve">the </w:t>
      </w:r>
      <w:r w:rsidR="005C2C44">
        <w:rPr>
          <w:rFonts w:ascii="Times New Roman" w:eastAsia="宋体" w:hAnsi="Times New Roman" w:cs="Times New Roman"/>
          <w:sz w:val="24"/>
          <w:szCs w:val="24"/>
        </w:rPr>
        <w:t>forecasts</w:t>
      </w:r>
      <w:r w:rsidRPr="00723DA9">
        <w:rPr>
          <w:rFonts w:ascii="Times New Roman" w:eastAsia="宋体" w:hAnsi="Times New Roman" w:cs="Times New Roman"/>
          <w:sz w:val="24"/>
          <w:szCs w:val="24"/>
        </w:rPr>
        <w:t>.</w:t>
      </w:r>
    </w:p>
    <w:p w14:paraId="17CB6E5F" w14:textId="4228CAAC" w:rsidR="00C56823" w:rsidRPr="00723DA9" w:rsidRDefault="00657DF2" w:rsidP="00582D73">
      <w:pPr>
        <w:pStyle w:val="Heading3"/>
        <w:numPr>
          <w:ilvl w:val="2"/>
          <w:numId w:val="26"/>
        </w:numPr>
        <w:spacing w:before="160" w:after="160" w:line="480" w:lineRule="auto"/>
        <w:rPr>
          <w:rFonts w:ascii="Times New Roman" w:hAnsi="Times New Roman" w:cs="Times New Roman"/>
          <w:b/>
          <w:bCs/>
          <w:i/>
          <w:iCs/>
          <w:color w:val="auto"/>
        </w:rPr>
      </w:pPr>
      <w:bookmarkStart w:id="246" w:name="_Toc21624018"/>
      <w:r w:rsidRPr="00723DA9">
        <w:rPr>
          <w:rFonts w:ascii="Times New Roman" w:hAnsi="Times New Roman" w:cs="Times New Roman"/>
          <w:b/>
          <w:bCs/>
          <w:i/>
          <w:iCs/>
          <w:color w:val="auto"/>
        </w:rPr>
        <w:lastRenderedPageBreak/>
        <w:t>I</w:t>
      </w:r>
      <w:r w:rsidR="00C56823" w:rsidRPr="00723DA9">
        <w:rPr>
          <w:rFonts w:ascii="Times New Roman" w:hAnsi="Times New Roman" w:cs="Times New Roman"/>
          <w:b/>
          <w:bCs/>
          <w:i/>
          <w:iCs/>
          <w:color w:val="auto"/>
        </w:rPr>
        <w:t>mpact of HDSS dropsonde observations</w:t>
      </w:r>
      <w:bookmarkEnd w:id="246"/>
    </w:p>
    <w:p w14:paraId="7255EBAE" w14:textId="445AC67F"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Similar to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assimilating the 3D HDSS dropsonde observations produces a significantly contracted storm that is more consistent with the observations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2h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3h).  For example, the initial Vmax is stronger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11j), and the storm size in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is even smaller than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(RMW 24-km </w:t>
      </w:r>
      <w:proofErr w:type="spellStart"/>
      <w:r w:rsidRPr="00723DA9">
        <w:rPr>
          <w:rFonts w:ascii="Times New Roman" w:eastAsia="宋体" w:hAnsi="Times New Roman" w:cs="Times New Roman"/>
          <w:sz w:val="24"/>
          <w:szCs w:val="24"/>
        </w:rPr>
        <w:t>v.s</w:t>
      </w:r>
      <w:proofErr w:type="spellEnd"/>
      <w:r w:rsidRPr="00723DA9">
        <w:rPr>
          <w:rFonts w:ascii="Times New Roman" w:eastAsia="宋体" w:hAnsi="Times New Roman" w:cs="Times New Roman"/>
          <w:sz w:val="24"/>
          <w:szCs w:val="24"/>
        </w:rPr>
        <w:t xml:space="preserve">. 28-km).  Additionally,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better captures the wind speed reduction in the SW quadrant of the storm than both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at 3-km height, although the wind maximum is stronger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3h).  As expected, the inner-core dynamic and thermodynamic structures produced by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fits the HDSS dropsondes the best among all the single-type observation DA experiments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4h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6h).  For example, the size and the height of both warm-cores are simulated better than all the aforementioned DA experiments.  Moreover, the unique sampling of the near-storm outflow in HDSS dropsondes ameliorates the upper-level outflow of the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analysis.  For instance, the overly strong upper-level outflow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now reduced to be comparable with CIMSS AMVs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5h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12f).  Such corrections made by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are even better than </w:t>
      </w:r>
      <w:proofErr w:type="spellStart"/>
      <w:r w:rsidRPr="00723DA9">
        <w:rPr>
          <w:rFonts w:ascii="Times New Roman" w:eastAsia="宋体" w:hAnsi="Times New Roman" w:cs="Times New Roman"/>
          <w:sz w:val="24"/>
          <w:szCs w:val="24"/>
        </w:rPr>
        <w:t>CIMSS_Only</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in the NW regions.  These corrections are reflected by the corresponding RMSFs against the CIMSS and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wind observations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13).  Also, the RMSFs against the SFMR, FL and TDR observations show that the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analysis produces the largest improvement in the inner-core structure amongst all single-type observation DA experiments, except the degradation in the RMSF against the FL moisture observations.  The RMSF against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thermodynamic observations indicates that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improves the overall analyzed thermodynamic structure over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w:t>
      </w:r>
    </w:p>
    <w:p w14:paraId="653F62C0" w14:textId="32ADD08F"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 a result of simultaneous improvements in the TC thermodynamics and dynamics,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produces better BT forecasts than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For example, both the eye and CDO </w:t>
      </w:r>
      <w:r w:rsidRPr="00723DA9">
        <w:rPr>
          <w:rFonts w:ascii="Times New Roman" w:eastAsia="宋体" w:hAnsi="Times New Roman" w:cs="Times New Roman"/>
          <w:sz w:val="24"/>
          <w:szCs w:val="24"/>
        </w:rPr>
        <w:lastRenderedPageBreak/>
        <w:t xml:space="preserve">region sizes are consistently smaller during the 24 hours of model integration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7h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8h).  Unlike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the contracted CDO region and a clear eye can be quickly found in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within 4 hours of model integration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7h).  Furthermore, the spurious convective bands found in the NW of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dissipated in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at hour 4 due to the distribution of HDSS observations at the analysis time.  The remaining spurious convective bands primarily originated from the HDSS data sparse regions such as the SE quadrant of the storm.  After 8 hours of model integration, the BT forecasts produced by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can capture the major features from observations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8h).  In addition to the comparably small eye and CDO sizes, a line of spotted convective bands in the SW quadrant and the relatively large NE convective bands can be consistently found in both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and GOES-13 observations.  Although these convective bands are generally larger in size, stronger in strength and have longer lifetime as compared to the observations, the overall BT evolution in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outperforms all the other single-type observation DA experiments in the next 16 hours (not shown).  At forecast hour 24,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Times New Roman" w:hAnsi="Times New Roman" w:cs="Times New Roman"/>
          <w:bCs/>
          <w:color w:val="000000" w:themeColor="text1"/>
          <w:sz w:val="24"/>
          <w:szCs w:val="24"/>
        </w:rPr>
        <w:t xml:space="preserve"> </w:t>
      </w:r>
      <w:r w:rsidRPr="00723DA9">
        <w:rPr>
          <w:rFonts w:ascii="Times New Roman" w:eastAsia="宋体" w:hAnsi="Times New Roman" w:cs="Times New Roman"/>
          <w:sz w:val="24"/>
          <w:szCs w:val="24"/>
        </w:rPr>
        <w:t xml:space="preserve">continues to produce small storm size that is comparable with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(Fig.</w:t>
      </w:r>
      <w:r w:rsidR="001A7A61" w:rsidRPr="00723DA9">
        <w:rPr>
          <w:rFonts w:ascii="Times New Roman" w:eastAsia="宋体" w:hAnsi="Times New Roman" w:cs="Times New Roman"/>
          <w:sz w:val="24"/>
          <w:szCs w:val="24"/>
        </w:rPr>
        <w:t xml:space="preserve"> 5.</w:t>
      </w:r>
      <w:r w:rsidRPr="00723DA9">
        <w:rPr>
          <w:rFonts w:ascii="Times New Roman" w:eastAsia="宋体" w:hAnsi="Times New Roman" w:cs="Times New Roman"/>
          <w:sz w:val="24"/>
          <w:szCs w:val="24"/>
        </w:rPr>
        <w:t xml:space="preserve">9h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10h).  The 3D inner-core structure forecasted by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fits the TDR observations even better than </w:t>
      </w:r>
      <w:proofErr w:type="spellStart"/>
      <w:r w:rsidRPr="00723DA9">
        <w:rPr>
          <w:rFonts w:ascii="Times New Roman" w:eastAsia="宋体" w:hAnsi="Times New Roman" w:cs="Times New Roman"/>
          <w:sz w:val="24"/>
          <w:szCs w:val="24"/>
        </w:rPr>
        <w:t>TDR</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Times New Roman" w:hAnsi="Times New Roman" w:cs="Times New Roman"/>
          <w:bCs/>
          <w:color w:val="000000" w:themeColor="text1"/>
          <w:sz w:val="24"/>
          <w:szCs w:val="24"/>
        </w:rPr>
        <w:t xml:space="preserve"> (Table </w:t>
      </w:r>
      <w:r w:rsidR="001A7A61" w:rsidRPr="00723DA9">
        <w:rPr>
          <w:rFonts w:ascii="Times New Roman" w:eastAsia="Times New Roman" w:hAnsi="Times New Roman" w:cs="Times New Roman"/>
          <w:bCs/>
          <w:color w:val="000000" w:themeColor="text1"/>
          <w:sz w:val="24"/>
          <w:szCs w:val="24"/>
        </w:rPr>
        <w:t>5.</w:t>
      </w:r>
      <w:r w:rsidRPr="00723DA9">
        <w:rPr>
          <w:rFonts w:ascii="Times New Roman" w:eastAsia="Times New Roman" w:hAnsi="Times New Roman" w:cs="Times New Roman"/>
          <w:bCs/>
          <w:color w:val="000000" w:themeColor="text1"/>
          <w:sz w:val="24"/>
          <w:szCs w:val="24"/>
        </w:rPr>
        <w:t>2)</w:t>
      </w:r>
      <w:r w:rsidRPr="00723DA9">
        <w:rPr>
          <w:rFonts w:ascii="Times New Roman" w:eastAsia="宋体" w:hAnsi="Times New Roman" w:cs="Times New Roman"/>
          <w:sz w:val="24"/>
          <w:szCs w:val="24"/>
        </w:rPr>
        <w:t xml:space="preserve">.  This result suggests that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produces not only the best structural analysis but also the best structural prediction up to 24 hours among all the single-type observation DA experiments.  However, like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such an improvement in the structural predication does not lead to apparently improved Vmax, MSLP or track forecast.  For example, although the RI of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is not delayed, the overall Vmax forecast improvement in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compared to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is reflected primarily at the early lead-time and by the corrected timing of peak Vmax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11i, j)</w:t>
      </w:r>
      <w:r w:rsidR="005C2C44" w:rsidRPr="00FA14B9">
        <w:rPr>
          <w:rFonts w:ascii="Times New Roman" w:eastAsia="宋体" w:hAnsi="Times New Roman" w:cs="Times New Roman"/>
          <w:sz w:val="24"/>
          <w:szCs w:val="24"/>
        </w:rPr>
        <w:t xml:space="preserve">.  </w:t>
      </w:r>
      <w:r w:rsidR="005C2C44">
        <w:rPr>
          <w:rFonts w:ascii="Times New Roman" w:eastAsia="宋体" w:hAnsi="Times New Roman" w:cs="Times New Roman"/>
          <w:sz w:val="24"/>
          <w:szCs w:val="24"/>
        </w:rPr>
        <w:t xml:space="preserve">Similar to the differences between </w:t>
      </w:r>
      <w:proofErr w:type="spellStart"/>
      <w:r w:rsidR="005C2C44">
        <w:rPr>
          <w:rFonts w:ascii="Times New Roman" w:eastAsia="宋体" w:hAnsi="Times New Roman" w:cs="Times New Roman"/>
          <w:sz w:val="24"/>
          <w:szCs w:val="24"/>
        </w:rPr>
        <w:t>CIMSS_Only</w:t>
      </w:r>
      <w:proofErr w:type="spellEnd"/>
      <w:r w:rsidR="005C2C44">
        <w:rPr>
          <w:rFonts w:ascii="Times New Roman" w:eastAsia="宋体" w:hAnsi="Times New Roman" w:cs="Times New Roman"/>
          <w:sz w:val="24"/>
          <w:szCs w:val="24"/>
        </w:rPr>
        <w:t xml:space="preserve">, </w:t>
      </w:r>
      <w:proofErr w:type="spellStart"/>
      <w:r w:rsidR="005C2C44">
        <w:rPr>
          <w:rFonts w:ascii="Times New Roman" w:eastAsia="宋体" w:hAnsi="Times New Roman" w:cs="Times New Roman"/>
          <w:sz w:val="24"/>
          <w:szCs w:val="24"/>
        </w:rPr>
        <w:t>SFMR_Only</w:t>
      </w:r>
      <w:proofErr w:type="spellEnd"/>
      <w:r w:rsidR="005C2C44">
        <w:rPr>
          <w:rFonts w:ascii="Times New Roman" w:eastAsia="宋体" w:hAnsi="Times New Roman" w:cs="Times New Roman"/>
          <w:sz w:val="24"/>
          <w:szCs w:val="24"/>
        </w:rPr>
        <w:t xml:space="preserve"> and </w:t>
      </w:r>
      <w:proofErr w:type="spellStart"/>
      <w:r w:rsidR="005C2C44">
        <w:rPr>
          <w:rFonts w:ascii="Times New Roman" w:eastAsia="宋体" w:hAnsi="Times New Roman" w:cs="Times New Roman"/>
          <w:sz w:val="24"/>
          <w:szCs w:val="24"/>
        </w:rPr>
        <w:t>TDR_Only</w:t>
      </w:r>
      <w:proofErr w:type="spellEnd"/>
      <w:r w:rsidR="005C2C44">
        <w:rPr>
          <w:rFonts w:ascii="Times New Roman" w:eastAsia="宋体" w:hAnsi="Times New Roman" w:cs="Times New Roman"/>
          <w:sz w:val="24"/>
          <w:szCs w:val="24"/>
        </w:rPr>
        <w:t xml:space="preserve">, </w:t>
      </w:r>
      <w:r w:rsidR="005C2C44">
        <w:rPr>
          <w:rFonts w:ascii="Times New Roman" w:eastAsia="宋体" w:hAnsi="Times New Roman" w:cs="Times New Roman"/>
          <w:sz w:val="24"/>
          <w:szCs w:val="24"/>
        </w:rPr>
        <w:lastRenderedPageBreak/>
        <w:t xml:space="preserve">the difference between </w:t>
      </w:r>
      <w:proofErr w:type="spellStart"/>
      <w:r w:rsidR="005C2C44">
        <w:rPr>
          <w:rFonts w:ascii="Times New Roman" w:eastAsia="宋体" w:hAnsi="Times New Roman" w:cs="Times New Roman"/>
          <w:sz w:val="24"/>
          <w:szCs w:val="24"/>
        </w:rPr>
        <w:t>FL_Only</w:t>
      </w:r>
      <w:proofErr w:type="spellEnd"/>
      <w:r w:rsidR="005C2C44">
        <w:rPr>
          <w:rFonts w:ascii="Times New Roman" w:eastAsia="宋体" w:hAnsi="Times New Roman" w:cs="Times New Roman"/>
          <w:sz w:val="24"/>
          <w:szCs w:val="24"/>
        </w:rPr>
        <w:t xml:space="preserve"> and </w:t>
      </w:r>
      <w:proofErr w:type="spellStart"/>
      <w:r w:rsidR="005C2C44">
        <w:rPr>
          <w:rFonts w:ascii="Times New Roman" w:eastAsia="宋体" w:hAnsi="Times New Roman" w:cs="Times New Roman"/>
          <w:sz w:val="24"/>
          <w:szCs w:val="24"/>
        </w:rPr>
        <w:t>HDSS_Only</w:t>
      </w:r>
      <w:proofErr w:type="spellEnd"/>
      <w:r w:rsidR="005C2C44">
        <w:rPr>
          <w:rFonts w:ascii="Times New Roman" w:eastAsia="宋体" w:hAnsi="Times New Roman" w:cs="Times New Roman"/>
          <w:sz w:val="24"/>
          <w:szCs w:val="24"/>
        </w:rPr>
        <w:t xml:space="preserve"> also suggests the benefits of 3D over 2D observations in maintaining the TC structure improvements during</w:t>
      </w:r>
      <w:r w:rsidR="00C008FA">
        <w:rPr>
          <w:rFonts w:ascii="Times New Roman" w:eastAsia="宋体" w:hAnsi="Times New Roman" w:cs="Times New Roman"/>
          <w:sz w:val="24"/>
          <w:szCs w:val="24"/>
        </w:rPr>
        <w:t xml:space="preserve"> the</w:t>
      </w:r>
      <w:r w:rsidR="005C2C44">
        <w:rPr>
          <w:rFonts w:ascii="Times New Roman" w:eastAsia="宋体" w:hAnsi="Times New Roman" w:cs="Times New Roman"/>
          <w:sz w:val="24"/>
          <w:szCs w:val="24"/>
        </w:rPr>
        <w:t xml:space="preserve"> forecasts.  Additionally, comparison between </w:t>
      </w:r>
      <w:proofErr w:type="spellStart"/>
      <w:r w:rsidR="005C2C44">
        <w:rPr>
          <w:rFonts w:ascii="Times New Roman" w:eastAsia="宋体" w:hAnsi="Times New Roman" w:cs="Times New Roman"/>
          <w:sz w:val="24"/>
          <w:szCs w:val="24"/>
        </w:rPr>
        <w:t>TDR_Only</w:t>
      </w:r>
      <w:proofErr w:type="spellEnd"/>
      <w:r w:rsidR="005C2C44">
        <w:rPr>
          <w:rFonts w:ascii="Times New Roman" w:eastAsia="宋体" w:hAnsi="Times New Roman" w:cs="Times New Roman"/>
          <w:sz w:val="24"/>
          <w:szCs w:val="24"/>
        </w:rPr>
        <w:t xml:space="preserve"> and </w:t>
      </w:r>
      <w:proofErr w:type="spellStart"/>
      <w:r w:rsidR="005C2C44">
        <w:rPr>
          <w:rFonts w:ascii="Times New Roman" w:eastAsia="宋体" w:hAnsi="Times New Roman" w:cs="Times New Roman"/>
          <w:sz w:val="24"/>
          <w:szCs w:val="24"/>
        </w:rPr>
        <w:t>HDSS_Only</w:t>
      </w:r>
      <w:proofErr w:type="spellEnd"/>
      <w:r w:rsidR="005C2C44">
        <w:rPr>
          <w:rFonts w:ascii="Times New Roman" w:eastAsia="宋体" w:hAnsi="Times New Roman" w:cs="Times New Roman"/>
          <w:sz w:val="24"/>
          <w:szCs w:val="24"/>
        </w:rPr>
        <w:t xml:space="preserve"> also suggests the benefits of additional thermal observations upon the wind observations in efficiently spinning up a storm from the DA analysis</w:t>
      </w:r>
      <w:r w:rsidRPr="00723DA9">
        <w:rPr>
          <w:rFonts w:ascii="Times New Roman" w:eastAsia="宋体" w:hAnsi="Times New Roman" w:cs="Times New Roman"/>
          <w:sz w:val="24"/>
          <w:szCs w:val="24"/>
        </w:rPr>
        <w:t xml:space="preserve">.  </w:t>
      </w:r>
    </w:p>
    <w:p w14:paraId="4BBC595C" w14:textId="797CF6A6" w:rsidR="00C56823" w:rsidRPr="00723DA9" w:rsidRDefault="00657DF2" w:rsidP="00582D73">
      <w:pPr>
        <w:pStyle w:val="Heading3"/>
        <w:numPr>
          <w:ilvl w:val="2"/>
          <w:numId w:val="26"/>
        </w:numPr>
        <w:spacing w:before="160" w:after="160" w:line="480" w:lineRule="auto"/>
        <w:rPr>
          <w:rFonts w:ascii="Times New Roman" w:hAnsi="Times New Roman" w:cs="Times New Roman"/>
          <w:b/>
          <w:bCs/>
          <w:i/>
          <w:iCs/>
          <w:color w:val="auto"/>
        </w:rPr>
      </w:pPr>
      <w:bookmarkStart w:id="247" w:name="_Toc21624019"/>
      <w:r w:rsidRPr="00723DA9">
        <w:rPr>
          <w:rFonts w:ascii="Times New Roman" w:hAnsi="Times New Roman" w:cs="Times New Roman"/>
          <w:b/>
          <w:bCs/>
          <w:i/>
          <w:iCs/>
          <w:color w:val="auto"/>
        </w:rPr>
        <w:t>I</w:t>
      </w:r>
      <w:r w:rsidR="00C56823" w:rsidRPr="00723DA9">
        <w:rPr>
          <w:rFonts w:ascii="Times New Roman" w:hAnsi="Times New Roman" w:cs="Times New Roman"/>
          <w:b/>
          <w:bCs/>
          <w:i/>
          <w:iCs/>
          <w:color w:val="auto"/>
        </w:rPr>
        <w:t>mpacts of all observations</w:t>
      </w:r>
      <w:bookmarkEnd w:id="247"/>
    </w:p>
    <w:p w14:paraId="13BCF0B2" w14:textId="1F30E0E2"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Assimilating all observations together produces the most optimal dynamic structures among all experiments.  For example, the surface wind pattern in All is comparable with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2i).  They are both more consistent with the observations than </w:t>
      </w:r>
      <w:r w:rsidRPr="00723DA9">
        <w:rPr>
          <w:rFonts w:ascii="Times New Roman" w:eastAsia="Times New Roman" w:hAnsi="Times New Roman" w:cs="Times New Roman"/>
          <w:bCs/>
          <w:color w:val="000000" w:themeColor="text1"/>
          <w:sz w:val="24"/>
          <w:szCs w:val="24"/>
        </w:rPr>
        <w:t>other experiments</w:t>
      </w:r>
      <w:r w:rsidRPr="00723DA9">
        <w:rPr>
          <w:rFonts w:ascii="Times New Roman" w:eastAsia="宋体" w:hAnsi="Times New Roman" w:cs="Times New Roman"/>
          <w:sz w:val="24"/>
          <w:szCs w:val="24"/>
        </w:rPr>
        <w:t xml:space="preserve">.  But All outperforms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in several aspects.  For instance, the wind field like the maximum at 3-km height in All is more comparable with the observations than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3i).  Additionally, below 400 hPa and within 30-km radius, All produces slightly weaker inflow in the NW cross-section that fits the HDSS dropsondes even better than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4i).  Such improvements are likely come from the assimilation of additional FL and TDR observations in All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4f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4g).  The upper-level radial wind fields produced by All also fit the observations better than any other experiment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5i).  This better upper-level wind analysis in All can be attributed to the complementary sampling from the HDSS dropsondes and the CIMSS AMVs, where HDSS dropsondes sample more in the inner-core and outflow region, and CIMSS AMVs sample more over the near storm environment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5i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11g).  The analyzed thermodynamic field in All seems to be dominated by the assimilation of the HDSS dropsonde observations, where both warm-cores are more consistent with the observations in size, height and strength than any other experiment except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6i).  These results suggest that assimilating all observations produce the most realistic analysis among all </w:t>
      </w:r>
      <w:r w:rsidRPr="00723DA9">
        <w:rPr>
          <w:rFonts w:ascii="Times New Roman" w:eastAsia="宋体" w:hAnsi="Times New Roman" w:cs="Times New Roman"/>
          <w:sz w:val="24"/>
          <w:szCs w:val="24"/>
        </w:rPr>
        <w:lastRenderedPageBreak/>
        <w:t xml:space="preserve">experiments.  Such benefits are reflected in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13, where All shows the smallest RMSF to all observation types although this RMSF verification is no longer using independent observations.</w:t>
      </w:r>
    </w:p>
    <w:p w14:paraId="526AA113" w14:textId="235CC525"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Consistent with the superior analysis, the corresponding forecasts produced by All outperform all other experiments in several aspects as well.  For example, like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both the eye size and storm size in All are more comparable with the observations than other experiments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7i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8i).  With the near storm environmental information from the CIMSS AMVs, All also produces further improved BT fields as compared to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in addition to the size contraction.  Such an improvement is reflected in the less spurious convection in the E and NE portions of storm in the early hours (e.g.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7i), although the well-organized eye is formed about one hour later in All than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Consistently, after hour 8, the spiral rainbands in the NE and SW side of the storm in All are weaker and more realistic than </w:t>
      </w:r>
      <w:proofErr w:type="spellStart"/>
      <w:r w:rsidRPr="00723DA9">
        <w:rPr>
          <w:rFonts w:ascii="Times New Roman" w:eastAsia="宋体" w:hAnsi="Times New Roman" w:cs="Times New Roman"/>
          <w:sz w:val="24"/>
          <w:szCs w:val="24"/>
        </w:rPr>
        <w:t>HDSS</w:t>
      </w:r>
      <w:r w:rsidRPr="00723DA9">
        <w:rPr>
          <w:rFonts w:ascii="Times New Roman" w:eastAsia="Times New Roman" w:hAnsi="Times New Roman" w:cs="Times New Roman"/>
          <w:bCs/>
          <w:color w:val="000000" w:themeColor="text1"/>
          <w:sz w:val="24"/>
          <w:szCs w:val="24"/>
        </w:rPr>
        <w:t>_Only</w:t>
      </w:r>
      <w:proofErr w:type="spellEnd"/>
      <w:r w:rsidRPr="00723DA9">
        <w:rPr>
          <w:rFonts w:ascii="Times New Roman" w:eastAsia="宋体" w:hAnsi="Times New Roman" w:cs="Times New Roman"/>
          <w:sz w:val="24"/>
          <w:szCs w:val="24"/>
        </w:rPr>
        <w:t xml:space="preserv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8i).  Overall, All produces the best BT evolution during the first 24 hours among all experiments.  At 1800 UTC 23 October, the 3-km wind maxima in All is now reduced to be in agreement with the HRD radar composite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10i) and the storm size is the smallest among all the experiments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9i and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10i).  Consistently, the All forecast produces the highest 3D correlation coefficients (Table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2).  In general, assimilating all the observations leads to analysis and forecast of the TC structure that are superior to the individual data addition experiments.</w:t>
      </w:r>
    </w:p>
    <w:p w14:paraId="5FB22985" w14:textId="209D8CE7"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Verification against the best track data suggests the improvement on intensity forecast are more limited than the structural forecast improvement.  For example, the Vmax forecasts are improved for the first several hours and the timing of the peak Vmax is also corrected (Fig </w:t>
      </w:r>
      <w:r w:rsidR="001A7A61" w:rsidRPr="00723DA9">
        <w:rPr>
          <w:rFonts w:ascii="Times New Roman" w:eastAsia="宋体" w:hAnsi="Times New Roman" w:cs="Times New Roman"/>
          <w:sz w:val="24"/>
          <w:szCs w:val="24"/>
        </w:rPr>
        <w:t>5.</w:t>
      </w:r>
      <w:r w:rsidRPr="00723DA9">
        <w:rPr>
          <w:rFonts w:ascii="Times New Roman" w:eastAsia="宋体" w:hAnsi="Times New Roman" w:cs="Times New Roman"/>
          <w:sz w:val="24"/>
          <w:szCs w:val="24"/>
        </w:rPr>
        <w:t xml:space="preserve">11).  These results suggest that commonly used intensity verification metrics like surface Vmax and MSLP may not be sufficient for a TC forecast evaluation.  The size, the 3D structure and the </w:t>
      </w:r>
      <w:r w:rsidRPr="00723DA9">
        <w:rPr>
          <w:rFonts w:ascii="Times New Roman" w:eastAsia="宋体" w:hAnsi="Times New Roman" w:cs="Times New Roman"/>
          <w:sz w:val="24"/>
          <w:szCs w:val="24"/>
        </w:rPr>
        <w:lastRenderedPageBreak/>
        <w:t>near-surface wind speed are important variables that need to be considered for future TC forecast evaluation.</w:t>
      </w:r>
    </w:p>
    <w:p w14:paraId="50EFC86E" w14:textId="6ACC2521" w:rsidR="00C56823" w:rsidRPr="00723DA9" w:rsidRDefault="00C56823" w:rsidP="00582D73">
      <w:pPr>
        <w:pStyle w:val="Heading2"/>
        <w:numPr>
          <w:ilvl w:val="1"/>
          <w:numId w:val="24"/>
        </w:numPr>
        <w:spacing w:line="480" w:lineRule="auto"/>
        <w:ind w:left="0" w:firstLine="0"/>
        <w:rPr>
          <w:rFonts w:ascii="Times New Roman" w:hAnsi="Times New Roman" w:cs="Times New Roman"/>
          <w:b/>
          <w:bCs/>
          <w:color w:val="auto"/>
          <w:sz w:val="24"/>
          <w:szCs w:val="24"/>
        </w:rPr>
      </w:pPr>
      <w:bookmarkStart w:id="248" w:name="OLE_LINK18"/>
      <w:bookmarkStart w:id="249" w:name="_Toc21624020"/>
      <w:bookmarkEnd w:id="248"/>
      <w:r w:rsidRPr="00723DA9">
        <w:rPr>
          <w:rFonts w:ascii="Times New Roman" w:hAnsi="Times New Roman" w:cs="Times New Roman"/>
          <w:b/>
          <w:bCs/>
          <w:color w:val="auto"/>
          <w:sz w:val="24"/>
          <w:szCs w:val="24"/>
        </w:rPr>
        <w:t>Summary and Discussion</w:t>
      </w:r>
      <w:bookmarkEnd w:id="249"/>
    </w:p>
    <w:p w14:paraId="19E8FA22" w14:textId="43CF06FB"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Using the upgraded GSI-based, continuously cycled, dual-resolution hybrid </w:t>
      </w:r>
      <w:proofErr w:type="spellStart"/>
      <w:r w:rsidRPr="00723DA9">
        <w:rPr>
          <w:rFonts w:ascii="Times New Roman" w:eastAsia="宋体" w:hAnsi="Times New Roman" w:cs="Times New Roman"/>
          <w:sz w:val="24"/>
          <w:szCs w:val="24"/>
        </w:rPr>
        <w:t>EnKF</w:t>
      </w:r>
      <w:proofErr w:type="spellEnd"/>
      <w:r w:rsidRPr="00723DA9">
        <w:rPr>
          <w:rFonts w:ascii="Times New Roman" w:eastAsia="宋体" w:hAnsi="Times New Roman" w:cs="Times New Roman"/>
          <w:sz w:val="24"/>
          <w:szCs w:val="24"/>
        </w:rPr>
        <w:t xml:space="preserve">-Var DA system for HWRF, this </w:t>
      </w:r>
      <w:r w:rsidR="00B84992">
        <w:rPr>
          <w:rFonts w:ascii="Times New Roman" w:eastAsia="宋体" w:hAnsi="Times New Roman" w:cs="Times New Roman"/>
          <w:sz w:val="24"/>
          <w:szCs w:val="24"/>
        </w:rPr>
        <w:t>chapter</w:t>
      </w:r>
      <w:r w:rsidRPr="00723DA9">
        <w:rPr>
          <w:rFonts w:ascii="Times New Roman" w:eastAsia="宋体" w:hAnsi="Times New Roman" w:cs="Times New Roman"/>
          <w:sz w:val="24"/>
          <w:szCs w:val="24"/>
        </w:rPr>
        <w:t xml:space="preserve"> investigates the data impacts of various types of observations including those collected from the recent field campaigns from NOAA IFEX and ONR TCI programs and CIMSS AMVs on the analysis and prediction for hurricane Patricia (2015). </w:t>
      </w:r>
      <w:r w:rsidRPr="00723DA9">
        <w:rPr>
          <w:rFonts w:ascii="Times New Roman" w:hAnsi="Times New Roman" w:cs="Times New Roman"/>
          <w:color w:val="000000" w:themeColor="text1"/>
          <w:sz w:val="24"/>
          <w:szCs w:val="24"/>
        </w:rPr>
        <w:t xml:space="preserve"> </w:t>
      </w:r>
      <w:r w:rsidR="005C2C44" w:rsidRPr="00723DA9">
        <w:rPr>
          <w:rFonts w:ascii="Times New Roman" w:hAnsi="Times New Roman" w:cs="Times New Roman"/>
          <w:color w:val="000000" w:themeColor="text1"/>
          <w:sz w:val="24"/>
          <w:szCs w:val="24"/>
        </w:rPr>
        <w:t>S</w:t>
      </w:r>
      <w:r w:rsidR="005C2C44" w:rsidRPr="00723DA9">
        <w:rPr>
          <w:rFonts w:ascii="Times New Roman" w:eastAsia="宋体" w:hAnsi="Times New Roman" w:cs="Times New Roman"/>
          <w:sz w:val="24"/>
          <w:szCs w:val="24"/>
        </w:rPr>
        <w:t xml:space="preserve">ince this is a single-case study with one DA cycle, generalization of the impact results requires some cautions.  This study does not aim to draw any statistically robust conclusion for the data impacts. Instead, the primary goal is to improve the physical understanding of the relative importance of these various types of observations on the analysis and prediction of different aspects of the storm.  </w:t>
      </w:r>
      <w:r w:rsidRPr="00723DA9">
        <w:rPr>
          <w:rFonts w:ascii="Times New Roman" w:hAnsi="Times New Roman" w:cs="Times New Roman"/>
          <w:color w:val="000000" w:themeColor="text1"/>
          <w:sz w:val="24"/>
          <w:szCs w:val="24"/>
        </w:rPr>
        <w:t xml:space="preserve">  </w:t>
      </w:r>
      <w:r w:rsidRPr="00723DA9">
        <w:rPr>
          <w:rFonts w:ascii="Times New Roman" w:eastAsia="宋体" w:hAnsi="Times New Roman" w:cs="Times New Roman"/>
          <w:sz w:val="24"/>
          <w:szCs w:val="24"/>
        </w:rPr>
        <w:t xml:space="preserve">  </w:t>
      </w:r>
    </w:p>
    <w:p w14:paraId="19D0997C" w14:textId="77777777"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While the background produced through the continuously cycled hybrid DA system produces a weak and large hurricane in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assimilating different types of observations impacts different aspects of the TC analysis and prediction: (1)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primarily improves the upper-level environment wind upon </w:t>
      </w:r>
      <w:proofErr w:type="spellStart"/>
      <w:r w:rsidRPr="00723DA9">
        <w:rPr>
          <w:rFonts w:ascii="Times New Roman" w:eastAsia="宋体" w:hAnsi="Times New Roman" w:cs="Times New Roman"/>
          <w:sz w:val="24"/>
          <w:szCs w:val="24"/>
        </w:rPr>
        <w:t>NoDA</w:t>
      </w:r>
      <w:proofErr w:type="spellEnd"/>
      <w:r w:rsidRPr="00723DA9">
        <w:rPr>
          <w:rFonts w:ascii="Times New Roman" w:eastAsia="宋体" w:hAnsi="Times New Roman" w:cs="Times New Roman"/>
          <w:sz w:val="24"/>
          <w:szCs w:val="24"/>
        </w:rPr>
        <w:t xml:space="preserve"> in the analysis, but produces early RW and early landfall; (2) </w:t>
      </w:r>
      <w:proofErr w:type="spellStart"/>
      <w:r w:rsidRPr="00723DA9">
        <w:rPr>
          <w:rFonts w:ascii="Times New Roman" w:eastAsia="宋体" w:hAnsi="Times New Roman" w:cs="Times New Roman"/>
          <w:sz w:val="24"/>
          <w:szCs w:val="24"/>
        </w:rPr>
        <w:t>CIMSS_Only</w:t>
      </w:r>
      <w:proofErr w:type="spellEnd"/>
      <w:r w:rsidRPr="00723DA9">
        <w:rPr>
          <w:rFonts w:ascii="Times New Roman" w:eastAsia="宋体" w:hAnsi="Times New Roman" w:cs="Times New Roman"/>
          <w:sz w:val="24"/>
          <w:szCs w:val="24"/>
        </w:rPr>
        <w:t xml:space="preserve"> shows further improved upper-level environmental analysis upon </w:t>
      </w:r>
      <w:proofErr w:type="spellStart"/>
      <w:r w:rsidRPr="00723DA9">
        <w:rPr>
          <w:rFonts w:ascii="Times New Roman" w:eastAsia="宋体" w:hAnsi="Times New Roman" w:cs="Times New Roman"/>
          <w:sz w:val="24"/>
          <w:szCs w:val="24"/>
        </w:rPr>
        <w:t>OperH</w:t>
      </w:r>
      <w:proofErr w:type="spellEnd"/>
      <w:r w:rsidRPr="00723DA9">
        <w:rPr>
          <w:rFonts w:ascii="Times New Roman" w:eastAsia="宋体" w:hAnsi="Times New Roman" w:cs="Times New Roman"/>
          <w:sz w:val="24"/>
          <w:szCs w:val="24"/>
        </w:rPr>
        <w:t xml:space="preserve">, however, these improvements are short-lived; (3)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significantly modifies the surface wind structure in the analysis.  Although these surface structure improvements cannot be maintained during the forecast,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produces the best Vmax forecast among all experiments; (4)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considerably modifies the inner-core structures in the lower troposphere, and these inner-core structure modifications can be consistently found in the model forecasts up to hour 24; (5)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has more significant corrections in the 3D TC inner-core </w:t>
      </w:r>
      <w:r w:rsidRPr="00723DA9">
        <w:rPr>
          <w:rFonts w:ascii="Times New Roman" w:eastAsia="宋体" w:hAnsi="Times New Roman" w:cs="Times New Roman"/>
          <w:sz w:val="24"/>
          <w:szCs w:val="24"/>
        </w:rPr>
        <w:lastRenderedPageBreak/>
        <w:t xml:space="preserve">dynamic structures than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and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But given the lack of adequate thermodynamic corrections,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degrades the early lead-time thermodynamic structure prediction and delays the RI; (6)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produces comparable 3D dynamic structures as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in the inner-core region. In addition,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further modifies the inner-core thermodynamic structures as well as the upper-level outflow.  Consequently,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produces the best structure analysis and forecast among all the single-type observation experiments; (7) All further outperforms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in both structure analysis and forecast due to the complementary effects from combining all observations in consideration; (8) Although lots of these aforementioned experiments show apparent improvements of the structure in both the analysis and forecast, such structural improvements are not necessarily directly translated into the Vmax and MSLP forecast  improvements.  In fact, most of the experiments do not show much of improvement on the peak intensity value although some experiments demonstrate intensity improvements for the first several hours and some demonstrate corrections in the timing of peak intensity.</w:t>
      </w:r>
    </w:p>
    <w:p w14:paraId="729CE730" w14:textId="20AC7BA3" w:rsidR="00C56823" w:rsidRPr="00723DA9" w:rsidRDefault="00C56823" w:rsidP="00771F99">
      <w:pPr>
        <w:spacing w:after="0" w:line="480" w:lineRule="auto"/>
        <w:ind w:firstLine="432"/>
        <w:rPr>
          <w:rFonts w:ascii="Times New Roman" w:eastAsia="宋体" w:hAnsi="Times New Roman" w:cs="Times New Roman"/>
          <w:sz w:val="24"/>
          <w:szCs w:val="24"/>
        </w:rPr>
      </w:pPr>
      <w:r w:rsidRPr="00723DA9">
        <w:rPr>
          <w:rFonts w:ascii="Times New Roman" w:eastAsia="宋体" w:hAnsi="Times New Roman" w:cs="Times New Roman"/>
          <w:sz w:val="24"/>
          <w:szCs w:val="24"/>
        </w:rPr>
        <w:t xml:space="preserve">Overall, this study </w:t>
      </w:r>
      <w:r w:rsidR="00826D13" w:rsidRPr="00723DA9">
        <w:rPr>
          <w:rFonts w:ascii="Times New Roman" w:eastAsia="宋体" w:hAnsi="Times New Roman" w:cs="Times New Roman"/>
          <w:sz w:val="24"/>
          <w:szCs w:val="24"/>
        </w:rPr>
        <w:t>hints</w:t>
      </w:r>
      <w:r w:rsidRPr="00723DA9">
        <w:rPr>
          <w:rFonts w:ascii="Times New Roman" w:eastAsia="宋体" w:hAnsi="Times New Roman" w:cs="Times New Roman"/>
          <w:sz w:val="24"/>
          <w:szCs w:val="24"/>
        </w:rPr>
        <w:t xml:space="preserve"> that (1) Assimilating observations that only sample the 2D structures of the storm can improve the TC structure analysis, but the improvement is not as large as that produced by assimilating 3D observations (e.g. </w:t>
      </w:r>
      <w:proofErr w:type="spellStart"/>
      <w:r w:rsidRPr="00723DA9">
        <w:rPr>
          <w:rFonts w:ascii="Times New Roman" w:eastAsia="宋体" w:hAnsi="Times New Roman" w:cs="Times New Roman"/>
          <w:sz w:val="24"/>
          <w:szCs w:val="24"/>
        </w:rPr>
        <w:t>CIMSS_Only</w:t>
      </w:r>
      <w:proofErr w:type="spellEnd"/>
      <w:r w:rsidRPr="00723DA9">
        <w:rPr>
          <w:rFonts w:ascii="Times New Roman" w:eastAsia="宋体" w:hAnsi="Times New Roman" w:cs="Times New Roman"/>
          <w:sz w:val="24"/>
          <w:szCs w:val="24"/>
        </w:rPr>
        <w:t xml:space="preserve"> &amp;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v.s</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v.s</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(2) Assimilating observations that purely samples the momentum field can correct the inner-core thermodynamic structure to some extent through the cross-variable covariance.  However, compared to assimilating observations that sample both the momentum and thermodynamic fields, such corrections can be shorter-lived (e.g. </w:t>
      </w:r>
      <w:proofErr w:type="spellStart"/>
      <w:r w:rsidRPr="00723DA9">
        <w:rPr>
          <w:rFonts w:ascii="Times New Roman" w:eastAsia="宋体" w:hAnsi="Times New Roman" w:cs="Times New Roman"/>
          <w:sz w:val="24"/>
          <w:szCs w:val="24"/>
        </w:rPr>
        <w:t>SFMR_Only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v.s</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FL_Only</w:t>
      </w:r>
      <w:proofErr w:type="spellEnd"/>
      <w:r w:rsidRPr="00723DA9">
        <w:rPr>
          <w:rFonts w:ascii="Times New Roman" w:eastAsia="宋体" w:hAnsi="Times New Roman" w:cs="Times New Roman"/>
          <w:sz w:val="24"/>
          <w:szCs w:val="24"/>
        </w:rPr>
        <w:t xml:space="preserve">) or be associated with slow spin-up (e.g. </w:t>
      </w:r>
      <w:proofErr w:type="spellStart"/>
      <w:r w:rsidRPr="00723DA9">
        <w:rPr>
          <w:rFonts w:ascii="Times New Roman" w:eastAsia="宋体" w:hAnsi="Times New Roman" w:cs="Times New Roman"/>
          <w:sz w:val="24"/>
          <w:szCs w:val="24"/>
        </w:rPr>
        <w:t>TDR_Only</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v.s</w:t>
      </w:r>
      <w:proofErr w:type="spellEnd"/>
      <w:r w:rsidRPr="00723DA9">
        <w:rPr>
          <w:rFonts w:ascii="Times New Roman" w:eastAsia="宋体" w:hAnsi="Times New Roman" w:cs="Times New Roman"/>
          <w:sz w:val="24"/>
          <w:szCs w:val="24"/>
        </w:rPr>
        <w:t xml:space="preserve">. </w:t>
      </w:r>
      <w:proofErr w:type="spellStart"/>
      <w:r w:rsidRPr="00723DA9">
        <w:rPr>
          <w:rFonts w:ascii="Times New Roman" w:eastAsia="宋体" w:hAnsi="Times New Roman" w:cs="Times New Roman"/>
          <w:sz w:val="24"/>
          <w:szCs w:val="24"/>
        </w:rPr>
        <w:t>HDSS_Only</w:t>
      </w:r>
      <w:proofErr w:type="spellEnd"/>
      <w:r w:rsidRPr="00723DA9">
        <w:rPr>
          <w:rFonts w:ascii="Times New Roman" w:eastAsia="宋体" w:hAnsi="Times New Roman" w:cs="Times New Roman"/>
          <w:sz w:val="24"/>
          <w:szCs w:val="24"/>
        </w:rPr>
        <w:t xml:space="preserve">); (3) The </w:t>
      </w:r>
      <w:r w:rsidRPr="00723DA9">
        <w:rPr>
          <w:rFonts w:ascii="Times New Roman" w:eastAsia="宋体" w:hAnsi="Times New Roman" w:cs="Times New Roman"/>
          <w:sz w:val="24"/>
          <w:szCs w:val="24"/>
        </w:rPr>
        <w:lastRenderedPageBreak/>
        <w:t>inconsistency of the data impact on the intensity and structural forecast implies that future TC forecast evaluation would need to consider multiple verification metrics at once.</w:t>
      </w:r>
    </w:p>
    <w:p w14:paraId="18FFC50F" w14:textId="5C390F6E" w:rsidR="00C56823" w:rsidRPr="00723DA9" w:rsidRDefault="00C56823" w:rsidP="00771F99">
      <w:pPr>
        <w:spacing w:after="0" w:line="480" w:lineRule="auto"/>
        <w:ind w:firstLine="432"/>
        <w:rPr>
          <w:rFonts w:ascii="Times New Roman" w:hAnsi="Times New Roman" w:cs="Times New Roman"/>
          <w:color w:val="000000"/>
          <w:sz w:val="24"/>
          <w:szCs w:val="24"/>
        </w:rPr>
      </w:pPr>
      <w:r w:rsidRPr="00723DA9">
        <w:rPr>
          <w:rFonts w:ascii="Times New Roman" w:eastAsia="宋体" w:hAnsi="Times New Roman" w:cs="Times New Roman"/>
          <w:sz w:val="24"/>
          <w:szCs w:val="24"/>
        </w:rPr>
        <w:t xml:space="preserve">Additionally, </w:t>
      </w:r>
      <w:r w:rsidR="00E22E12" w:rsidRPr="00723DA9">
        <w:rPr>
          <w:rFonts w:ascii="Times New Roman" w:eastAsia="宋体" w:hAnsi="Times New Roman" w:cs="Times New Roman"/>
          <w:sz w:val="24"/>
          <w:szCs w:val="24"/>
        </w:rPr>
        <w:t>Chapter</w:t>
      </w:r>
      <w:r w:rsidR="00403CAF" w:rsidRPr="00723DA9">
        <w:rPr>
          <w:rFonts w:ascii="Times New Roman" w:eastAsia="宋体" w:hAnsi="Times New Roman" w:cs="Times New Roman"/>
          <w:sz w:val="24"/>
          <w:szCs w:val="24"/>
        </w:rPr>
        <w:t xml:space="preserve"> 4</w:t>
      </w:r>
      <w:r w:rsidRPr="00723DA9">
        <w:rPr>
          <w:rFonts w:ascii="Times New Roman" w:eastAsia="宋体" w:hAnsi="Times New Roman" w:cs="Times New Roman"/>
          <w:sz w:val="24"/>
          <w:szCs w:val="24"/>
        </w:rPr>
        <w:t xml:space="preserve"> suggests that the model resolution can be a critical factor to influence the predicted peak intensity for small hurricanes like Patricia.  Therefore, additional experiments are also conducted in this study </w:t>
      </w:r>
      <w:r w:rsidRPr="00723DA9">
        <w:rPr>
          <w:rFonts w:ascii="Times New Roman" w:hAnsi="Times New Roman" w:cs="Times New Roman"/>
          <w:color w:val="000000" w:themeColor="text1"/>
          <w:sz w:val="24"/>
          <w:szCs w:val="24"/>
        </w:rPr>
        <w:t xml:space="preserve">and the results show that increasing model resolution significantly improves the intensity forecasts for all experiments </w:t>
      </w:r>
      <w:r w:rsidRPr="00723DA9">
        <w:rPr>
          <w:rFonts w:ascii="Times New Roman" w:eastAsia="宋体" w:hAnsi="Times New Roman" w:cs="Times New Roman"/>
          <w:sz w:val="24"/>
          <w:szCs w:val="24"/>
        </w:rPr>
        <w:t>(Not shown)</w:t>
      </w:r>
      <w:r w:rsidRPr="00723DA9">
        <w:rPr>
          <w:rFonts w:ascii="Times New Roman" w:hAnsi="Times New Roman" w:cs="Times New Roman"/>
          <w:color w:val="000000" w:themeColor="text1"/>
          <w:sz w:val="24"/>
          <w:szCs w:val="24"/>
        </w:rPr>
        <w:t xml:space="preserve">. But the relative data impacts remain nearly the same except for </w:t>
      </w:r>
      <w:proofErr w:type="spellStart"/>
      <w:r w:rsidRPr="00723DA9">
        <w:rPr>
          <w:rFonts w:ascii="Times New Roman" w:hAnsi="Times New Roman" w:cs="Times New Roman"/>
          <w:color w:val="000000" w:themeColor="text1"/>
          <w:sz w:val="24"/>
          <w:szCs w:val="24"/>
        </w:rPr>
        <w:t>TDR_Only</w:t>
      </w:r>
      <w:proofErr w:type="spellEnd"/>
      <w:r w:rsidRPr="00723DA9">
        <w:rPr>
          <w:rFonts w:ascii="Times New Roman" w:hAnsi="Times New Roman" w:cs="Times New Roman"/>
          <w:color w:val="000000" w:themeColor="text1"/>
          <w:sz w:val="24"/>
          <w:szCs w:val="24"/>
        </w:rPr>
        <w:t xml:space="preserve">, </w:t>
      </w:r>
      <w:proofErr w:type="spellStart"/>
      <w:r w:rsidRPr="00723DA9">
        <w:rPr>
          <w:rFonts w:ascii="Times New Roman" w:hAnsi="Times New Roman" w:cs="Times New Roman"/>
          <w:color w:val="000000" w:themeColor="text1"/>
          <w:sz w:val="24"/>
          <w:szCs w:val="24"/>
        </w:rPr>
        <w:t>HDSS_Only</w:t>
      </w:r>
      <w:proofErr w:type="spellEnd"/>
      <w:r w:rsidRPr="00723DA9">
        <w:rPr>
          <w:rFonts w:ascii="Times New Roman" w:hAnsi="Times New Roman" w:cs="Times New Roman"/>
          <w:color w:val="000000" w:themeColor="text1"/>
          <w:sz w:val="24"/>
          <w:szCs w:val="24"/>
        </w:rPr>
        <w:t xml:space="preserve"> and All.  Further extensive experiments regarding the impact of high-resolution configurations are still needed. </w:t>
      </w:r>
      <w:r w:rsidR="005C2C44">
        <w:rPr>
          <w:rFonts w:ascii="Times New Roman" w:hAnsi="Times New Roman" w:cs="Times New Roman"/>
          <w:color w:val="000000" w:themeColor="text1"/>
          <w:sz w:val="24"/>
          <w:szCs w:val="24"/>
        </w:rPr>
        <w:t xml:space="preserve"> </w:t>
      </w:r>
      <w:r w:rsidRPr="00723DA9">
        <w:rPr>
          <w:rFonts w:ascii="Times New Roman" w:hAnsi="Times New Roman" w:cs="Times New Roman"/>
          <w:color w:val="000000" w:themeColor="text1"/>
          <w:sz w:val="24"/>
          <w:szCs w:val="24"/>
        </w:rPr>
        <w:t>In addition, a f</w:t>
      </w:r>
      <w:r w:rsidRPr="00723DA9">
        <w:rPr>
          <w:rFonts w:ascii="Times New Roman" w:eastAsia="宋体" w:hAnsi="Times New Roman" w:cs="Times New Roman"/>
          <w:sz w:val="24"/>
          <w:szCs w:val="24"/>
        </w:rPr>
        <w:t>urther study on how different combinations of each type of observations can help improve the TC analysis and prediction are planned in future papers.</w:t>
      </w:r>
    </w:p>
    <w:p w14:paraId="66E60A42" w14:textId="222477CB" w:rsidR="00C56823" w:rsidRPr="00723DA9" w:rsidRDefault="00C56823" w:rsidP="00771F99">
      <w:pPr>
        <w:spacing w:after="0" w:line="480" w:lineRule="auto"/>
        <w:rPr>
          <w:rFonts w:ascii="Times New Roman" w:hAnsi="Times New Roman" w:cs="Times New Roman"/>
        </w:rPr>
      </w:pPr>
      <w:r w:rsidRPr="00723DA9">
        <w:rPr>
          <w:rFonts w:ascii="Times New Roman" w:hAnsi="Times New Roman" w:cs="Times New Roman"/>
        </w:rPr>
        <w:br w:type="page"/>
      </w:r>
    </w:p>
    <w:p w14:paraId="6C147D36" w14:textId="77777777" w:rsidR="00C56823" w:rsidRPr="00723DA9" w:rsidRDefault="00C56823" w:rsidP="00771F99">
      <w:pPr>
        <w:spacing w:after="0" w:line="480" w:lineRule="auto"/>
        <w:rPr>
          <w:rFonts w:ascii="Times New Roman" w:hAnsi="Times New Roman" w:cs="Times New Roman"/>
        </w:rPr>
      </w:pPr>
    </w:p>
    <w:p w14:paraId="54D8FCD7" w14:textId="0024EF3D" w:rsidR="008B33D8" w:rsidRPr="00723DA9" w:rsidRDefault="00E22E12" w:rsidP="00771F99">
      <w:pPr>
        <w:pStyle w:val="Heading1"/>
        <w:spacing w:before="0" w:after="160" w:line="480" w:lineRule="auto"/>
        <w:rPr>
          <w:rFonts w:ascii="Times New Roman" w:hAnsi="Times New Roman" w:cs="Times New Roman"/>
          <w:b/>
          <w:color w:val="auto"/>
          <w:sz w:val="24"/>
          <w:szCs w:val="24"/>
        </w:rPr>
      </w:pPr>
      <w:bookmarkStart w:id="250" w:name="_Toc21624021"/>
      <w:r w:rsidRPr="00723DA9">
        <w:rPr>
          <w:rFonts w:ascii="Times New Roman" w:hAnsi="Times New Roman" w:cs="Times New Roman"/>
          <w:b/>
          <w:color w:val="auto"/>
          <w:sz w:val="24"/>
          <w:szCs w:val="24"/>
        </w:rPr>
        <w:t>Chapter</w:t>
      </w:r>
      <w:r w:rsidR="008B33D8" w:rsidRPr="00723DA9">
        <w:rPr>
          <w:rFonts w:ascii="Times New Roman" w:hAnsi="Times New Roman" w:cs="Times New Roman"/>
          <w:b/>
          <w:color w:val="auto"/>
          <w:sz w:val="24"/>
          <w:szCs w:val="24"/>
        </w:rPr>
        <w:t xml:space="preserve"> </w:t>
      </w:r>
      <w:r w:rsidR="003952A5" w:rsidRPr="00723DA9">
        <w:rPr>
          <w:rFonts w:ascii="Times New Roman" w:hAnsi="Times New Roman" w:cs="Times New Roman"/>
          <w:b/>
          <w:color w:val="auto"/>
          <w:sz w:val="24"/>
          <w:szCs w:val="24"/>
        </w:rPr>
        <w:t>6</w:t>
      </w:r>
      <w:r w:rsidR="008B33D8" w:rsidRPr="00723DA9">
        <w:rPr>
          <w:rFonts w:ascii="Times New Roman" w:hAnsi="Times New Roman" w:cs="Times New Roman"/>
          <w:b/>
          <w:color w:val="auto"/>
          <w:sz w:val="24"/>
          <w:szCs w:val="24"/>
        </w:rPr>
        <w:t>: Summary</w:t>
      </w:r>
      <w:r w:rsidR="00350078" w:rsidRPr="00723DA9">
        <w:rPr>
          <w:rFonts w:ascii="Times New Roman" w:hAnsi="Times New Roman" w:cs="Times New Roman"/>
          <w:b/>
          <w:color w:val="auto"/>
          <w:sz w:val="24"/>
          <w:szCs w:val="24"/>
        </w:rPr>
        <w:t xml:space="preserve"> and </w:t>
      </w:r>
      <w:r w:rsidR="000E079E" w:rsidRPr="00723DA9">
        <w:rPr>
          <w:rFonts w:ascii="Times New Roman" w:hAnsi="Times New Roman" w:cs="Times New Roman"/>
          <w:b/>
          <w:color w:val="auto"/>
          <w:sz w:val="24"/>
          <w:szCs w:val="24"/>
        </w:rPr>
        <w:t>F</w:t>
      </w:r>
      <w:r w:rsidR="00350078" w:rsidRPr="00723DA9">
        <w:rPr>
          <w:rFonts w:ascii="Times New Roman" w:hAnsi="Times New Roman" w:cs="Times New Roman"/>
          <w:b/>
          <w:color w:val="auto"/>
          <w:sz w:val="24"/>
          <w:szCs w:val="24"/>
        </w:rPr>
        <w:t xml:space="preserve">uture </w:t>
      </w:r>
      <w:r w:rsidR="000E079E" w:rsidRPr="00723DA9">
        <w:rPr>
          <w:rFonts w:ascii="Times New Roman" w:hAnsi="Times New Roman" w:cs="Times New Roman"/>
          <w:b/>
          <w:color w:val="auto"/>
          <w:sz w:val="24"/>
          <w:szCs w:val="24"/>
        </w:rPr>
        <w:t>P</w:t>
      </w:r>
      <w:r w:rsidR="00350078" w:rsidRPr="00723DA9">
        <w:rPr>
          <w:rFonts w:ascii="Times New Roman" w:hAnsi="Times New Roman" w:cs="Times New Roman"/>
          <w:b/>
          <w:color w:val="auto"/>
          <w:sz w:val="24"/>
          <w:szCs w:val="24"/>
        </w:rPr>
        <w:t>lans</w:t>
      </w:r>
      <w:bookmarkEnd w:id="250"/>
    </w:p>
    <w:p w14:paraId="768B9D0F" w14:textId="34F43292" w:rsidR="000E079E" w:rsidRPr="00723DA9" w:rsidRDefault="000E079E" w:rsidP="00582D73">
      <w:pPr>
        <w:pStyle w:val="Heading2"/>
        <w:numPr>
          <w:ilvl w:val="1"/>
          <w:numId w:val="28"/>
        </w:numPr>
        <w:spacing w:line="480" w:lineRule="auto"/>
        <w:ind w:left="0" w:firstLine="0"/>
        <w:rPr>
          <w:rFonts w:ascii="Times New Roman" w:hAnsi="Times New Roman" w:cs="Times New Roman"/>
          <w:b/>
          <w:bCs/>
          <w:color w:val="auto"/>
          <w:sz w:val="24"/>
          <w:szCs w:val="24"/>
        </w:rPr>
      </w:pPr>
      <w:bookmarkStart w:id="251" w:name="_Toc21624022"/>
      <w:r w:rsidRPr="00723DA9">
        <w:rPr>
          <w:rFonts w:ascii="Times New Roman" w:hAnsi="Times New Roman" w:cs="Times New Roman"/>
          <w:b/>
          <w:bCs/>
          <w:color w:val="auto"/>
          <w:sz w:val="24"/>
          <w:szCs w:val="24"/>
        </w:rPr>
        <w:t>General Summary</w:t>
      </w:r>
      <w:bookmarkEnd w:id="251"/>
    </w:p>
    <w:p w14:paraId="1630CCB5" w14:textId="099747EF" w:rsidR="00A6739E" w:rsidRDefault="5B610C6B" w:rsidP="5B610C6B">
      <w:pPr>
        <w:spacing w:after="0" w:line="480" w:lineRule="auto"/>
        <w:ind w:firstLine="432"/>
        <w:rPr>
          <w:rFonts w:ascii="Times New Roman" w:hAnsi="Times New Roman" w:cs="Times New Roman"/>
          <w:color w:val="000000" w:themeColor="text1"/>
          <w:sz w:val="24"/>
          <w:szCs w:val="24"/>
        </w:rPr>
      </w:pPr>
      <w:r w:rsidRPr="5B610C6B">
        <w:rPr>
          <w:rFonts w:ascii="Times New Roman" w:hAnsi="Times New Roman" w:cs="Times New Roman"/>
          <w:color w:val="000000" w:themeColor="text1"/>
          <w:sz w:val="24"/>
          <w:szCs w:val="24"/>
        </w:rPr>
        <w:t xml:space="preserve">A GSI-based, continuously cycled, dual-resolution hybrid </w:t>
      </w:r>
      <w:proofErr w:type="spellStart"/>
      <w:r w:rsidRPr="5B610C6B">
        <w:rPr>
          <w:rFonts w:ascii="Times New Roman" w:hAnsi="Times New Roman" w:cs="Times New Roman"/>
          <w:color w:val="000000" w:themeColor="text1"/>
          <w:sz w:val="24"/>
          <w:szCs w:val="24"/>
        </w:rPr>
        <w:t>EnVar</w:t>
      </w:r>
      <w:proofErr w:type="spellEnd"/>
      <w:r w:rsidRPr="5B610C6B">
        <w:rPr>
          <w:rFonts w:ascii="Times New Roman" w:hAnsi="Times New Roman" w:cs="Times New Roman"/>
          <w:color w:val="000000" w:themeColor="text1"/>
          <w:sz w:val="24"/>
          <w:szCs w:val="24"/>
        </w:rPr>
        <w:t xml:space="preserve"> DA system is developed for HWRF with multiple capabilities.  The multi-capabilities allow the system to (</w:t>
      </w:r>
      <w:proofErr w:type="spellStart"/>
      <w:r w:rsidR="00700BB0">
        <w:rPr>
          <w:rFonts w:ascii="Times New Roman" w:hAnsi="Times New Roman" w:cs="Times New Roman"/>
          <w:color w:val="000000" w:themeColor="text1"/>
          <w:sz w:val="24"/>
          <w:szCs w:val="24"/>
        </w:rPr>
        <w:t>i</w:t>
      </w:r>
      <w:proofErr w:type="spellEnd"/>
      <w:r w:rsidRPr="5B610C6B">
        <w:rPr>
          <w:rFonts w:ascii="Times New Roman" w:hAnsi="Times New Roman" w:cs="Times New Roman"/>
          <w:color w:val="000000" w:themeColor="text1"/>
          <w:sz w:val="24"/>
          <w:szCs w:val="24"/>
        </w:rPr>
        <w:t xml:space="preserve">) produce a continuously cycled, self-consistent HWRF </w:t>
      </w:r>
      <w:proofErr w:type="spellStart"/>
      <w:r w:rsidRPr="5B610C6B">
        <w:rPr>
          <w:rFonts w:ascii="Times New Roman" w:hAnsi="Times New Roman" w:cs="Times New Roman"/>
          <w:color w:val="000000" w:themeColor="text1"/>
          <w:sz w:val="24"/>
          <w:szCs w:val="24"/>
        </w:rPr>
        <w:t>EnKF</w:t>
      </w:r>
      <w:proofErr w:type="spellEnd"/>
      <w:r w:rsidRPr="5B610C6B">
        <w:rPr>
          <w:rFonts w:ascii="Times New Roman" w:hAnsi="Times New Roman" w:cs="Times New Roman"/>
          <w:color w:val="000000" w:themeColor="text1"/>
          <w:sz w:val="24"/>
          <w:szCs w:val="24"/>
        </w:rPr>
        <w:t xml:space="preserve"> ensemble, (</w:t>
      </w:r>
      <w:r w:rsidR="00700BB0">
        <w:rPr>
          <w:rFonts w:ascii="Times New Roman" w:hAnsi="Times New Roman" w:cs="Times New Roman"/>
          <w:color w:val="000000" w:themeColor="text1"/>
          <w:sz w:val="24"/>
          <w:szCs w:val="24"/>
        </w:rPr>
        <w:t>ii</w:t>
      </w:r>
      <w:r w:rsidRPr="5B610C6B">
        <w:rPr>
          <w:rFonts w:ascii="Times New Roman" w:hAnsi="Times New Roman" w:cs="Times New Roman"/>
          <w:color w:val="000000" w:themeColor="text1"/>
          <w:sz w:val="24"/>
          <w:szCs w:val="24"/>
        </w:rPr>
        <w:t>) apply the newly developed directed moving nest strategy, (</w:t>
      </w:r>
      <w:r w:rsidR="00700BB0">
        <w:rPr>
          <w:rFonts w:ascii="Times New Roman" w:hAnsi="Times New Roman" w:cs="Times New Roman"/>
          <w:color w:val="000000" w:themeColor="text1"/>
          <w:sz w:val="24"/>
          <w:szCs w:val="24"/>
        </w:rPr>
        <w:t>iii</w:t>
      </w:r>
      <w:r w:rsidRPr="5B610C6B">
        <w:rPr>
          <w:rFonts w:ascii="Times New Roman" w:hAnsi="Times New Roman" w:cs="Times New Roman"/>
          <w:color w:val="000000" w:themeColor="text1"/>
          <w:sz w:val="24"/>
          <w:szCs w:val="24"/>
        </w:rPr>
        <w:t>) perform either 3DEnVar or 4DEnVar DA, (</w:t>
      </w:r>
      <w:r w:rsidR="00700BB0">
        <w:rPr>
          <w:rFonts w:ascii="Times New Roman" w:hAnsi="Times New Roman" w:cs="Times New Roman"/>
          <w:color w:val="000000" w:themeColor="text1"/>
          <w:sz w:val="24"/>
          <w:szCs w:val="24"/>
        </w:rPr>
        <w:t>iv</w:t>
      </w:r>
      <w:r w:rsidRPr="5B610C6B">
        <w:rPr>
          <w:rFonts w:ascii="Times New Roman" w:hAnsi="Times New Roman" w:cs="Times New Roman"/>
          <w:color w:val="000000" w:themeColor="text1"/>
          <w:sz w:val="24"/>
          <w:szCs w:val="24"/>
        </w:rPr>
        <w:t xml:space="preserve">) integrate with </w:t>
      </w:r>
      <w:r w:rsidR="008E2227">
        <w:rPr>
          <w:rFonts w:ascii="Times New Roman" w:hAnsi="Times New Roman" w:cs="Times New Roman"/>
          <w:color w:val="000000" w:themeColor="text1"/>
          <w:sz w:val="24"/>
          <w:szCs w:val="24"/>
        </w:rPr>
        <w:t xml:space="preserve">the </w:t>
      </w:r>
      <w:r w:rsidRPr="5B610C6B">
        <w:rPr>
          <w:rFonts w:ascii="Times New Roman" w:hAnsi="Times New Roman" w:cs="Times New Roman"/>
          <w:color w:val="000000" w:themeColor="text1"/>
          <w:sz w:val="24"/>
          <w:szCs w:val="24"/>
        </w:rPr>
        <w:t>VM and VR strategies, and (</w:t>
      </w:r>
      <w:r w:rsidR="00700BB0">
        <w:rPr>
          <w:rFonts w:ascii="Times New Roman" w:hAnsi="Times New Roman" w:cs="Times New Roman"/>
          <w:color w:val="000000" w:themeColor="text1"/>
          <w:sz w:val="24"/>
          <w:szCs w:val="24"/>
        </w:rPr>
        <w:t>v</w:t>
      </w:r>
      <w:r w:rsidRPr="5B610C6B">
        <w:rPr>
          <w:rFonts w:ascii="Times New Roman" w:hAnsi="Times New Roman" w:cs="Times New Roman"/>
          <w:color w:val="000000" w:themeColor="text1"/>
          <w:sz w:val="24"/>
          <w:szCs w:val="24"/>
        </w:rPr>
        <w:t xml:space="preserve">) assimilate various kinds of vortex-scale observations in addition to the operational observations.  The details of this DA system are </w:t>
      </w:r>
      <w:r w:rsidR="002013C0">
        <w:rPr>
          <w:rFonts w:ascii="Times New Roman" w:hAnsi="Times New Roman" w:cs="Times New Roman"/>
          <w:color w:val="000000" w:themeColor="text1"/>
          <w:sz w:val="24"/>
          <w:szCs w:val="24"/>
        </w:rPr>
        <w:t xml:space="preserve">first </w:t>
      </w:r>
      <w:r w:rsidRPr="5B610C6B">
        <w:rPr>
          <w:rFonts w:ascii="Times New Roman" w:hAnsi="Times New Roman" w:cs="Times New Roman"/>
          <w:color w:val="000000" w:themeColor="text1"/>
          <w:sz w:val="24"/>
          <w:szCs w:val="24"/>
        </w:rPr>
        <w:t xml:space="preserve">described in </w:t>
      </w:r>
      <w:r w:rsidR="00D51F36">
        <w:rPr>
          <w:rFonts w:ascii="Times New Roman" w:hAnsi="Times New Roman" w:cs="Times New Roman"/>
          <w:color w:val="000000" w:themeColor="text1"/>
          <w:sz w:val="24"/>
          <w:szCs w:val="24"/>
        </w:rPr>
        <w:t xml:space="preserve">Chapter 2 of </w:t>
      </w:r>
      <w:r w:rsidRPr="5B610C6B">
        <w:rPr>
          <w:rFonts w:ascii="Times New Roman" w:hAnsi="Times New Roman" w:cs="Times New Roman"/>
          <w:color w:val="000000" w:themeColor="text1"/>
          <w:sz w:val="24"/>
          <w:szCs w:val="24"/>
        </w:rPr>
        <w:t xml:space="preserve">this dissertation.  Using the advanced DA system, a few scientific questions discussed in Chapter 1.2 are </w:t>
      </w:r>
      <w:r w:rsidR="00581849">
        <w:rPr>
          <w:rFonts w:ascii="Times New Roman" w:hAnsi="Times New Roman" w:cs="Times New Roman"/>
          <w:color w:val="000000" w:themeColor="text1"/>
          <w:sz w:val="24"/>
          <w:szCs w:val="24"/>
        </w:rPr>
        <w:t>addressed</w:t>
      </w:r>
      <w:r w:rsidR="00153EEB">
        <w:rPr>
          <w:rFonts w:ascii="Times New Roman" w:hAnsi="Times New Roman" w:cs="Times New Roman"/>
          <w:color w:val="000000" w:themeColor="text1"/>
          <w:sz w:val="24"/>
          <w:szCs w:val="24"/>
        </w:rPr>
        <w:t xml:space="preserve"> in this dissertation</w:t>
      </w:r>
      <w:r w:rsidRPr="5B610C6B">
        <w:rPr>
          <w:rFonts w:ascii="Times New Roman" w:hAnsi="Times New Roman" w:cs="Times New Roman"/>
          <w:color w:val="000000" w:themeColor="text1"/>
          <w:sz w:val="24"/>
          <w:szCs w:val="24"/>
        </w:rPr>
        <w:t>.</w:t>
      </w:r>
    </w:p>
    <w:p w14:paraId="65A90A0F" w14:textId="10BAB634" w:rsidR="00E4435A" w:rsidRDefault="002013C0" w:rsidP="00771F99">
      <w:pPr>
        <w:spacing w:after="0" w:line="480" w:lineRule="auto"/>
        <w:ind w:firstLine="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2A3F8D">
        <w:rPr>
          <w:rFonts w:ascii="Times New Roman" w:hAnsi="Times New Roman" w:cs="Times New Roman"/>
          <w:color w:val="000000" w:themeColor="text1"/>
          <w:sz w:val="24"/>
          <w:szCs w:val="24"/>
        </w:rPr>
        <w:t xml:space="preserve">o understand if using a </w:t>
      </w:r>
      <w:r w:rsidR="002A3F8D" w:rsidRPr="002A3F8D">
        <w:rPr>
          <w:rFonts w:ascii="Times New Roman" w:hAnsi="Times New Roman" w:cs="Times New Roman"/>
          <w:color w:val="000000" w:themeColor="text1"/>
          <w:sz w:val="24"/>
          <w:szCs w:val="24"/>
        </w:rPr>
        <w:t>more advance data assimilation system to assimilate vortex</w:t>
      </w:r>
      <w:r w:rsidR="002A3F8D">
        <w:rPr>
          <w:rFonts w:ascii="Times New Roman" w:hAnsi="Times New Roman" w:cs="Times New Roman"/>
          <w:color w:val="000000" w:themeColor="text1"/>
          <w:sz w:val="24"/>
          <w:szCs w:val="24"/>
        </w:rPr>
        <w:t>-</w:t>
      </w:r>
      <w:r w:rsidR="002A3F8D" w:rsidRPr="002A3F8D">
        <w:rPr>
          <w:rFonts w:ascii="Times New Roman" w:hAnsi="Times New Roman" w:cs="Times New Roman"/>
          <w:color w:val="000000" w:themeColor="text1"/>
          <w:sz w:val="24"/>
          <w:szCs w:val="24"/>
        </w:rPr>
        <w:t xml:space="preserve">scale observations </w:t>
      </w:r>
      <w:r w:rsidR="002A3F8D">
        <w:rPr>
          <w:rFonts w:ascii="Times New Roman" w:hAnsi="Times New Roman" w:cs="Times New Roman"/>
          <w:color w:val="000000" w:themeColor="text1"/>
          <w:sz w:val="24"/>
          <w:szCs w:val="24"/>
        </w:rPr>
        <w:t xml:space="preserve">can </w:t>
      </w:r>
      <w:r w:rsidR="002A3F8D" w:rsidRPr="002A3F8D">
        <w:rPr>
          <w:rFonts w:ascii="Times New Roman" w:hAnsi="Times New Roman" w:cs="Times New Roman"/>
          <w:color w:val="000000" w:themeColor="text1"/>
          <w:sz w:val="24"/>
          <w:szCs w:val="24"/>
        </w:rPr>
        <w:t>help improve the TC analysis and intensity prediction</w:t>
      </w:r>
      <w:r w:rsidR="002A3F8D">
        <w:rPr>
          <w:rFonts w:ascii="Times New Roman" w:hAnsi="Times New Roman" w:cs="Times New Roman"/>
          <w:color w:val="000000" w:themeColor="text1"/>
          <w:sz w:val="24"/>
          <w:szCs w:val="24"/>
        </w:rPr>
        <w:t>,</w:t>
      </w:r>
      <w:r w:rsidR="005321DB">
        <w:rPr>
          <w:rFonts w:ascii="Times New Roman" w:hAnsi="Times New Roman" w:cs="Times New Roman"/>
          <w:color w:val="000000" w:themeColor="text1"/>
          <w:sz w:val="24"/>
          <w:szCs w:val="24"/>
        </w:rPr>
        <w:t xml:space="preserve"> </w:t>
      </w:r>
      <w:r w:rsidR="002A3F8D">
        <w:rPr>
          <w:rFonts w:ascii="Times New Roman" w:hAnsi="Times New Roman" w:cs="Times New Roman"/>
          <w:color w:val="000000" w:themeColor="text1"/>
          <w:sz w:val="24"/>
          <w:szCs w:val="24"/>
        </w:rPr>
        <w:t>e</w:t>
      </w:r>
      <w:r w:rsidR="004D2235" w:rsidRPr="00723DA9">
        <w:rPr>
          <w:rFonts w:ascii="Times New Roman" w:hAnsi="Times New Roman" w:cs="Times New Roman"/>
          <w:color w:val="000000" w:themeColor="text1"/>
          <w:sz w:val="24"/>
          <w:szCs w:val="24"/>
        </w:rPr>
        <w:t xml:space="preserve">xperiments are first conducted </w:t>
      </w:r>
      <w:r w:rsidR="003D23E1" w:rsidRPr="00723DA9">
        <w:rPr>
          <w:rFonts w:ascii="Times New Roman" w:hAnsi="Times New Roman" w:cs="Times New Roman"/>
          <w:color w:val="000000" w:themeColor="text1"/>
          <w:sz w:val="24"/>
          <w:szCs w:val="24"/>
        </w:rPr>
        <w:t xml:space="preserve">with hurricane Edouard (2014) </w:t>
      </w:r>
      <w:r w:rsidR="004D2235" w:rsidRPr="00723DA9">
        <w:rPr>
          <w:rFonts w:ascii="Times New Roman" w:hAnsi="Times New Roman" w:cs="Times New Roman"/>
          <w:color w:val="000000" w:themeColor="text1"/>
          <w:sz w:val="24"/>
          <w:szCs w:val="24"/>
        </w:rPr>
        <w:t>in Chapter 3</w:t>
      </w:r>
      <w:r w:rsidR="00390D03" w:rsidRPr="00723DA9">
        <w:rPr>
          <w:rFonts w:ascii="Times New Roman" w:hAnsi="Times New Roman" w:cs="Times New Roman"/>
          <w:color w:val="000000" w:themeColor="text1"/>
          <w:sz w:val="24"/>
          <w:szCs w:val="24"/>
        </w:rPr>
        <w:t xml:space="preserve">.  </w:t>
      </w:r>
      <w:r w:rsidR="00C051E9">
        <w:rPr>
          <w:rFonts w:ascii="Times New Roman" w:hAnsi="Times New Roman" w:cs="Times New Roman"/>
          <w:color w:val="000000" w:themeColor="text1"/>
          <w:sz w:val="24"/>
          <w:szCs w:val="24"/>
        </w:rPr>
        <w:t>It was found that</w:t>
      </w:r>
      <w:r w:rsidR="00E4435A">
        <w:rPr>
          <w:rFonts w:ascii="Times New Roman" w:hAnsi="Times New Roman" w:cs="Times New Roman"/>
          <w:color w:val="000000" w:themeColor="text1"/>
          <w:sz w:val="24"/>
          <w:szCs w:val="24"/>
        </w:rPr>
        <w:t>:</w:t>
      </w:r>
      <w:r w:rsidR="002A3F8D">
        <w:rPr>
          <w:rFonts w:ascii="Times New Roman" w:hAnsi="Times New Roman" w:cs="Times New Roman"/>
          <w:color w:val="000000" w:themeColor="text1"/>
          <w:sz w:val="24"/>
          <w:szCs w:val="24"/>
        </w:rPr>
        <w:t xml:space="preserve"> </w:t>
      </w:r>
    </w:p>
    <w:p w14:paraId="46C5B99C" w14:textId="4BB5E75B" w:rsidR="00E4435A" w:rsidRDefault="00700BB0" w:rsidP="00771F99">
      <w:pPr>
        <w:spacing w:after="0" w:line="480" w:lineRule="auto"/>
        <w:ind w:firstLine="432"/>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i</w:t>
      </w:r>
      <w:proofErr w:type="spellEnd"/>
      <w:r w:rsidR="002A3F8D">
        <w:rPr>
          <w:rFonts w:ascii="Times New Roman" w:hAnsi="Times New Roman" w:cs="Times New Roman"/>
          <w:color w:val="000000" w:themeColor="text1"/>
          <w:sz w:val="24"/>
          <w:szCs w:val="24"/>
        </w:rPr>
        <w:t>)</w:t>
      </w:r>
      <w:r w:rsidR="00C051E9">
        <w:rPr>
          <w:rFonts w:ascii="Times New Roman" w:hAnsi="Times New Roman" w:cs="Times New Roman"/>
          <w:color w:val="000000" w:themeColor="text1"/>
          <w:sz w:val="24"/>
          <w:szCs w:val="24"/>
        </w:rPr>
        <w:t xml:space="preserve"> </w:t>
      </w:r>
      <w:r w:rsidR="00E4435A">
        <w:rPr>
          <w:rFonts w:ascii="Times New Roman" w:hAnsi="Times New Roman" w:cs="Times New Roman"/>
          <w:color w:val="000000" w:themeColor="text1"/>
          <w:sz w:val="24"/>
          <w:szCs w:val="24"/>
        </w:rPr>
        <w:t>T</w:t>
      </w:r>
      <w:r w:rsidR="24B2FBAD" w:rsidRPr="00723DA9">
        <w:rPr>
          <w:rFonts w:ascii="Times New Roman" w:hAnsi="Times New Roman" w:cs="Times New Roman"/>
          <w:color w:val="000000" w:themeColor="text1"/>
          <w:sz w:val="24"/>
          <w:szCs w:val="24"/>
        </w:rPr>
        <w:t xml:space="preserve">he dual-resolution DA experiment, </w:t>
      </w:r>
      <w:r w:rsidR="00BA2603">
        <w:rPr>
          <w:rFonts w:ascii="Times New Roman" w:hAnsi="Times New Roman" w:cs="Times New Roman"/>
          <w:color w:val="000000" w:themeColor="text1"/>
          <w:sz w:val="24"/>
          <w:szCs w:val="24"/>
        </w:rPr>
        <w:t xml:space="preserve">in </w:t>
      </w:r>
      <w:r w:rsidR="24B2FBAD" w:rsidRPr="00723DA9">
        <w:rPr>
          <w:rFonts w:ascii="Times New Roman" w:hAnsi="Times New Roman" w:cs="Times New Roman"/>
          <w:color w:val="000000" w:themeColor="text1"/>
          <w:sz w:val="24"/>
          <w:szCs w:val="24"/>
        </w:rPr>
        <w:t xml:space="preserve">which a high-resolution </w:t>
      </w:r>
      <w:r w:rsidR="00AB5079">
        <w:rPr>
          <w:rFonts w:ascii="Times New Roman" w:hAnsi="Times New Roman" w:cs="Times New Roman"/>
          <w:color w:val="000000" w:themeColor="text1"/>
          <w:sz w:val="24"/>
          <w:szCs w:val="24"/>
        </w:rPr>
        <w:t xml:space="preserve">control </w:t>
      </w:r>
      <w:r w:rsidR="24B2FBAD" w:rsidRPr="00723DA9">
        <w:rPr>
          <w:rFonts w:ascii="Times New Roman" w:hAnsi="Times New Roman" w:cs="Times New Roman"/>
          <w:color w:val="000000" w:themeColor="text1"/>
          <w:sz w:val="24"/>
          <w:szCs w:val="24"/>
        </w:rPr>
        <w:t>background</w:t>
      </w:r>
      <w:r w:rsidR="00BA2603">
        <w:rPr>
          <w:rFonts w:ascii="Times New Roman" w:hAnsi="Times New Roman" w:cs="Times New Roman"/>
          <w:color w:val="000000" w:themeColor="text1"/>
          <w:sz w:val="24"/>
          <w:szCs w:val="24"/>
        </w:rPr>
        <w:t xml:space="preserve"> </w:t>
      </w:r>
      <w:r w:rsidR="24B2FBAD" w:rsidRPr="00723DA9">
        <w:rPr>
          <w:rFonts w:ascii="Times New Roman" w:hAnsi="Times New Roman" w:cs="Times New Roman"/>
          <w:color w:val="000000" w:themeColor="text1"/>
          <w:sz w:val="24"/>
          <w:szCs w:val="24"/>
        </w:rPr>
        <w:t xml:space="preserve">at 3-km grid spacing is combined with </w:t>
      </w:r>
      <w:r w:rsidR="00FE6D5F">
        <w:rPr>
          <w:rFonts w:ascii="Times New Roman" w:hAnsi="Times New Roman" w:cs="Times New Roman"/>
          <w:color w:val="000000" w:themeColor="text1"/>
          <w:sz w:val="24"/>
          <w:szCs w:val="24"/>
        </w:rPr>
        <w:t>a</w:t>
      </w:r>
      <w:r w:rsidR="24B2FBAD" w:rsidRPr="00723DA9">
        <w:rPr>
          <w:rFonts w:ascii="Times New Roman" w:hAnsi="Times New Roman" w:cs="Times New Roman"/>
          <w:color w:val="000000" w:themeColor="text1"/>
          <w:sz w:val="24"/>
          <w:szCs w:val="24"/>
        </w:rPr>
        <w:t xml:space="preserve"> coarse-resolution ensemble at 9-km grid spacing, produces more realistic storm structures and better subsequent intensity predictions than the single</w:t>
      </w:r>
      <w:r w:rsidR="00C051E9">
        <w:rPr>
          <w:rFonts w:ascii="Times New Roman" w:hAnsi="Times New Roman" w:cs="Times New Roman"/>
          <w:color w:val="000000" w:themeColor="text1"/>
          <w:sz w:val="24"/>
          <w:szCs w:val="24"/>
        </w:rPr>
        <w:t xml:space="preserve"> low</w:t>
      </w:r>
      <w:r w:rsidR="24B2FBAD" w:rsidRPr="00723DA9">
        <w:rPr>
          <w:rFonts w:ascii="Times New Roman" w:hAnsi="Times New Roman" w:cs="Times New Roman"/>
          <w:color w:val="000000" w:themeColor="text1"/>
          <w:sz w:val="24"/>
          <w:szCs w:val="24"/>
        </w:rPr>
        <w:t>-resolution DA</w:t>
      </w:r>
      <w:r w:rsidR="00F35DDB">
        <w:rPr>
          <w:rFonts w:ascii="Times New Roman" w:hAnsi="Times New Roman" w:cs="Times New Roman"/>
          <w:color w:val="000000" w:themeColor="text1"/>
          <w:sz w:val="24"/>
          <w:szCs w:val="24"/>
        </w:rPr>
        <w:t xml:space="preserve">, in which </w:t>
      </w:r>
      <w:r w:rsidR="24B2FBAD" w:rsidRPr="00723DA9">
        <w:rPr>
          <w:rFonts w:ascii="Times New Roman" w:hAnsi="Times New Roman" w:cs="Times New Roman"/>
          <w:color w:val="000000" w:themeColor="text1"/>
          <w:sz w:val="24"/>
          <w:szCs w:val="24"/>
        </w:rPr>
        <w:t>both control and ensemble background</w:t>
      </w:r>
      <w:r w:rsidR="00F35DDB">
        <w:rPr>
          <w:rFonts w:ascii="Times New Roman" w:hAnsi="Times New Roman" w:cs="Times New Roman"/>
          <w:color w:val="000000" w:themeColor="text1"/>
          <w:sz w:val="24"/>
          <w:szCs w:val="24"/>
        </w:rPr>
        <w:t xml:space="preserve"> are</w:t>
      </w:r>
      <w:r w:rsidR="24B2FBAD" w:rsidRPr="00723DA9">
        <w:rPr>
          <w:rFonts w:ascii="Times New Roman" w:hAnsi="Times New Roman" w:cs="Times New Roman"/>
          <w:color w:val="000000" w:themeColor="text1"/>
          <w:sz w:val="24"/>
          <w:szCs w:val="24"/>
        </w:rPr>
        <w:t xml:space="preserve"> at 9-km grid spacing. </w:t>
      </w:r>
    </w:p>
    <w:p w14:paraId="7CDDF5DB" w14:textId="5F55BA19" w:rsidR="00E4435A" w:rsidRDefault="00700BB0" w:rsidP="5B610C6B">
      <w:pPr>
        <w:spacing w:after="0" w:line="480" w:lineRule="auto"/>
        <w:ind w:firstLine="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w:t>
      </w:r>
      <w:r w:rsidR="5B610C6B" w:rsidRPr="5B610C6B">
        <w:rPr>
          <w:rFonts w:ascii="Times New Roman" w:hAnsi="Times New Roman" w:cs="Times New Roman"/>
          <w:color w:val="000000" w:themeColor="text1"/>
          <w:sz w:val="24"/>
          <w:szCs w:val="24"/>
        </w:rPr>
        <w:t xml:space="preserve">)  Applying VR to the control background for all DA cycles and applying VM to the control background </w:t>
      </w:r>
      <w:r w:rsidR="008B35E2">
        <w:rPr>
          <w:rFonts w:ascii="Times New Roman" w:hAnsi="Times New Roman" w:cs="Times New Roman"/>
          <w:color w:val="000000" w:themeColor="text1"/>
          <w:sz w:val="24"/>
          <w:szCs w:val="24"/>
        </w:rPr>
        <w:t>for</w:t>
      </w:r>
      <w:r w:rsidR="5B610C6B" w:rsidRPr="5B610C6B">
        <w:rPr>
          <w:rFonts w:ascii="Times New Roman" w:hAnsi="Times New Roman" w:cs="Times New Roman"/>
          <w:color w:val="000000" w:themeColor="text1"/>
          <w:sz w:val="24"/>
          <w:szCs w:val="24"/>
        </w:rPr>
        <w:t xml:space="preserve"> </w:t>
      </w:r>
      <w:r w:rsidR="00596932">
        <w:rPr>
          <w:rFonts w:ascii="Times New Roman" w:hAnsi="Times New Roman" w:cs="Times New Roman"/>
          <w:color w:val="000000" w:themeColor="text1"/>
          <w:sz w:val="24"/>
          <w:szCs w:val="24"/>
        </w:rPr>
        <w:t xml:space="preserve">only </w:t>
      </w:r>
      <w:r w:rsidR="5B610C6B" w:rsidRPr="5B610C6B">
        <w:rPr>
          <w:rFonts w:ascii="Times New Roman" w:hAnsi="Times New Roman" w:cs="Times New Roman"/>
          <w:color w:val="000000" w:themeColor="text1"/>
          <w:sz w:val="24"/>
          <w:szCs w:val="24"/>
        </w:rPr>
        <w:t>the DA cycles without TDR</w:t>
      </w:r>
      <w:r w:rsidR="00EA68F8">
        <w:rPr>
          <w:rFonts w:ascii="Times New Roman" w:hAnsi="Times New Roman" w:cs="Times New Roman"/>
          <w:color w:val="000000" w:themeColor="text1"/>
          <w:sz w:val="24"/>
          <w:szCs w:val="24"/>
        </w:rPr>
        <w:t xml:space="preserve"> observations</w:t>
      </w:r>
      <w:r w:rsidR="5B610C6B" w:rsidRPr="5B610C6B">
        <w:rPr>
          <w:rFonts w:ascii="Times New Roman" w:hAnsi="Times New Roman" w:cs="Times New Roman"/>
          <w:color w:val="000000" w:themeColor="text1"/>
          <w:sz w:val="24"/>
          <w:szCs w:val="24"/>
        </w:rPr>
        <w:t xml:space="preserve"> are important for </w:t>
      </w:r>
      <w:r w:rsidR="008B35E2">
        <w:rPr>
          <w:rFonts w:ascii="Times New Roman" w:hAnsi="Times New Roman" w:cs="Times New Roman"/>
          <w:color w:val="000000" w:themeColor="text1"/>
          <w:sz w:val="24"/>
          <w:szCs w:val="24"/>
        </w:rPr>
        <w:t>a</w:t>
      </w:r>
      <w:r w:rsidR="5B610C6B" w:rsidRPr="5B610C6B">
        <w:rPr>
          <w:rFonts w:ascii="Times New Roman" w:hAnsi="Times New Roman" w:cs="Times New Roman"/>
          <w:color w:val="000000" w:themeColor="text1"/>
          <w:sz w:val="24"/>
          <w:szCs w:val="24"/>
        </w:rPr>
        <w:t xml:space="preserve"> cycling DA system to improve the TC analysis and forecast.  Additional VR on the ensemble background can further improve the TC structure analysis and subsequent short-term intensity forecast with reduced error bias.  </w:t>
      </w:r>
    </w:p>
    <w:p w14:paraId="7D11FC87" w14:textId="2AFE2B8A" w:rsidR="00E4435A" w:rsidRDefault="00700BB0" w:rsidP="00771F99">
      <w:pPr>
        <w:spacing w:after="0" w:line="480" w:lineRule="auto"/>
        <w:ind w:firstLine="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iii</w:t>
      </w:r>
      <w:r w:rsidR="002A3F8D">
        <w:rPr>
          <w:rFonts w:ascii="Times New Roman" w:hAnsi="Times New Roman" w:cs="Times New Roman"/>
          <w:color w:val="000000" w:themeColor="text1"/>
          <w:sz w:val="24"/>
          <w:szCs w:val="24"/>
        </w:rPr>
        <w:t>) T</w:t>
      </w:r>
      <w:r w:rsidR="24B2FBAD" w:rsidRPr="00723DA9">
        <w:rPr>
          <w:rFonts w:ascii="Times New Roman" w:hAnsi="Times New Roman" w:cs="Times New Roman"/>
          <w:color w:val="000000" w:themeColor="text1"/>
          <w:sz w:val="24"/>
          <w:szCs w:val="24"/>
        </w:rPr>
        <w:t xml:space="preserve">he 4DEnVar can produce a more realistic analysis and </w:t>
      </w:r>
      <w:r w:rsidR="00581849">
        <w:rPr>
          <w:rFonts w:ascii="Times New Roman" w:hAnsi="Times New Roman" w:cs="Times New Roman"/>
          <w:color w:val="000000" w:themeColor="text1"/>
          <w:sz w:val="24"/>
          <w:szCs w:val="24"/>
        </w:rPr>
        <w:t xml:space="preserve">a </w:t>
      </w:r>
      <w:r w:rsidR="24B2FBAD" w:rsidRPr="00723DA9">
        <w:rPr>
          <w:rFonts w:ascii="Times New Roman" w:hAnsi="Times New Roman" w:cs="Times New Roman"/>
          <w:color w:val="000000" w:themeColor="text1"/>
          <w:sz w:val="24"/>
          <w:szCs w:val="24"/>
        </w:rPr>
        <w:t xml:space="preserve">better intensity forecast than the 6-hourly 3DEnVar when the error structures are fast-evolving.  </w:t>
      </w:r>
    </w:p>
    <w:p w14:paraId="613A0415" w14:textId="2E02D3E6" w:rsidR="00D63A7E" w:rsidRPr="00723DA9" w:rsidRDefault="00700BB0" w:rsidP="00771F99">
      <w:pPr>
        <w:spacing w:after="0" w:line="480" w:lineRule="auto"/>
        <w:ind w:firstLine="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iv</w:t>
      </w:r>
      <w:r w:rsidR="002A3F8D">
        <w:rPr>
          <w:rFonts w:ascii="Times New Roman" w:hAnsi="Times New Roman" w:cs="Times New Roman"/>
          <w:color w:val="000000" w:themeColor="text1"/>
          <w:sz w:val="24"/>
          <w:szCs w:val="24"/>
        </w:rPr>
        <w:t xml:space="preserve">) </w:t>
      </w:r>
      <w:r w:rsidR="00E4435A">
        <w:rPr>
          <w:rFonts w:ascii="Times New Roman" w:hAnsi="Times New Roman" w:cs="Times New Roman"/>
          <w:color w:val="000000" w:themeColor="text1"/>
          <w:sz w:val="24"/>
          <w:szCs w:val="24"/>
        </w:rPr>
        <w:t>T</w:t>
      </w:r>
      <w:r w:rsidR="24B2FBAD" w:rsidRPr="00723DA9">
        <w:rPr>
          <w:rFonts w:ascii="Times New Roman" w:hAnsi="Times New Roman" w:cs="Times New Roman"/>
          <w:color w:val="000000" w:themeColor="text1"/>
          <w:sz w:val="24"/>
          <w:szCs w:val="24"/>
        </w:rPr>
        <w:t>he cycling 4DEnVar</w:t>
      </w:r>
      <w:r w:rsidR="00424F6E">
        <w:rPr>
          <w:rFonts w:ascii="Times New Roman" w:hAnsi="Times New Roman" w:cs="Times New Roman"/>
          <w:color w:val="000000" w:themeColor="text1"/>
          <w:sz w:val="24"/>
          <w:szCs w:val="24"/>
        </w:rPr>
        <w:t xml:space="preserve"> DA system</w:t>
      </w:r>
      <w:r w:rsidR="24B2FBAD" w:rsidRPr="00723DA9">
        <w:rPr>
          <w:rFonts w:ascii="Times New Roman" w:hAnsi="Times New Roman" w:cs="Times New Roman"/>
          <w:color w:val="000000" w:themeColor="text1"/>
          <w:sz w:val="24"/>
          <w:szCs w:val="24"/>
        </w:rPr>
        <w:t xml:space="preserve"> improves the intensity forecast upon the operational HWRF by producing a more realistic inner-core structure</w:t>
      </w:r>
      <w:r w:rsidR="00AF5C31">
        <w:rPr>
          <w:rFonts w:ascii="Times New Roman" w:hAnsi="Times New Roman" w:cs="Times New Roman"/>
          <w:color w:val="000000" w:themeColor="text1"/>
          <w:sz w:val="24"/>
          <w:szCs w:val="24"/>
        </w:rPr>
        <w:t xml:space="preserve"> during the intensification period of </w:t>
      </w:r>
      <w:r w:rsidR="00AC5519" w:rsidRPr="00723DA9">
        <w:rPr>
          <w:rFonts w:ascii="Times New Roman" w:hAnsi="Times New Roman" w:cs="Times New Roman"/>
          <w:color w:val="000000" w:themeColor="text1"/>
          <w:sz w:val="24"/>
          <w:szCs w:val="24"/>
        </w:rPr>
        <w:t>hurricane Edouard (2014)</w:t>
      </w:r>
      <w:r w:rsidR="24B2FBAD" w:rsidRPr="00723DA9">
        <w:rPr>
          <w:rFonts w:ascii="Times New Roman" w:hAnsi="Times New Roman" w:cs="Times New Roman"/>
          <w:color w:val="000000" w:themeColor="text1"/>
          <w:sz w:val="24"/>
          <w:szCs w:val="24"/>
        </w:rPr>
        <w:t xml:space="preserve">.  </w:t>
      </w:r>
    </w:p>
    <w:p w14:paraId="0C245BEB" w14:textId="35CDDBB6" w:rsidR="00F9707D" w:rsidRDefault="5B610C6B" w:rsidP="5B610C6B">
      <w:pPr>
        <w:spacing w:after="0" w:line="480" w:lineRule="auto"/>
        <w:ind w:firstLine="432"/>
        <w:rPr>
          <w:rFonts w:ascii="Times New Roman" w:hAnsi="Times New Roman" w:cs="Times New Roman"/>
          <w:color w:val="000000" w:themeColor="text1"/>
          <w:sz w:val="24"/>
          <w:szCs w:val="24"/>
        </w:rPr>
      </w:pPr>
      <w:r w:rsidRPr="5B610C6B">
        <w:rPr>
          <w:rFonts w:ascii="Times New Roman" w:hAnsi="Times New Roman" w:cs="Times New Roman"/>
          <w:color w:val="000000" w:themeColor="text1"/>
          <w:sz w:val="24"/>
          <w:szCs w:val="24"/>
        </w:rPr>
        <w:t>However, as shown in Chapter 4, the more realistic DA analysis from the advanced HWRF DA system is not always enough to improve the intensity prediction of TCs.  Experiments with hurricane Patricia (2015) indicate that although the assimilation of inner-core observations produces a realistic 3D analysis of the storm, a serious spin-down issue (e.g. Vmax drop greater than 10 ms</w:t>
      </w:r>
      <w:r w:rsidRPr="5B610C6B">
        <w:rPr>
          <w:rFonts w:ascii="Times New Roman" w:hAnsi="Times New Roman" w:cs="Times New Roman"/>
          <w:color w:val="000000" w:themeColor="text1"/>
          <w:sz w:val="24"/>
          <w:szCs w:val="24"/>
          <w:vertAlign w:val="superscript"/>
        </w:rPr>
        <w:t>-1</w:t>
      </w:r>
      <w:r w:rsidRPr="5B610C6B">
        <w:rPr>
          <w:rFonts w:ascii="Times New Roman" w:hAnsi="Times New Roman" w:cs="Times New Roman"/>
          <w:color w:val="000000" w:themeColor="text1"/>
          <w:sz w:val="24"/>
          <w:szCs w:val="24"/>
        </w:rPr>
        <w:t xml:space="preserve"> within the first 6 hours) can occur with this realistic analysis but not with the unrealistic VM analysis.  </w:t>
      </w:r>
    </w:p>
    <w:p w14:paraId="6C055CE8" w14:textId="12E3E411" w:rsidR="00787F1F" w:rsidRDefault="5B610C6B" w:rsidP="5B610C6B">
      <w:pPr>
        <w:spacing w:after="0" w:line="480" w:lineRule="auto"/>
        <w:ind w:firstLine="432"/>
        <w:rPr>
          <w:rFonts w:ascii="Times New Roman" w:hAnsi="Times New Roman" w:cs="Times New Roman"/>
          <w:color w:val="000000" w:themeColor="text1"/>
          <w:sz w:val="24"/>
          <w:szCs w:val="24"/>
        </w:rPr>
      </w:pPr>
      <w:r w:rsidRPr="5B610C6B">
        <w:rPr>
          <w:rFonts w:ascii="Times New Roman" w:hAnsi="Times New Roman" w:cs="Times New Roman"/>
          <w:color w:val="000000" w:themeColor="text1"/>
          <w:sz w:val="24"/>
          <w:szCs w:val="24"/>
        </w:rPr>
        <w:t xml:space="preserve">Further investigations in Chapter 4 show that the spin-down is likely to be attributed to the incompatibility between the realistic DA analysis and the unrealistic model physics.  A modified parameterization with reduced horizontal diffusion and a modified PBL scheme accounting for the in-cloud turbulent are found to be alleviating the spin-down issue.  The reduced horizontal diffusion can better maintain the vertical oscillation of sub-/super-gradient flows from the DA analysis and the in-cloud turbulent can improve the vertical diffusion profile, which is crucial for the intensification rate of the HWRF model forecast.  In general, these results suggest that the realistic DA analysis requires a compatible, realistic model physics to maintain the benefits of inner-core DA and improve the TC intensity forecast.   Additional investigations in Chapter 4 show that the model resolution can be important in improving the RI rate and peak intensity of TC forecast.  </w:t>
      </w:r>
    </w:p>
    <w:p w14:paraId="5DF1DA22" w14:textId="24C61CD3" w:rsidR="00787F1F" w:rsidRDefault="5B610C6B" w:rsidP="5B610C6B">
      <w:pPr>
        <w:spacing w:after="0" w:line="480" w:lineRule="auto"/>
        <w:ind w:firstLine="432"/>
        <w:rPr>
          <w:rFonts w:ascii="Times New Roman" w:hAnsi="Times New Roman" w:cs="Times New Roman"/>
          <w:color w:val="000000" w:themeColor="text1"/>
          <w:sz w:val="24"/>
          <w:szCs w:val="24"/>
        </w:rPr>
      </w:pPr>
      <w:r w:rsidRPr="5B610C6B">
        <w:rPr>
          <w:rFonts w:ascii="Times New Roman" w:hAnsi="Times New Roman" w:cs="Times New Roman"/>
          <w:color w:val="000000" w:themeColor="text1"/>
          <w:sz w:val="24"/>
          <w:szCs w:val="24"/>
        </w:rPr>
        <w:lastRenderedPageBreak/>
        <w:t>Based on the optimal DA and system configuration from Chapter 3 and the modified model physics from Chapter 4, the last part of this dissertation focuses on the relative impact of various vortex-scale observations on TC prediction.  Detailed investigations are performed on the structure analysis and forecast evolution for each data type assimilated during Patricia (2015) in Chapter 5.  The comparisons suggest that:</w:t>
      </w:r>
    </w:p>
    <w:p w14:paraId="13C261CD" w14:textId="211251BE" w:rsidR="00787F1F" w:rsidRDefault="00700BB0" w:rsidP="00771F99">
      <w:pPr>
        <w:spacing w:after="0" w:line="480" w:lineRule="auto"/>
        <w:ind w:firstLine="432"/>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i</w:t>
      </w:r>
      <w:proofErr w:type="spellEnd"/>
      <w:r w:rsidR="5B4C3D29" w:rsidRPr="00723DA9">
        <w:rPr>
          <w:rFonts w:ascii="Times New Roman" w:hAnsi="Times New Roman" w:cs="Times New Roman"/>
          <w:color w:val="000000" w:themeColor="text1"/>
          <w:sz w:val="24"/>
          <w:szCs w:val="24"/>
        </w:rPr>
        <w:t xml:space="preserve">) </w:t>
      </w:r>
      <w:r w:rsidR="005550FF">
        <w:rPr>
          <w:rFonts w:ascii="Times New Roman" w:hAnsi="Times New Roman" w:cs="Times New Roman"/>
          <w:color w:val="000000" w:themeColor="text1"/>
          <w:sz w:val="24"/>
          <w:szCs w:val="24"/>
        </w:rPr>
        <w:t>During the assimilation of vortex-scale observations, the inner-core structure analysis</w:t>
      </w:r>
      <w:r w:rsidR="009F046A">
        <w:rPr>
          <w:rFonts w:ascii="Times New Roman" w:hAnsi="Times New Roman" w:cs="Times New Roman"/>
          <w:color w:val="000000" w:themeColor="text1"/>
          <w:sz w:val="24"/>
          <w:szCs w:val="24"/>
        </w:rPr>
        <w:t xml:space="preserve"> of TCs</w:t>
      </w:r>
      <w:r w:rsidR="005550FF">
        <w:rPr>
          <w:rFonts w:ascii="Times New Roman" w:hAnsi="Times New Roman" w:cs="Times New Roman"/>
          <w:color w:val="000000" w:themeColor="text1"/>
          <w:sz w:val="24"/>
          <w:szCs w:val="24"/>
        </w:rPr>
        <w:t xml:space="preserve"> </w:t>
      </w:r>
      <w:r w:rsidR="009F046A">
        <w:rPr>
          <w:rFonts w:ascii="Times New Roman" w:hAnsi="Times New Roman" w:cs="Times New Roman"/>
          <w:color w:val="000000" w:themeColor="text1"/>
          <w:sz w:val="24"/>
          <w:szCs w:val="24"/>
        </w:rPr>
        <w:t>would</w:t>
      </w:r>
      <w:r w:rsidR="005550FF">
        <w:rPr>
          <w:rFonts w:ascii="Times New Roman" w:hAnsi="Times New Roman" w:cs="Times New Roman"/>
          <w:color w:val="000000" w:themeColor="text1"/>
          <w:sz w:val="24"/>
          <w:szCs w:val="24"/>
        </w:rPr>
        <w:t xml:space="preserve"> benefit more from the </w:t>
      </w:r>
      <w:r w:rsidR="00C008FA">
        <w:rPr>
          <w:rFonts w:ascii="Times New Roman" w:hAnsi="Times New Roman" w:cs="Times New Roman"/>
          <w:color w:val="000000" w:themeColor="text1"/>
          <w:sz w:val="24"/>
          <w:szCs w:val="24"/>
        </w:rPr>
        <w:t>3</w:t>
      </w:r>
      <w:r w:rsidR="5B4C3D29" w:rsidRPr="00723DA9">
        <w:rPr>
          <w:rFonts w:ascii="Times New Roman" w:hAnsi="Times New Roman" w:cs="Times New Roman"/>
          <w:color w:val="000000" w:themeColor="text1"/>
          <w:sz w:val="24"/>
          <w:szCs w:val="24"/>
        </w:rPr>
        <w:t xml:space="preserve">D observations than the </w:t>
      </w:r>
      <w:r w:rsidR="00C008FA">
        <w:rPr>
          <w:rFonts w:ascii="Times New Roman" w:hAnsi="Times New Roman" w:cs="Times New Roman"/>
          <w:color w:val="000000" w:themeColor="text1"/>
          <w:sz w:val="24"/>
          <w:szCs w:val="24"/>
        </w:rPr>
        <w:t>2</w:t>
      </w:r>
      <w:r w:rsidR="5B4C3D29" w:rsidRPr="00723DA9">
        <w:rPr>
          <w:rFonts w:ascii="Times New Roman" w:hAnsi="Times New Roman" w:cs="Times New Roman"/>
          <w:color w:val="000000" w:themeColor="text1"/>
          <w:sz w:val="24"/>
          <w:szCs w:val="24"/>
        </w:rPr>
        <w:t xml:space="preserve">D observations; </w:t>
      </w:r>
    </w:p>
    <w:p w14:paraId="501443F3" w14:textId="4CD39A84" w:rsidR="00787F1F" w:rsidRDefault="00700BB0" w:rsidP="00B81E9E">
      <w:pPr>
        <w:spacing w:after="0" w:line="480" w:lineRule="auto"/>
        <w:ind w:firstLine="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w:t>
      </w:r>
      <w:r w:rsidR="5B4C3D29" w:rsidRPr="00723DA9">
        <w:rPr>
          <w:rFonts w:ascii="Times New Roman" w:hAnsi="Times New Roman" w:cs="Times New Roman"/>
          <w:color w:val="000000" w:themeColor="text1"/>
          <w:sz w:val="24"/>
          <w:szCs w:val="24"/>
        </w:rPr>
        <w:t xml:space="preserve">) </w:t>
      </w:r>
      <w:r w:rsidR="00B227DF">
        <w:rPr>
          <w:rFonts w:ascii="Times New Roman" w:hAnsi="Times New Roman" w:cs="Times New Roman"/>
          <w:color w:val="000000" w:themeColor="text1"/>
          <w:sz w:val="24"/>
          <w:szCs w:val="24"/>
        </w:rPr>
        <w:t xml:space="preserve">During the forecast after assimilating vortex-scale observations, the </w:t>
      </w:r>
      <w:r w:rsidR="00B81E9E">
        <w:rPr>
          <w:rFonts w:ascii="Times New Roman" w:hAnsi="Times New Roman" w:cs="Times New Roman"/>
          <w:color w:val="000000" w:themeColor="text1"/>
          <w:sz w:val="24"/>
          <w:szCs w:val="24"/>
        </w:rPr>
        <w:t>structure and intensity forecast</w:t>
      </w:r>
      <w:r w:rsidR="00B227DF">
        <w:rPr>
          <w:rFonts w:ascii="Times New Roman" w:hAnsi="Times New Roman" w:cs="Times New Roman"/>
          <w:color w:val="000000" w:themeColor="text1"/>
          <w:sz w:val="24"/>
          <w:szCs w:val="24"/>
        </w:rPr>
        <w:t xml:space="preserve"> </w:t>
      </w:r>
      <w:r w:rsidR="00B81E9E">
        <w:rPr>
          <w:rFonts w:ascii="Times New Roman" w:hAnsi="Times New Roman" w:cs="Times New Roman"/>
          <w:color w:val="000000" w:themeColor="text1"/>
          <w:sz w:val="24"/>
          <w:szCs w:val="24"/>
        </w:rPr>
        <w:t>would benefit more from the assimilation of observations</w:t>
      </w:r>
      <w:r w:rsidR="00B227DF">
        <w:rPr>
          <w:rFonts w:ascii="Times New Roman" w:hAnsi="Times New Roman" w:cs="Times New Roman"/>
          <w:color w:val="000000" w:themeColor="text1"/>
          <w:sz w:val="24"/>
          <w:szCs w:val="24"/>
        </w:rPr>
        <w:t xml:space="preserve"> that sample </w:t>
      </w:r>
      <w:r w:rsidR="001D557F">
        <w:rPr>
          <w:rFonts w:ascii="Times New Roman" w:hAnsi="Times New Roman" w:cs="Times New Roman"/>
          <w:color w:val="000000" w:themeColor="text1"/>
          <w:sz w:val="24"/>
          <w:szCs w:val="24"/>
        </w:rPr>
        <w:t xml:space="preserve">both </w:t>
      </w:r>
      <w:r w:rsidR="00B81E9E">
        <w:rPr>
          <w:rFonts w:ascii="Times New Roman" w:hAnsi="Times New Roman" w:cs="Times New Roman"/>
          <w:color w:val="000000" w:themeColor="text1"/>
          <w:sz w:val="24"/>
          <w:szCs w:val="24"/>
        </w:rPr>
        <w:t xml:space="preserve">momentum and thermal fields than </w:t>
      </w:r>
      <w:r w:rsidR="000D2474">
        <w:rPr>
          <w:rFonts w:ascii="Times New Roman" w:hAnsi="Times New Roman" w:cs="Times New Roman"/>
          <w:color w:val="000000" w:themeColor="text1"/>
          <w:sz w:val="24"/>
          <w:szCs w:val="24"/>
        </w:rPr>
        <w:t xml:space="preserve">from </w:t>
      </w:r>
      <w:r w:rsidR="00B81E9E">
        <w:rPr>
          <w:rFonts w:ascii="Times New Roman" w:hAnsi="Times New Roman" w:cs="Times New Roman"/>
          <w:color w:val="000000" w:themeColor="text1"/>
          <w:sz w:val="24"/>
          <w:szCs w:val="24"/>
        </w:rPr>
        <w:t xml:space="preserve">the assimilation of observations that only sample </w:t>
      </w:r>
      <w:r w:rsidR="00B227DF">
        <w:rPr>
          <w:rFonts w:ascii="Times New Roman" w:hAnsi="Times New Roman" w:cs="Times New Roman"/>
          <w:color w:val="000000" w:themeColor="text1"/>
          <w:sz w:val="24"/>
          <w:szCs w:val="24"/>
        </w:rPr>
        <w:t>momentum field</w:t>
      </w:r>
      <w:r w:rsidR="00B81E9E">
        <w:rPr>
          <w:rFonts w:ascii="Times New Roman" w:hAnsi="Times New Roman" w:cs="Times New Roman"/>
          <w:color w:val="000000" w:themeColor="text1"/>
          <w:sz w:val="24"/>
          <w:szCs w:val="24"/>
        </w:rPr>
        <w:t>;</w:t>
      </w:r>
      <w:r w:rsidR="00B227DF">
        <w:rPr>
          <w:rFonts w:ascii="Times New Roman" w:hAnsi="Times New Roman" w:cs="Times New Roman"/>
          <w:color w:val="000000" w:themeColor="text1"/>
          <w:sz w:val="24"/>
          <w:szCs w:val="24"/>
        </w:rPr>
        <w:t xml:space="preserve"> </w:t>
      </w:r>
    </w:p>
    <w:p w14:paraId="1E5D6059" w14:textId="1B639201" w:rsidR="00787F1F" w:rsidRPr="001A63A2" w:rsidRDefault="00700BB0" w:rsidP="001A63A2">
      <w:pPr>
        <w:spacing w:after="0" w:line="480" w:lineRule="auto"/>
        <w:ind w:firstLine="432"/>
        <w:rPr>
          <w:rFonts w:ascii="Times New Roman" w:eastAsia="宋体" w:hAnsi="Times New Roman" w:cs="Times New Roman"/>
          <w:sz w:val="24"/>
          <w:szCs w:val="24"/>
        </w:rPr>
      </w:pPr>
      <w:r>
        <w:rPr>
          <w:rFonts w:ascii="Times New Roman" w:hAnsi="Times New Roman" w:cs="Times New Roman"/>
          <w:color w:val="000000" w:themeColor="text1"/>
          <w:sz w:val="24"/>
          <w:szCs w:val="24"/>
        </w:rPr>
        <w:t>iii</w:t>
      </w:r>
      <w:r w:rsidR="5B4C3D29" w:rsidRPr="00723DA9">
        <w:rPr>
          <w:rFonts w:ascii="Times New Roman" w:hAnsi="Times New Roman" w:cs="Times New Roman"/>
          <w:color w:val="000000" w:themeColor="text1"/>
          <w:sz w:val="24"/>
          <w:szCs w:val="24"/>
        </w:rPr>
        <w:t xml:space="preserve">) </w:t>
      </w:r>
      <w:r w:rsidR="001A63A2">
        <w:rPr>
          <w:rFonts w:ascii="Times New Roman" w:hAnsi="Times New Roman" w:cs="Times New Roman"/>
          <w:color w:val="000000" w:themeColor="text1"/>
          <w:sz w:val="24"/>
          <w:szCs w:val="24"/>
        </w:rPr>
        <w:t>During the forecast</w:t>
      </w:r>
      <w:r w:rsidR="001A63A2" w:rsidRPr="001A63A2">
        <w:rPr>
          <w:rFonts w:ascii="Times New Roman" w:hAnsi="Times New Roman" w:cs="Times New Roman"/>
          <w:color w:val="000000" w:themeColor="text1"/>
          <w:sz w:val="24"/>
          <w:szCs w:val="24"/>
        </w:rPr>
        <w:t xml:space="preserve"> </w:t>
      </w:r>
      <w:r w:rsidR="001A63A2">
        <w:rPr>
          <w:rFonts w:ascii="Times New Roman" w:hAnsi="Times New Roman" w:cs="Times New Roman"/>
          <w:color w:val="000000" w:themeColor="text1"/>
          <w:sz w:val="24"/>
          <w:szCs w:val="24"/>
        </w:rPr>
        <w:t>after assimilating vortex-scale observations, t</w:t>
      </w:r>
      <w:r w:rsidR="006B040A">
        <w:rPr>
          <w:rFonts w:ascii="Times New Roman" w:eastAsia="宋体" w:hAnsi="Times New Roman" w:cs="Times New Roman"/>
          <w:sz w:val="24"/>
          <w:szCs w:val="24"/>
        </w:rPr>
        <w:t>he structure forecast tends to benefit more than the corresponding intensity forecast</w:t>
      </w:r>
      <w:r w:rsidR="001A63A2">
        <w:rPr>
          <w:rFonts w:ascii="Times New Roman" w:eastAsia="宋体" w:hAnsi="Times New Roman" w:cs="Times New Roman"/>
          <w:sz w:val="24"/>
          <w:szCs w:val="24"/>
        </w:rPr>
        <w:t xml:space="preserve">.  Such an inconsistency </w:t>
      </w:r>
      <w:r w:rsidR="00CE61ED">
        <w:rPr>
          <w:rFonts w:ascii="Times New Roman" w:eastAsia="宋体" w:hAnsi="Times New Roman" w:cs="Times New Roman"/>
          <w:sz w:val="24"/>
          <w:szCs w:val="24"/>
        </w:rPr>
        <w:t>suggests</w:t>
      </w:r>
      <w:r w:rsidR="001A63A2">
        <w:rPr>
          <w:rFonts w:ascii="Times New Roman" w:eastAsia="宋体" w:hAnsi="Times New Roman" w:cs="Times New Roman"/>
          <w:sz w:val="24"/>
          <w:szCs w:val="24"/>
        </w:rPr>
        <w:t xml:space="preserve"> </w:t>
      </w:r>
      <w:r w:rsidR="00741417">
        <w:rPr>
          <w:rFonts w:ascii="Times New Roman" w:eastAsia="宋体" w:hAnsi="Times New Roman" w:cs="Times New Roman"/>
          <w:sz w:val="24"/>
          <w:szCs w:val="24"/>
        </w:rPr>
        <w:t xml:space="preserve">that </w:t>
      </w:r>
      <w:r w:rsidR="001A63A2">
        <w:rPr>
          <w:rFonts w:ascii="Times New Roman" w:eastAsia="宋体" w:hAnsi="Times New Roman" w:cs="Times New Roman"/>
          <w:sz w:val="24"/>
          <w:szCs w:val="24"/>
        </w:rPr>
        <w:t>b</w:t>
      </w:r>
      <w:r w:rsidR="006B040A">
        <w:rPr>
          <w:rFonts w:ascii="Times New Roman" w:eastAsia="宋体" w:hAnsi="Times New Roman" w:cs="Times New Roman"/>
          <w:sz w:val="24"/>
          <w:szCs w:val="24"/>
        </w:rPr>
        <w:t>etter verification metrics</w:t>
      </w:r>
      <w:r w:rsidR="004F4BBE">
        <w:rPr>
          <w:rFonts w:ascii="Times New Roman" w:eastAsia="宋体" w:hAnsi="Times New Roman" w:cs="Times New Roman"/>
          <w:sz w:val="24"/>
          <w:szCs w:val="24"/>
        </w:rPr>
        <w:t xml:space="preserve"> (e.g. considering size and </w:t>
      </w:r>
      <w:r w:rsidR="00BD4037">
        <w:rPr>
          <w:rFonts w:ascii="Times New Roman" w:eastAsia="宋体" w:hAnsi="Times New Roman" w:cs="Times New Roman"/>
          <w:sz w:val="24"/>
          <w:szCs w:val="24"/>
        </w:rPr>
        <w:t>structure</w:t>
      </w:r>
      <w:r w:rsidR="004F4BBE">
        <w:rPr>
          <w:rFonts w:ascii="Times New Roman" w:eastAsia="宋体" w:hAnsi="Times New Roman" w:cs="Times New Roman"/>
          <w:sz w:val="24"/>
          <w:szCs w:val="24"/>
        </w:rPr>
        <w:t xml:space="preserve">) </w:t>
      </w:r>
      <w:r w:rsidR="006B040A">
        <w:rPr>
          <w:rFonts w:ascii="Times New Roman" w:eastAsia="宋体" w:hAnsi="Times New Roman" w:cs="Times New Roman"/>
          <w:sz w:val="24"/>
          <w:szCs w:val="24"/>
        </w:rPr>
        <w:t>are needed for future TC forecast evaluation</w:t>
      </w:r>
      <w:r w:rsidR="5B4C3D29" w:rsidRPr="00723DA9">
        <w:rPr>
          <w:rFonts w:ascii="Times New Roman" w:hAnsi="Times New Roman" w:cs="Times New Roman"/>
          <w:color w:val="000000" w:themeColor="text1"/>
          <w:sz w:val="24"/>
          <w:szCs w:val="24"/>
        </w:rPr>
        <w:t xml:space="preserve">.  </w:t>
      </w:r>
    </w:p>
    <w:p w14:paraId="0B687D40" w14:textId="28802897" w:rsidR="5B4C3D29" w:rsidRPr="00723DA9" w:rsidRDefault="000561AC" w:rsidP="00771F99">
      <w:pPr>
        <w:spacing w:after="0" w:line="480" w:lineRule="auto"/>
        <w:ind w:firstLine="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Since this is only</w:t>
      </w:r>
      <w:r w:rsidRPr="00723DA9">
        <w:rPr>
          <w:rFonts w:ascii="Times New Roman" w:hAnsi="Times New Roman" w:cs="Times New Roman"/>
          <w:color w:val="000000" w:themeColor="text1"/>
          <w:sz w:val="24"/>
          <w:szCs w:val="24"/>
        </w:rPr>
        <w:t xml:space="preserve"> a preliminary work with </w:t>
      </w:r>
      <w:r>
        <w:rPr>
          <w:rFonts w:ascii="Times New Roman" w:hAnsi="Times New Roman" w:cs="Times New Roman"/>
          <w:color w:val="000000" w:themeColor="text1"/>
          <w:sz w:val="24"/>
          <w:szCs w:val="24"/>
        </w:rPr>
        <w:t>a</w:t>
      </w:r>
      <w:r w:rsidRPr="00723DA9">
        <w:rPr>
          <w:rFonts w:ascii="Times New Roman" w:hAnsi="Times New Roman" w:cs="Times New Roman"/>
          <w:color w:val="000000" w:themeColor="text1"/>
          <w:sz w:val="24"/>
          <w:szCs w:val="24"/>
        </w:rPr>
        <w:t xml:space="preserve"> single case, th</w:t>
      </w:r>
      <w:r w:rsidR="0068592C">
        <w:rPr>
          <w:rFonts w:ascii="Times New Roman" w:hAnsi="Times New Roman" w:cs="Times New Roman"/>
          <w:color w:val="000000" w:themeColor="text1"/>
          <w:sz w:val="24"/>
          <w:szCs w:val="24"/>
        </w:rPr>
        <w:t>e</w:t>
      </w:r>
      <w:r w:rsidRPr="00723DA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results and hints from this </w:t>
      </w:r>
      <w:r w:rsidR="009067C5">
        <w:rPr>
          <w:rFonts w:ascii="Times New Roman" w:hAnsi="Times New Roman" w:cs="Times New Roman"/>
          <w:color w:val="000000" w:themeColor="text1"/>
          <w:sz w:val="24"/>
          <w:szCs w:val="24"/>
        </w:rPr>
        <w:t>Chapter 5</w:t>
      </w:r>
      <w:r>
        <w:rPr>
          <w:rFonts w:ascii="Times New Roman" w:hAnsi="Times New Roman" w:cs="Times New Roman"/>
          <w:color w:val="000000" w:themeColor="text1"/>
          <w:sz w:val="24"/>
          <w:szCs w:val="24"/>
        </w:rPr>
        <w:t xml:space="preserve"> </w:t>
      </w:r>
      <w:r w:rsidR="00F172BB">
        <w:rPr>
          <w:rFonts w:ascii="Times New Roman" w:hAnsi="Times New Roman" w:cs="Times New Roman"/>
          <w:color w:val="000000" w:themeColor="text1"/>
          <w:sz w:val="24"/>
          <w:szCs w:val="24"/>
        </w:rPr>
        <w:t>are</w:t>
      </w:r>
      <w:r>
        <w:rPr>
          <w:rFonts w:ascii="Times New Roman" w:hAnsi="Times New Roman" w:cs="Times New Roman"/>
          <w:color w:val="000000" w:themeColor="text1"/>
          <w:sz w:val="24"/>
          <w:szCs w:val="24"/>
        </w:rPr>
        <w:t xml:space="preserve"> not to draw any statistical conclusions for the data impacts, but to</w:t>
      </w:r>
      <w:r w:rsidRPr="00723DA9">
        <w:rPr>
          <w:rFonts w:ascii="Times New Roman" w:hAnsi="Times New Roman" w:cs="Times New Roman"/>
          <w:color w:val="000000" w:themeColor="text1"/>
          <w:sz w:val="24"/>
          <w:szCs w:val="24"/>
        </w:rPr>
        <w:t xml:space="preserve"> lay </w:t>
      </w:r>
      <w:r w:rsidR="00FB0BD6">
        <w:rPr>
          <w:rFonts w:ascii="Times New Roman" w:hAnsi="Times New Roman" w:cs="Times New Roman"/>
          <w:color w:val="000000" w:themeColor="text1"/>
          <w:sz w:val="24"/>
          <w:szCs w:val="24"/>
        </w:rPr>
        <w:t>the</w:t>
      </w:r>
      <w:r w:rsidRPr="00723DA9">
        <w:rPr>
          <w:rFonts w:ascii="Times New Roman" w:hAnsi="Times New Roman" w:cs="Times New Roman"/>
          <w:color w:val="000000" w:themeColor="text1"/>
          <w:sz w:val="24"/>
          <w:szCs w:val="24"/>
        </w:rPr>
        <w:t xml:space="preserve"> foundation for additional DA methodology and sensitivity impact studies in the future.</w:t>
      </w:r>
      <w:r>
        <w:rPr>
          <w:rFonts w:ascii="Times New Roman" w:hAnsi="Times New Roman" w:cs="Times New Roman"/>
          <w:color w:val="000000" w:themeColor="text1"/>
          <w:sz w:val="24"/>
          <w:szCs w:val="24"/>
        </w:rPr>
        <w:t xml:space="preserve">  </w:t>
      </w:r>
    </w:p>
    <w:p w14:paraId="15036DBD" w14:textId="4DA6FF6F" w:rsidR="24B2FBAD" w:rsidRPr="00723DA9" w:rsidRDefault="24B2FBAD" w:rsidP="00771F99">
      <w:pPr>
        <w:spacing w:after="0" w:line="480" w:lineRule="auto"/>
        <w:ind w:firstLine="432"/>
        <w:rPr>
          <w:rFonts w:ascii="Times New Roman" w:hAnsi="Times New Roman" w:cs="Times New Roman"/>
          <w:color w:val="000000" w:themeColor="text1"/>
          <w:sz w:val="24"/>
          <w:szCs w:val="24"/>
        </w:rPr>
      </w:pPr>
    </w:p>
    <w:p w14:paraId="3F0C1334" w14:textId="688B51DA" w:rsidR="000E079E" w:rsidRPr="00723DA9" w:rsidRDefault="5B4C3D29" w:rsidP="00582D73">
      <w:pPr>
        <w:pStyle w:val="Heading2"/>
        <w:numPr>
          <w:ilvl w:val="1"/>
          <w:numId w:val="28"/>
        </w:numPr>
        <w:spacing w:line="480" w:lineRule="auto"/>
        <w:ind w:left="0" w:firstLine="0"/>
        <w:rPr>
          <w:rFonts w:ascii="Times New Roman" w:hAnsi="Times New Roman" w:cs="Times New Roman"/>
          <w:b/>
          <w:bCs/>
          <w:color w:val="auto"/>
          <w:sz w:val="24"/>
          <w:szCs w:val="24"/>
        </w:rPr>
      </w:pPr>
      <w:bookmarkStart w:id="252" w:name="_Toc21624023"/>
      <w:r w:rsidRPr="00723DA9">
        <w:rPr>
          <w:rFonts w:ascii="Times New Roman" w:hAnsi="Times New Roman" w:cs="Times New Roman"/>
          <w:b/>
          <w:bCs/>
          <w:color w:val="auto"/>
          <w:sz w:val="24"/>
          <w:szCs w:val="24"/>
        </w:rPr>
        <w:t>Future Plans</w:t>
      </w:r>
      <w:bookmarkEnd w:id="252"/>
    </w:p>
    <w:p w14:paraId="5A918AA5" w14:textId="5DAAC5C3" w:rsidR="00786B3F" w:rsidRPr="00723DA9" w:rsidRDefault="5B610C6B" w:rsidP="5B610C6B">
      <w:pPr>
        <w:spacing w:after="0" w:line="480" w:lineRule="auto"/>
        <w:ind w:firstLine="432"/>
        <w:rPr>
          <w:rFonts w:ascii="Times New Roman" w:hAnsi="Times New Roman" w:cs="Times New Roman"/>
          <w:color w:val="000000" w:themeColor="text1"/>
          <w:sz w:val="24"/>
          <w:szCs w:val="24"/>
        </w:rPr>
      </w:pPr>
      <w:r w:rsidRPr="5B610C6B">
        <w:rPr>
          <w:rFonts w:ascii="Times New Roman" w:hAnsi="Times New Roman" w:cs="Times New Roman"/>
          <w:color w:val="000000" w:themeColor="text1"/>
          <w:sz w:val="24"/>
          <w:szCs w:val="24"/>
        </w:rPr>
        <w:t xml:space="preserve">The development of the GSI-based, cycling </w:t>
      </w:r>
      <w:r w:rsidR="006869F4">
        <w:rPr>
          <w:rFonts w:ascii="Times New Roman" w:hAnsi="Times New Roman" w:cs="Times New Roman"/>
          <w:color w:val="000000" w:themeColor="text1"/>
          <w:sz w:val="24"/>
          <w:szCs w:val="24"/>
        </w:rPr>
        <w:t>hybrid</w:t>
      </w:r>
      <w:r w:rsidRPr="5B610C6B">
        <w:rPr>
          <w:rFonts w:ascii="Times New Roman" w:hAnsi="Times New Roman" w:cs="Times New Roman"/>
          <w:color w:val="000000" w:themeColor="text1"/>
          <w:sz w:val="24"/>
          <w:szCs w:val="24"/>
        </w:rPr>
        <w:t xml:space="preserve"> DA system for HWRF provides a great platform to investigate all kinds of scientific questions to improve the TC forecast.  While series of experiments have been carried out </w:t>
      </w:r>
      <w:r w:rsidR="006959EA">
        <w:rPr>
          <w:rFonts w:ascii="Times New Roman" w:hAnsi="Times New Roman" w:cs="Times New Roman"/>
          <w:color w:val="000000" w:themeColor="text1"/>
          <w:sz w:val="24"/>
          <w:szCs w:val="24"/>
        </w:rPr>
        <w:t>in</w:t>
      </w:r>
      <w:r w:rsidRPr="5B610C6B">
        <w:rPr>
          <w:rFonts w:ascii="Times New Roman" w:hAnsi="Times New Roman" w:cs="Times New Roman"/>
          <w:color w:val="000000" w:themeColor="text1"/>
          <w:sz w:val="24"/>
          <w:szCs w:val="24"/>
        </w:rPr>
        <w:t xml:space="preserve"> th</w:t>
      </w:r>
      <w:r w:rsidR="006959EA">
        <w:rPr>
          <w:rFonts w:ascii="Times New Roman" w:hAnsi="Times New Roman" w:cs="Times New Roman"/>
          <w:color w:val="000000" w:themeColor="text1"/>
          <w:sz w:val="24"/>
          <w:szCs w:val="24"/>
        </w:rPr>
        <w:t>is</w:t>
      </w:r>
      <w:r w:rsidRPr="5B610C6B">
        <w:rPr>
          <w:rFonts w:ascii="Times New Roman" w:hAnsi="Times New Roman" w:cs="Times New Roman"/>
          <w:color w:val="000000" w:themeColor="text1"/>
          <w:sz w:val="24"/>
          <w:szCs w:val="24"/>
        </w:rPr>
        <w:t xml:space="preserve"> dissertation, follow-up studies are still needed.  Our </w:t>
      </w:r>
      <w:r w:rsidRPr="5B610C6B">
        <w:rPr>
          <w:rFonts w:ascii="Times New Roman" w:hAnsi="Times New Roman" w:cs="Times New Roman"/>
          <w:color w:val="000000" w:themeColor="text1"/>
          <w:sz w:val="24"/>
          <w:szCs w:val="24"/>
        </w:rPr>
        <w:lastRenderedPageBreak/>
        <w:t>future work will include but not limited to</w:t>
      </w:r>
      <w:r w:rsidR="009B7961">
        <w:rPr>
          <w:rFonts w:ascii="Times New Roman" w:hAnsi="Times New Roman" w:cs="Times New Roman"/>
          <w:color w:val="000000" w:themeColor="text1"/>
          <w:sz w:val="24"/>
          <w:szCs w:val="24"/>
        </w:rPr>
        <w:t xml:space="preserve"> further investigations in</w:t>
      </w:r>
      <w:r w:rsidRPr="5B610C6B">
        <w:rPr>
          <w:rFonts w:ascii="Times New Roman" w:hAnsi="Times New Roman" w:cs="Times New Roman"/>
          <w:color w:val="000000" w:themeColor="text1"/>
          <w:sz w:val="24"/>
          <w:szCs w:val="24"/>
        </w:rPr>
        <w:t xml:space="preserve"> (1) methods to treat the incompatibility between DA and model; (2) methods to treat the nonlinearity and non-</w:t>
      </w:r>
      <w:proofErr w:type="spellStart"/>
      <w:r w:rsidRPr="5B610C6B">
        <w:rPr>
          <w:rFonts w:ascii="Times New Roman" w:hAnsi="Times New Roman" w:cs="Times New Roman"/>
          <w:color w:val="000000" w:themeColor="text1"/>
          <w:sz w:val="24"/>
          <w:szCs w:val="24"/>
        </w:rPr>
        <w:t>G</w:t>
      </w:r>
      <w:r w:rsidR="00593913">
        <w:rPr>
          <w:rFonts w:ascii="Times New Roman" w:hAnsi="Times New Roman" w:cs="Times New Roman"/>
          <w:color w:val="000000" w:themeColor="text1"/>
          <w:sz w:val="24"/>
          <w:szCs w:val="24"/>
        </w:rPr>
        <w:t>a</w:t>
      </w:r>
      <w:r w:rsidRPr="5B610C6B">
        <w:rPr>
          <w:rFonts w:ascii="Times New Roman" w:hAnsi="Times New Roman" w:cs="Times New Roman"/>
          <w:color w:val="000000" w:themeColor="text1"/>
          <w:sz w:val="24"/>
          <w:szCs w:val="24"/>
        </w:rPr>
        <w:t>ussianity</w:t>
      </w:r>
      <w:proofErr w:type="spellEnd"/>
      <w:r w:rsidRPr="5B610C6B">
        <w:rPr>
          <w:rFonts w:ascii="Times New Roman" w:hAnsi="Times New Roman" w:cs="Times New Roman"/>
          <w:color w:val="000000" w:themeColor="text1"/>
          <w:sz w:val="24"/>
          <w:szCs w:val="24"/>
        </w:rPr>
        <w:t xml:space="preserve"> issues during the DA; and (3) the effective assimilation of satellite radiance together with ground</w:t>
      </w:r>
      <w:r w:rsidR="0083372E">
        <w:rPr>
          <w:rFonts w:ascii="Times New Roman" w:hAnsi="Times New Roman" w:cs="Times New Roman"/>
          <w:color w:val="000000" w:themeColor="text1"/>
          <w:sz w:val="24"/>
          <w:szCs w:val="24"/>
        </w:rPr>
        <w:t>-</w:t>
      </w:r>
      <w:r w:rsidRPr="5B610C6B">
        <w:rPr>
          <w:rFonts w:ascii="Times New Roman" w:hAnsi="Times New Roman" w:cs="Times New Roman"/>
          <w:color w:val="000000" w:themeColor="text1"/>
          <w:sz w:val="24"/>
          <w:szCs w:val="24"/>
        </w:rPr>
        <w:t>based remote sensing observations.</w:t>
      </w:r>
      <w:r w:rsidR="5B4C3D29" w:rsidRPr="5B610C6B">
        <w:rPr>
          <w:rFonts w:ascii="Times New Roman" w:hAnsi="Times New Roman" w:cs="Times New Roman"/>
          <w:color w:val="000000" w:themeColor="text1"/>
          <w:sz w:val="24"/>
          <w:szCs w:val="24"/>
        </w:rPr>
        <w:br w:type="page"/>
      </w:r>
    </w:p>
    <w:p w14:paraId="1517C613" w14:textId="04B44B26" w:rsidR="008B33D8" w:rsidRPr="00723DA9" w:rsidRDefault="008B33D8" w:rsidP="00771F99">
      <w:pPr>
        <w:pStyle w:val="Heading1"/>
        <w:spacing w:before="0" w:line="480" w:lineRule="auto"/>
        <w:rPr>
          <w:rFonts w:ascii="Times New Roman" w:hAnsi="Times New Roman" w:cs="Times New Roman"/>
          <w:b/>
          <w:color w:val="auto"/>
          <w:sz w:val="24"/>
          <w:szCs w:val="24"/>
        </w:rPr>
      </w:pPr>
      <w:bookmarkStart w:id="253" w:name="_Toc21624024"/>
      <w:r w:rsidRPr="00723DA9">
        <w:rPr>
          <w:rFonts w:ascii="Times New Roman" w:hAnsi="Times New Roman" w:cs="Times New Roman"/>
          <w:b/>
          <w:color w:val="auto"/>
          <w:sz w:val="24"/>
          <w:szCs w:val="24"/>
        </w:rPr>
        <w:lastRenderedPageBreak/>
        <w:t>References</w:t>
      </w:r>
      <w:bookmarkEnd w:id="253"/>
    </w:p>
    <w:p w14:paraId="17EB8528" w14:textId="1EAFA3A1" w:rsidR="003C7AE5" w:rsidRPr="00790081" w:rsidRDefault="009A2E48"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b/>
          <w:sz w:val="24"/>
          <w:szCs w:val="24"/>
        </w:rPr>
        <w:fldChar w:fldCharType="begin" w:fldLock="1"/>
      </w:r>
      <w:r w:rsidRPr="00790081">
        <w:rPr>
          <w:rFonts w:ascii="Times New Roman" w:hAnsi="Times New Roman" w:cs="Times New Roman"/>
          <w:b/>
          <w:sz w:val="24"/>
          <w:szCs w:val="24"/>
        </w:rPr>
        <w:instrText xml:space="preserve">ADDIN Mendeley Bibliography CSL_BIBLIOGRAPHY </w:instrText>
      </w:r>
      <w:r w:rsidRPr="00790081">
        <w:rPr>
          <w:rFonts w:ascii="Times New Roman" w:hAnsi="Times New Roman" w:cs="Times New Roman"/>
          <w:b/>
          <w:sz w:val="24"/>
          <w:szCs w:val="24"/>
        </w:rPr>
        <w:fldChar w:fldCharType="separate"/>
      </w:r>
      <w:r w:rsidR="003C7AE5" w:rsidRPr="00790081">
        <w:rPr>
          <w:rFonts w:ascii="Times New Roman" w:hAnsi="Times New Roman" w:cs="Times New Roman"/>
          <w:noProof/>
          <w:sz w:val="24"/>
          <w:szCs w:val="24"/>
        </w:rPr>
        <w:t xml:space="preserve">Abarca, S. F., M. T. Montgomery, S. A. Braun, and J. Dunion, 2016: On the secondary eyewall formation of Hurricane Edouard (2014).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MWR-D-15-0421.1.</w:t>
      </w:r>
    </w:p>
    <w:p w14:paraId="1ADBFB5A"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Aksoy, A., S. Lorsolo, T. Vukicevic, K. J. Sellwood, S. D. Aberson, and F. Zhang, 2012: The HWRF Hurricane Ensemble Data Assimilation System (HEDAS) for High-Resolution Data: The Impact of Airborne Doppler Radar Observations in an OSSE.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140</w:t>
      </w:r>
      <w:r w:rsidRPr="00790081">
        <w:rPr>
          <w:rFonts w:ascii="Times New Roman" w:hAnsi="Times New Roman" w:cs="Times New Roman"/>
          <w:noProof/>
          <w:sz w:val="24"/>
          <w:szCs w:val="24"/>
        </w:rPr>
        <w:t>, 1843–1862.</w:t>
      </w:r>
    </w:p>
    <w:p w14:paraId="2E879022" w14:textId="77777777" w:rsidR="00E2122F" w:rsidRPr="00790081" w:rsidRDefault="00E2122F" w:rsidP="00E2122F">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S. D. Aberson, T. Vukicevic, K. J. Sellwood, S. Lorsolo, and X. J. Zhang, 2013: Assimilation of High-Resolution Tropical Cyclone Observations with an Ensemble Kalman Filter Using NOAA/AOML/HRD’s HEDAS: Evaluation of the 2008-11 Vortex-Scale Analyses.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141</w:t>
      </w:r>
      <w:r w:rsidRPr="00790081">
        <w:rPr>
          <w:rFonts w:ascii="Times New Roman" w:hAnsi="Times New Roman" w:cs="Times New Roman"/>
          <w:noProof/>
          <w:sz w:val="24"/>
          <w:szCs w:val="24"/>
        </w:rPr>
        <w:t>, 1842–1865.</w:t>
      </w:r>
    </w:p>
    <w:p w14:paraId="04465C7A"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Barker, D. M., W. Huang, Y.-R. Guo, A. J. Bourgeois, and Q. N. Xiao, 2004: A Three-Dimensional Variational Data Assimilation System for MM5: Implementation and Initial Results.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132</w:t>
      </w:r>
      <w:r w:rsidRPr="00790081">
        <w:rPr>
          <w:rFonts w:ascii="Times New Roman" w:hAnsi="Times New Roman" w:cs="Times New Roman"/>
          <w:noProof/>
          <w:sz w:val="24"/>
          <w:szCs w:val="24"/>
        </w:rPr>
        <w:t>, 897–914.</w:t>
      </w:r>
    </w:p>
    <w:p w14:paraId="1A567151"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Bauer, P., P. Lopez, A. Benedetti, D. Salmond, and E. Moreau, 2006: Implementation of 1D+4D-Var assimilation of precipitation-affected microwave radiances at ECMWF. I: 1D-Var.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132</w:t>
      </w:r>
      <w:r w:rsidRPr="00790081">
        <w:rPr>
          <w:rFonts w:ascii="Times New Roman" w:hAnsi="Times New Roman" w:cs="Times New Roman"/>
          <w:noProof/>
          <w:sz w:val="24"/>
          <w:szCs w:val="24"/>
        </w:rPr>
        <w:t>, 2277–2306.</w:t>
      </w:r>
    </w:p>
    <w:p w14:paraId="0145DE5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 J. Geer, P. Lopez, and D. Salmond, 2010: Direct 4D-Var assimilation of all-sky radiances. Part I: Implementation.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136</w:t>
      </w:r>
      <w:r w:rsidRPr="00790081">
        <w:rPr>
          <w:rFonts w:ascii="Times New Roman" w:hAnsi="Times New Roman" w:cs="Times New Roman"/>
          <w:noProof/>
          <w:sz w:val="24"/>
          <w:szCs w:val="24"/>
        </w:rPr>
        <w:t>, 1868–1885.</w:t>
      </w:r>
    </w:p>
    <w:p w14:paraId="7070302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Coauthors, 2011: Satellite cloud and precipitation assimilation at operational NWP centres.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137</w:t>
      </w:r>
      <w:r w:rsidRPr="00790081">
        <w:rPr>
          <w:rFonts w:ascii="Times New Roman" w:hAnsi="Times New Roman" w:cs="Times New Roman"/>
          <w:noProof/>
          <w:sz w:val="24"/>
          <w:szCs w:val="24"/>
        </w:rPr>
        <w:t>, 1934–1951.</w:t>
      </w:r>
    </w:p>
    <w:p w14:paraId="1AF46C57" w14:textId="6018FFCB"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Bell, M. M., and Coauthors, 2016: ONR Tropical Cyclone Intensity 2015 NASA WB-57 HDSS dropsonde data, version 1.0</w:t>
      </w:r>
      <w:r w:rsidR="00790081" w:rsidRPr="00790081">
        <w:rPr>
          <w:rFonts w:ascii="Times New Roman" w:hAnsi="Times New Roman" w:cs="Times New Roman"/>
          <w:noProof/>
          <w:sz w:val="24"/>
          <w:szCs w:val="24"/>
        </w:rPr>
        <w:t>. UCAR/NCAR Earth Observing Laboratory, accessed 12 April 2016, doi:https://doi.org/10.5065/D6KW5D8M</w:t>
      </w:r>
      <w:r w:rsidRPr="00790081">
        <w:rPr>
          <w:rFonts w:ascii="Times New Roman" w:hAnsi="Times New Roman" w:cs="Times New Roman"/>
          <w:noProof/>
          <w:sz w:val="24"/>
          <w:szCs w:val="24"/>
        </w:rPr>
        <w:t>.</w:t>
      </w:r>
    </w:p>
    <w:p w14:paraId="2DED03B9"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Bender, M. A., 1993: Improvements in Tropical Cyclone Track and Intensity Forecasts Using the GFDL Initialization System.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121</w:t>
      </w:r>
      <w:r w:rsidRPr="00790081">
        <w:rPr>
          <w:rFonts w:ascii="Times New Roman" w:hAnsi="Times New Roman" w:cs="Times New Roman"/>
          <w:noProof/>
          <w:sz w:val="24"/>
          <w:szCs w:val="24"/>
        </w:rPr>
        <w:t>, 2046–2061.</w:t>
      </w:r>
    </w:p>
    <w:p w14:paraId="78B499EF" w14:textId="7583DFC2"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Bernardet, L., V. Tallapragada, C. Holt, S. Trahan, M. Biswas, L. Carson, H. Shao, and C. Zhou, 2015: Transition of Research to the Operational Hurricane WRF model: the Role of the Developmental Testbed Center. </w:t>
      </w:r>
      <w:r w:rsidRPr="00790081">
        <w:rPr>
          <w:rFonts w:ascii="Times New Roman" w:hAnsi="Times New Roman" w:cs="Times New Roman"/>
          <w:i/>
          <w:iCs/>
          <w:noProof/>
          <w:sz w:val="24"/>
          <w:szCs w:val="24"/>
        </w:rPr>
        <w:t>6th NOAA Testbeds and Proving Grounds Workshop</w:t>
      </w:r>
      <w:r w:rsidRPr="00790081">
        <w:rPr>
          <w:rFonts w:ascii="Times New Roman" w:hAnsi="Times New Roman" w:cs="Times New Roman"/>
          <w:noProof/>
          <w:sz w:val="24"/>
          <w:szCs w:val="24"/>
        </w:rPr>
        <w:t xml:space="preserve">, </w:t>
      </w:r>
      <w:r w:rsidR="00C7269D" w:rsidRPr="00790081">
        <w:rPr>
          <w:rFonts w:ascii="Times New Roman" w:hAnsi="Times New Roman" w:cs="Times New Roman"/>
          <w:noProof/>
          <w:sz w:val="24"/>
          <w:szCs w:val="24"/>
        </w:rPr>
        <w:t xml:space="preserve">2015 Apr 14-16, </w:t>
      </w:r>
      <w:r w:rsidRPr="00790081">
        <w:rPr>
          <w:rFonts w:ascii="Times New Roman" w:hAnsi="Times New Roman" w:cs="Times New Roman"/>
          <w:noProof/>
          <w:sz w:val="24"/>
          <w:szCs w:val="24"/>
        </w:rPr>
        <w:t>Boulder, CO.</w:t>
      </w:r>
    </w:p>
    <w:p w14:paraId="43825BD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Black, P., L. Harrison, M. Beaubien, R. Bluth, R. Woods, A. Penny, R. W. Smith, and J. D. Doyle, 2017: High-Definition Sounding System (HDSS) for Atmospheric Profiling. </w:t>
      </w:r>
      <w:r w:rsidRPr="00790081">
        <w:rPr>
          <w:rFonts w:ascii="Times New Roman" w:hAnsi="Times New Roman" w:cs="Times New Roman"/>
          <w:i/>
          <w:iCs/>
          <w:noProof/>
          <w:sz w:val="24"/>
          <w:szCs w:val="24"/>
        </w:rPr>
        <w:t>J. Atmos. Ocean. Technol.</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34</w:t>
      </w:r>
      <w:r w:rsidRPr="00790081">
        <w:rPr>
          <w:rFonts w:ascii="Times New Roman" w:hAnsi="Times New Roman" w:cs="Times New Roman"/>
          <w:noProof/>
          <w:sz w:val="24"/>
          <w:szCs w:val="24"/>
        </w:rPr>
        <w:t>, 777–796.</w:t>
      </w:r>
    </w:p>
    <w:p w14:paraId="7B09FDE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Braun, S. A., M. T. Montgomery, and Z. Pu, 2006: High-Resolution Simulation of Hurricane Bonnie (1998). Part I: The Organization of Eyewall Vertical Motion.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63</w:t>
      </w:r>
      <w:r w:rsidRPr="00790081">
        <w:rPr>
          <w:rFonts w:ascii="Times New Roman" w:hAnsi="Times New Roman" w:cs="Times New Roman"/>
          <w:noProof/>
          <w:sz w:val="24"/>
          <w:szCs w:val="24"/>
        </w:rPr>
        <w:t>, 19–42.</w:t>
      </w:r>
    </w:p>
    <w:p w14:paraId="495D721C" w14:textId="24333BD9"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P. A. Newman, and G. M. Heymsfield, 2016: NASA’S HURRICANE AND SEVERE STORM SENTINEL (HS3) INVESTIGATION. </w:t>
      </w:r>
      <w:r w:rsidR="003C7AE5" w:rsidRPr="00790081">
        <w:rPr>
          <w:rFonts w:ascii="Times New Roman" w:hAnsi="Times New Roman" w:cs="Times New Roman"/>
          <w:i/>
          <w:iCs/>
          <w:noProof/>
          <w:sz w:val="24"/>
          <w:szCs w:val="24"/>
        </w:rPr>
        <w:t>Bull. Amer. Meteor. Soc.</w:t>
      </w:r>
      <w:r w:rsidR="003C7AE5" w:rsidRPr="00790081">
        <w:rPr>
          <w:rFonts w:ascii="Times New Roman" w:hAnsi="Times New Roman" w:cs="Times New Roman"/>
          <w:noProof/>
          <w:sz w:val="24"/>
          <w:szCs w:val="24"/>
        </w:rPr>
        <w:t>, 2085–2102.</w:t>
      </w:r>
    </w:p>
    <w:p w14:paraId="20EF803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Bryan, G. H., 2012: Effects of Surface Exchange Coefficients and Turbulence Length Scales on the Intensity and Structure of Numerically Simulated Hurricanes.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140</w:t>
      </w:r>
      <w:r w:rsidRPr="00790081">
        <w:rPr>
          <w:rFonts w:ascii="Times New Roman" w:hAnsi="Times New Roman" w:cs="Times New Roman"/>
          <w:noProof/>
          <w:sz w:val="24"/>
          <w:szCs w:val="24"/>
        </w:rPr>
        <w:t>, 1125–1143.</w:t>
      </w:r>
    </w:p>
    <w:p w14:paraId="1F16112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Bryan, G. H., and R. Rotunno, 2009a: Evaluation of an Analytical Model for the Maximum Intensity of Tropical Cyclones.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66</w:t>
      </w:r>
      <w:r w:rsidRPr="00790081">
        <w:rPr>
          <w:rFonts w:ascii="Times New Roman" w:hAnsi="Times New Roman" w:cs="Times New Roman"/>
          <w:noProof/>
          <w:sz w:val="24"/>
          <w:szCs w:val="24"/>
        </w:rPr>
        <w:t>, 3042–3060.</w:t>
      </w:r>
    </w:p>
    <w:p w14:paraId="2C9DAD5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 2009b: The Maximum Intensity of Tropical Cyclones in Axisymmetric Numerical Model Simulations.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137</w:t>
      </w:r>
      <w:r w:rsidRPr="00790081">
        <w:rPr>
          <w:rFonts w:ascii="Times New Roman" w:hAnsi="Times New Roman" w:cs="Times New Roman"/>
          <w:noProof/>
          <w:sz w:val="24"/>
          <w:szCs w:val="24"/>
        </w:rPr>
        <w:t>, 1770–1789.</w:t>
      </w:r>
    </w:p>
    <w:p w14:paraId="38107D3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Buehner, M., P. L. Houtekamer, C. Charette, H. L. Mitchell, and B. He, 2010: Intercomparison of Variational Data Assimilation and the Ensemble Kalman Filter for Global Deterministic NWP. Part II: One-Month Experiments with Real Observations.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138</w:t>
      </w:r>
      <w:r w:rsidRPr="00790081">
        <w:rPr>
          <w:rFonts w:ascii="Times New Roman" w:hAnsi="Times New Roman" w:cs="Times New Roman"/>
          <w:noProof/>
          <w:sz w:val="24"/>
          <w:szCs w:val="24"/>
        </w:rPr>
        <w:t xml:space="preserve">, </w:t>
      </w:r>
      <w:r w:rsidRPr="00790081">
        <w:rPr>
          <w:rFonts w:ascii="Times New Roman" w:hAnsi="Times New Roman" w:cs="Times New Roman"/>
          <w:noProof/>
          <w:sz w:val="24"/>
          <w:szCs w:val="24"/>
        </w:rPr>
        <w:lastRenderedPageBreak/>
        <w:t>1567–1586.</w:t>
      </w:r>
    </w:p>
    <w:p w14:paraId="6BA1465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Chen, H., and D.-L. Zhang, 2013: On the Rapid Intensification of Hurricane Wilma (2005). Part II: Convective bursts and the upper-level warm core.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70</w:t>
      </w:r>
      <w:r w:rsidRPr="00790081">
        <w:rPr>
          <w:rFonts w:ascii="Times New Roman" w:hAnsi="Times New Roman" w:cs="Times New Roman"/>
          <w:noProof/>
          <w:sz w:val="24"/>
          <w:szCs w:val="24"/>
        </w:rPr>
        <w:t>, 146–162.</w:t>
      </w:r>
    </w:p>
    <w:p w14:paraId="2513F50F"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 J. Carton, and R. Atlas, 2011: On the Rapid Intensification of Hurricane Wilma (2005). Part I: Model Prediction and Structural Changes. </w:t>
      </w:r>
      <w:r w:rsidRPr="00790081">
        <w:rPr>
          <w:rFonts w:ascii="Times New Roman" w:hAnsi="Times New Roman" w:cs="Times New Roman"/>
          <w:i/>
          <w:iCs/>
          <w:noProof/>
          <w:sz w:val="24"/>
          <w:szCs w:val="24"/>
        </w:rPr>
        <w:t>Wea. Forecast.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26</w:t>
      </w:r>
      <w:r w:rsidRPr="00790081">
        <w:rPr>
          <w:rFonts w:ascii="Times New Roman" w:hAnsi="Times New Roman" w:cs="Times New Roman"/>
          <w:noProof/>
          <w:sz w:val="24"/>
          <w:szCs w:val="24"/>
        </w:rPr>
        <w:t>, 885–901.</w:t>
      </w:r>
    </w:p>
    <w:p w14:paraId="09AD13B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Chen, Y., and C. Snyder, 2007: Assimilating Vortex Position with an Ensemble Kalman Filter.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135</w:t>
      </w:r>
      <w:r w:rsidRPr="00790081">
        <w:rPr>
          <w:rFonts w:ascii="Times New Roman" w:hAnsi="Times New Roman" w:cs="Times New Roman"/>
          <w:noProof/>
          <w:sz w:val="24"/>
          <w:szCs w:val="24"/>
        </w:rPr>
        <w:t>, 1828–1845.</w:t>
      </w:r>
    </w:p>
    <w:p w14:paraId="4FD965EF"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Clayton,  a. M.,  a. C. Lorenc, and D. M. Barker, 2013: Operational implementation of a hybrid ensemble/4D-Var global data assimilation system at the Met Office.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139</w:t>
      </w:r>
      <w:r w:rsidRPr="00790081">
        <w:rPr>
          <w:rFonts w:ascii="Times New Roman" w:hAnsi="Times New Roman" w:cs="Times New Roman"/>
          <w:noProof/>
          <w:sz w:val="24"/>
          <w:szCs w:val="24"/>
        </w:rPr>
        <w:t>, 1445–1461.</w:t>
      </w:r>
    </w:p>
    <w:p w14:paraId="62286C9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Cram, T. a., J. Persing, M. T. Montgomery, and S. a. Braun, 2007: A Lagrangian Trajectory View on Transport and Mixing Processes between the Eye, Eyewall, and Environment Using a High-Resolution Simulation of Hurricane Bonnie (1998).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64</w:t>
      </w:r>
      <w:r w:rsidRPr="00790081">
        <w:rPr>
          <w:rFonts w:ascii="Times New Roman" w:hAnsi="Times New Roman" w:cs="Times New Roman"/>
          <w:noProof/>
          <w:sz w:val="24"/>
          <w:szCs w:val="24"/>
        </w:rPr>
        <w:t>, 1835–1856.</w:t>
      </w:r>
    </w:p>
    <w:p w14:paraId="43DAFD3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Davis, C., and L. F. Bosart, 2002: Numerical Simulations of the Genesis of Hurricane Diana (1984). Part II: Sensitivity of Track and Intensity Prediction.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130</w:t>
      </w:r>
      <w:r w:rsidRPr="00790081">
        <w:rPr>
          <w:rFonts w:ascii="Times New Roman" w:hAnsi="Times New Roman" w:cs="Times New Roman"/>
          <w:noProof/>
          <w:sz w:val="24"/>
          <w:szCs w:val="24"/>
        </w:rPr>
        <w:t>, 1100–1124.</w:t>
      </w:r>
    </w:p>
    <w:p w14:paraId="433082A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W. Wang, J. Dudhia, and R. Torn, 2010: Does Increased Horizontal Resolution Improve Hurricane Wind Forecasts? </w:t>
      </w:r>
      <w:r w:rsidRPr="00790081">
        <w:rPr>
          <w:rFonts w:ascii="Times New Roman" w:hAnsi="Times New Roman" w:cs="Times New Roman"/>
          <w:i/>
          <w:iCs/>
          <w:noProof/>
          <w:sz w:val="24"/>
          <w:szCs w:val="24"/>
        </w:rPr>
        <w:t>Wea. Forecast.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25</w:t>
      </w:r>
      <w:r w:rsidRPr="00790081">
        <w:rPr>
          <w:rFonts w:ascii="Times New Roman" w:hAnsi="Times New Roman" w:cs="Times New Roman"/>
          <w:noProof/>
          <w:sz w:val="24"/>
          <w:szCs w:val="24"/>
        </w:rPr>
        <w:t>, 1826–1841.</w:t>
      </w:r>
    </w:p>
    <w:p w14:paraId="3710A3BF"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Dong, J., and M. Xue, 2013: Assimilation of radial velocity and reflectivity data from coastal WSR-88D radars using an ensemble Kalman filter for the analysis and forecast of landfalling hurricane Ike (2008).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139</w:t>
      </w:r>
      <w:r w:rsidRPr="00790081">
        <w:rPr>
          <w:rFonts w:ascii="Times New Roman" w:hAnsi="Times New Roman" w:cs="Times New Roman"/>
          <w:noProof/>
          <w:sz w:val="24"/>
          <w:szCs w:val="24"/>
        </w:rPr>
        <w:t>, 467–487.</w:t>
      </w:r>
    </w:p>
    <w:p w14:paraId="1466ABE2"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Doyle, J. D., and Coauthors, 2017: A View of Tropical Cyclones from Above: The Tropical </w:t>
      </w:r>
      <w:r w:rsidRPr="00790081">
        <w:rPr>
          <w:rFonts w:ascii="Times New Roman" w:hAnsi="Times New Roman" w:cs="Times New Roman"/>
          <w:noProof/>
          <w:sz w:val="24"/>
          <w:szCs w:val="24"/>
        </w:rPr>
        <w:lastRenderedPageBreak/>
        <w:t xml:space="preserve">Cyclone Intensity (TCI) Experiment. </w:t>
      </w:r>
      <w:r w:rsidRPr="00790081">
        <w:rPr>
          <w:rFonts w:ascii="Times New Roman" w:hAnsi="Times New Roman" w:cs="Times New Roman"/>
          <w:i/>
          <w:iCs/>
          <w:noProof/>
          <w:sz w:val="24"/>
          <w:szCs w:val="24"/>
        </w:rPr>
        <w:t>Bull. Am.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98</w:t>
      </w:r>
      <w:r w:rsidRPr="00790081">
        <w:rPr>
          <w:rFonts w:ascii="Times New Roman" w:hAnsi="Times New Roman" w:cs="Times New Roman"/>
          <w:noProof/>
          <w:sz w:val="24"/>
          <w:szCs w:val="24"/>
        </w:rPr>
        <w:t>, 2113–2134.</w:t>
      </w:r>
    </w:p>
    <w:p w14:paraId="0A92EE59" w14:textId="77777777" w:rsidR="00E2122F" w:rsidRPr="00790081" w:rsidRDefault="00E2122F" w:rsidP="00E2122F">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Emanuel, K. A., 1986: An Air-Sea Interaction Theory for Tropical Cyclones. Part I: Steady-State Maintenance.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43</w:t>
      </w:r>
      <w:r w:rsidRPr="00790081">
        <w:rPr>
          <w:rFonts w:ascii="Times New Roman" w:hAnsi="Times New Roman" w:cs="Times New Roman"/>
          <w:noProof/>
          <w:sz w:val="24"/>
          <w:szCs w:val="24"/>
        </w:rPr>
        <w:t>, 585–605.</w:t>
      </w:r>
    </w:p>
    <w:p w14:paraId="41DCBA3E" w14:textId="06EFF1C0"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1995: Sensitivity of Tropical Cyclones to Surface Exchange Coefficients and a Revised Steady-State Model incorporating Eye Dynamics. </w:t>
      </w:r>
      <w:r w:rsidR="003C7AE5" w:rsidRPr="00790081">
        <w:rPr>
          <w:rFonts w:ascii="Times New Roman" w:hAnsi="Times New Roman" w:cs="Times New Roman"/>
          <w:i/>
          <w:iCs/>
          <w:noProof/>
          <w:sz w:val="24"/>
          <w:szCs w:val="24"/>
        </w:rPr>
        <w:t>J. Atmos. Sci.</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52</w:t>
      </w:r>
      <w:r w:rsidR="003C7AE5" w:rsidRPr="00790081">
        <w:rPr>
          <w:rFonts w:ascii="Times New Roman" w:hAnsi="Times New Roman" w:cs="Times New Roman"/>
          <w:noProof/>
          <w:sz w:val="24"/>
          <w:szCs w:val="24"/>
        </w:rPr>
        <w:t>, 3969–3976.</w:t>
      </w:r>
    </w:p>
    <w:p w14:paraId="4BE1BEC1"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1997: Some Aspects of Hurricane Inner-Core Dynamics and Energetics.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54</w:t>
      </w:r>
      <w:r w:rsidRPr="00790081">
        <w:rPr>
          <w:rFonts w:ascii="Times New Roman" w:hAnsi="Times New Roman" w:cs="Times New Roman"/>
          <w:noProof/>
          <w:sz w:val="24"/>
          <w:szCs w:val="24"/>
        </w:rPr>
        <w:t>, 1014–1026.</w:t>
      </w:r>
    </w:p>
    <w:p w14:paraId="2CE0B8A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Fels, S. B., and M. D. Schwarzkopf, 1975: The simplified exchange approximation: A new method for radiative transfer calculations.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32</w:t>
      </w:r>
      <w:r w:rsidRPr="00790081">
        <w:rPr>
          <w:rFonts w:ascii="Times New Roman" w:hAnsi="Times New Roman" w:cs="Times New Roman"/>
          <w:noProof/>
          <w:sz w:val="24"/>
          <w:szCs w:val="24"/>
        </w:rPr>
        <w:t>, 1475–1488.</w:t>
      </w:r>
    </w:p>
    <w:p w14:paraId="44188A2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Ferrier, B. S., 2005: An efficient mixed-phase cloud and precipitation scheme for use in Operational NWP Models. </w:t>
      </w:r>
      <w:r w:rsidRPr="00790081">
        <w:rPr>
          <w:rFonts w:ascii="Times New Roman" w:hAnsi="Times New Roman" w:cs="Times New Roman"/>
          <w:i/>
          <w:iCs/>
          <w:noProof/>
          <w:sz w:val="24"/>
          <w:szCs w:val="24"/>
        </w:rPr>
        <w:t>American Geophysical Union, Spring Meeting 2005, abstract id. A42A-02</w:t>
      </w:r>
      <w:r w:rsidRPr="00790081">
        <w:rPr>
          <w:rFonts w:ascii="Times New Roman" w:hAnsi="Times New Roman" w:cs="Times New Roman"/>
          <w:noProof/>
          <w:sz w:val="24"/>
          <w:szCs w:val="24"/>
        </w:rPr>
        <w:t>.</w:t>
      </w:r>
    </w:p>
    <w:p w14:paraId="7C77D4F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Fierro, A. O., and J. M. Reisner, 2011: High-Resolution Simulation of the Electrification and Lightning of Hurricane Rita during the Period of Rapid Intensification.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68</w:t>
      </w:r>
      <w:r w:rsidRPr="00790081">
        <w:rPr>
          <w:rFonts w:ascii="Times New Roman" w:hAnsi="Times New Roman" w:cs="Times New Roman"/>
          <w:noProof/>
          <w:sz w:val="24"/>
          <w:szCs w:val="24"/>
        </w:rPr>
        <w:t>, 477–494.</w:t>
      </w:r>
    </w:p>
    <w:p w14:paraId="1C315AA0" w14:textId="7E2B9000"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Friedman, H. A., 1982: Airborne research meteorological data collected by the National Hurricane Research Laboratory during the NOAA/RFC WP-3D era : inventory and availability.</w:t>
      </w:r>
      <w:r w:rsidR="006777CC" w:rsidRPr="00790081">
        <w:rPr>
          <w:rFonts w:ascii="Times New Roman" w:hAnsi="Times New Roman" w:cs="Times New Roman"/>
          <w:noProof/>
          <w:sz w:val="24"/>
          <w:szCs w:val="24"/>
        </w:rPr>
        <w:t xml:space="preserve"> https://repository.library.noaa.gov/view/noaa/9448</w:t>
      </w:r>
    </w:p>
    <w:p w14:paraId="2C6E78C7" w14:textId="2FF13CA4"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1984: Airborne research meteorological data collected by the National Hurricane Research Laboratory (Hurricane Research Division/AOML) during the 1982-1983 hurricane seasons : inventory and availability.</w:t>
      </w:r>
      <w:r w:rsidR="006777CC" w:rsidRPr="00790081">
        <w:rPr>
          <w:rFonts w:ascii="Times New Roman" w:hAnsi="Times New Roman" w:cs="Times New Roman"/>
          <w:sz w:val="24"/>
          <w:szCs w:val="24"/>
        </w:rPr>
        <w:t xml:space="preserve"> </w:t>
      </w:r>
      <w:r w:rsidR="006777CC" w:rsidRPr="00790081">
        <w:rPr>
          <w:rFonts w:ascii="Times New Roman" w:hAnsi="Times New Roman" w:cs="Times New Roman"/>
          <w:noProof/>
          <w:sz w:val="24"/>
          <w:szCs w:val="24"/>
        </w:rPr>
        <w:t xml:space="preserve">https://catalog.hathitrust.org/Record/102347235 </w:t>
      </w:r>
    </w:p>
    <w:p w14:paraId="251C3D2A" w14:textId="418DB320"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Gamache, J., 2005: </w:t>
      </w:r>
      <w:r w:rsidR="006777CC" w:rsidRPr="00790081">
        <w:rPr>
          <w:rFonts w:ascii="Times New Roman" w:hAnsi="Times New Roman" w:cs="Times New Roman"/>
          <w:noProof/>
          <w:sz w:val="24"/>
          <w:szCs w:val="24"/>
        </w:rPr>
        <w:t xml:space="preserve">Real-time dissemination of hurricane wind fields determined from airborne Doppler radar data real-time dissemination of hurricane wind fields determined. JHT </w:t>
      </w:r>
      <w:r w:rsidR="006777CC" w:rsidRPr="00790081">
        <w:rPr>
          <w:rFonts w:ascii="Times New Roman" w:hAnsi="Times New Roman" w:cs="Times New Roman"/>
          <w:noProof/>
          <w:sz w:val="24"/>
          <w:szCs w:val="24"/>
        </w:rPr>
        <w:lastRenderedPageBreak/>
        <w:t>Project Final Rep., 38 pp., http://www.nhc.noaa.gov/jht/2003-2005reports/DOPLRgamache_JHTfinalreport.pdf</w:t>
      </w:r>
      <w:r w:rsidRPr="00790081">
        <w:rPr>
          <w:rFonts w:ascii="Times New Roman" w:hAnsi="Times New Roman" w:cs="Times New Roman"/>
          <w:noProof/>
          <w:sz w:val="24"/>
          <w:szCs w:val="24"/>
        </w:rPr>
        <w:t>.</w:t>
      </w:r>
    </w:p>
    <w:p w14:paraId="47634A0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Gamache, J. F., J. Robert A. Houze, and J. Frank D. Marks, 1993: Dual-Aircraft Investigation of the Inner Core of Hurricane Norbert. Part III: Water Budget.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50</w:t>
      </w:r>
      <w:r w:rsidRPr="00790081">
        <w:rPr>
          <w:rFonts w:ascii="Times New Roman" w:hAnsi="Times New Roman" w:cs="Times New Roman"/>
          <w:noProof/>
          <w:sz w:val="24"/>
          <w:szCs w:val="24"/>
        </w:rPr>
        <w:t>, 3221–3243.</w:t>
      </w:r>
    </w:p>
    <w:p w14:paraId="471CADB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Gao, J., and M. Xue, 2008: An Efficient Dual-Resolution Approach for Ensemble Data Assimilation and Tests with Simulated Doppler Radar Data.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136</w:t>
      </w:r>
      <w:r w:rsidRPr="00790081">
        <w:rPr>
          <w:rFonts w:ascii="Times New Roman" w:hAnsi="Times New Roman" w:cs="Times New Roman"/>
          <w:noProof/>
          <w:sz w:val="24"/>
          <w:szCs w:val="24"/>
        </w:rPr>
        <w:t>, 945–963.</w:t>
      </w:r>
    </w:p>
    <w:p w14:paraId="3241FD6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Gaspari, G., and S. E. Cohn, 1999: Construction of correlation functions in two and three dimensions.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125</w:t>
      </w:r>
      <w:r w:rsidRPr="00790081">
        <w:rPr>
          <w:rFonts w:ascii="Times New Roman" w:hAnsi="Times New Roman" w:cs="Times New Roman"/>
          <w:noProof/>
          <w:sz w:val="24"/>
          <w:szCs w:val="24"/>
        </w:rPr>
        <w:t>, 723–757.</w:t>
      </w:r>
    </w:p>
    <w:p w14:paraId="28A35F2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Geer, A. J., and Coauthors, 2017: All-sky satellite data assimilation at operational weather forecasting centres.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w:t>
      </w:r>
    </w:p>
    <w:p w14:paraId="1E85B22F" w14:textId="299CBECA"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Coauthors, 2018: All-sky satellite data assimilation at operational weather forecasting centres. </w:t>
      </w:r>
      <w:r w:rsidR="003C7AE5" w:rsidRPr="00790081">
        <w:rPr>
          <w:rFonts w:ascii="Times New Roman" w:hAnsi="Times New Roman" w:cs="Times New Roman"/>
          <w:i/>
          <w:iCs/>
          <w:noProof/>
          <w:sz w:val="24"/>
          <w:szCs w:val="24"/>
        </w:rPr>
        <w:t>Q. J. R. Meteorol. Soc.</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144</w:t>
      </w:r>
      <w:r w:rsidR="003C7AE5" w:rsidRPr="00790081">
        <w:rPr>
          <w:rFonts w:ascii="Times New Roman" w:hAnsi="Times New Roman" w:cs="Times New Roman"/>
          <w:noProof/>
          <w:sz w:val="24"/>
          <w:szCs w:val="24"/>
        </w:rPr>
        <w:t>, 1191–1217.</w:t>
      </w:r>
    </w:p>
    <w:p w14:paraId="0A11813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Gopalakrishnan, S. G., F. Marks, J. a. Zhang, X. Zhang, J.-W. Bao, and V. Tallapragada, 2013: A Study of the Impacts of Vertical Diffusion on the Structure and Intensity of the Tropical Cyclones Using the High Resolution HWRF system.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70</w:t>
      </w:r>
      <w:r w:rsidRPr="00790081">
        <w:rPr>
          <w:rFonts w:ascii="Times New Roman" w:hAnsi="Times New Roman" w:cs="Times New Roman"/>
          <w:noProof/>
          <w:sz w:val="24"/>
          <w:szCs w:val="24"/>
        </w:rPr>
        <w:t>, 524–541.</w:t>
      </w:r>
    </w:p>
    <w:p w14:paraId="5C96705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Guimond, S. R., G. M. Heymsfield, P. D. Reasor, and A. C. Didlake, 2016: The Rapid Intensification of Hurricane Karl ( 2010 ): New Remote Sensing Observations of Convective Bursts from the Global Hawk Platform.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73</w:t>
      </w:r>
      <w:r w:rsidRPr="00790081">
        <w:rPr>
          <w:rFonts w:ascii="Times New Roman" w:hAnsi="Times New Roman" w:cs="Times New Roman"/>
          <w:noProof/>
          <w:sz w:val="24"/>
          <w:szCs w:val="24"/>
        </w:rPr>
        <w:t>, 3617–3639.</w:t>
      </w:r>
    </w:p>
    <w:p w14:paraId="1260D29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Hack, J. J., and W. H. Schubert, 1986: Nonlinear Response of Atmospheric Vortices to Heating by Organized Cumulus Convection.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43</w:t>
      </w:r>
      <w:r w:rsidRPr="00790081">
        <w:rPr>
          <w:rFonts w:ascii="Times New Roman" w:hAnsi="Times New Roman" w:cs="Times New Roman"/>
          <w:noProof/>
          <w:sz w:val="24"/>
          <w:szCs w:val="24"/>
        </w:rPr>
        <w:t>, 1559–1573.</w:t>
      </w:r>
    </w:p>
    <w:p w14:paraId="277C8111"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Hamill, T. M., J. S. Whitaker, D. T. Kleist, M. Fiorino, and S. G. Benjamin, 2011: Predictions of 2010’s Tropical Cyclones Using the GFS and Ensemble-Based Data Assimilation Methods.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139</w:t>
      </w:r>
      <w:r w:rsidRPr="00790081">
        <w:rPr>
          <w:rFonts w:ascii="Times New Roman" w:hAnsi="Times New Roman" w:cs="Times New Roman"/>
          <w:noProof/>
          <w:sz w:val="24"/>
          <w:szCs w:val="24"/>
        </w:rPr>
        <w:t>, 3243–3247.</w:t>
      </w:r>
    </w:p>
    <w:p w14:paraId="6E702D35"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Han, J., and H. Pan, 2011: Revision of Convection and Vertical Diffusion Schemes in the NCEP Global Forecast System. </w:t>
      </w:r>
      <w:r w:rsidRPr="00790081">
        <w:rPr>
          <w:rFonts w:ascii="Times New Roman" w:hAnsi="Times New Roman" w:cs="Times New Roman"/>
          <w:i/>
          <w:iCs/>
          <w:noProof/>
          <w:sz w:val="24"/>
          <w:szCs w:val="24"/>
        </w:rPr>
        <w:t>Wea. Forecast.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26</w:t>
      </w:r>
      <w:r w:rsidRPr="00790081">
        <w:rPr>
          <w:rFonts w:ascii="Times New Roman" w:hAnsi="Times New Roman" w:cs="Times New Roman"/>
          <w:noProof/>
          <w:sz w:val="24"/>
          <w:szCs w:val="24"/>
        </w:rPr>
        <w:t>, 520–533.</w:t>
      </w:r>
    </w:p>
    <w:p w14:paraId="608347C2"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Holland, G., and R. Merrill, 1984: On the dynamics of tropical cyclone structural changes.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110</w:t>
      </w:r>
      <w:r w:rsidRPr="00790081">
        <w:rPr>
          <w:rFonts w:ascii="Times New Roman" w:hAnsi="Times New Roman" w:cs="Times New Roman"/>
          <w:noProof/>
          <w:sz w:val="24"/>
          <w:szCs w:val="24"/>
        </w:rPr>
        <w:t>, 723–745.</w:t>
      </w:r>
    </w:p>
    <w:p w14:paraId="2764C0E9"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Hong, S.-Y., and H.-L. Pan, 1996: Nonlocal Boundary Layer Vertical Diffusion in a Medium-Range Forecast Model.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124</w:t>
      </w:r>
      <w:r w:rsidRPr="00790081">
        <w:rPr>
          <w:rFonts w:ascii="Times New Roman" w:hAnsi="Times New Roman" w:cs="Times New Roman"/>
          <w:noProof/>
          <w:sz w:val="24"/>
          <w:szCs w:val="24"/>
        </w:rPr>
        <w:t>, 2322–2339.</w:t>
      </w:r>
    </w:p>
    <w:p w14:paraId="5F495F8B"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Houze, R. a, S. S. Chen, B. F. Smull, W.-C. Lee, and M. M. Bell, 2007: Hurricane intensity and eyewall replacement. </w:t>
      </w:r>
      <w:r w:rsidRPr="00790081">
        <w:rPr>
          <w:rFonts w:ascii="Times New Roman" w:hAnsi="Times New Roman" w:cs="Times New Roman"/>
          <w:i/>
          <w:iCs/>
          <w:noProof/>
          <w:sz w:val="24"/>
          <w:szCs w:val="24"/>
        </w:rPr>
        <w:t>Science</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315</w:t>
      </w:r>
      <w:r w:rsidRPr="00790081">
        <w:rPr>
          <w:rFonts w:ascii="Times New Roman" w:hAnsi="Times New Roman" w:cs="Times New Roman"/>
          <w:noProof/>
          <w:sz w:val="24"/>
          <w:szCs w:val="24"/>
        </w:rPr>
        <w:t>, 1235–1239.</w:t>
      </w:r>
    </w:p>
    <w:p w14:paraId="1CE33A7B" w14:textId="1E0791E6"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HRD, 2015: </w:t>
      </w:r>
      <w:r w:rsidR="006777CC" w:rsidRPr="00790081">
        <w:rPr>
          <w:rFonts w:ascii="Times New Roman" w:hAnsi="Times New Roman" w:cs="Times New Roman"/>
          <w:noProof/>
          <w:sz w:val="24"/>
          <w:szCs w:val="24"/>
        </w:rPr>
        <w:t>Hurricane Research Division dataset during Hurricane Patricia. NOAA, accessed 19 November 2017, http://www.aoml.noaa.gov/hrd/Storm_pages/patricia2015/</w:t>
      </w:r>
      <w:r w:rsidRPr="00790081">
        <w:rPr>
          <w:rFonts w:ascii="Times New Roman" w:hAnsi="Times New Roman" w:cs="Times New Roman"/>
          <w:noProof/>
          <w:sz w:val="24"/>
          <w:szCs w:val="24"/>
        </w:rPr>
        <w:t>.</w:t>
      </w:r>
    </w:p>
    <w:p w14:paraId="5447322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Kenul, P., J. Coffey, J. Walker, A. Roberts, and J. Huning, 2018: NOAA Technical Memorandum OAR GSD-61. NOAA Technical Memorandum OAR UAS-003,.</w:t>
      </w:r>
    </w:p>
    <w:p w14:paraId="4A5B3E0F"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Kimberlain, T. B., E. S. Blake, and J. P. Cangialosi, 2016: NATIONAL HURRICANE CENTER TROPICAL CYCLONE REPORT Hurricane Patricia.</w:t>
      </w:r>
    </w:p>
    <w:p w14:paraId="29689B05"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Kleist, D., and K. Ide, 2015a: An OSSE-Based Evaluation of Hybrid Variational – Ensemble Data Assimilation for the NCEP GFS . Part I : System Description and 3D-Hybrid Results. 433–451.</w:t>
      </w:r>
    </w:p>
    <w:p w14:paraId="2D0FD2ED" w14:textId="3CD6F7D3"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K. Ide, 2015b: An OSSE-Based Evaluation of Hybrid Variational–Ensemble Data Assimilation for the NCEP GFS. Part II: 4DEnVar and Hybrid Variants.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143</w:t>
      </w:r>
      <w:r w:rsidR="003C7AE5" w:rsidRPr="00790081">
        <w:rPr>
          <w:rFonts w:ascii="Times New Roman" w:hAnsi="Times New Roman" w:cs="Times New Roman"/>
          <w:noProof/>
          <w:sz w:val="24"/>
          <w:szCs w:val="24"/>
        </w:rPr>
        <w:t>, 452–470.</w:t>
      </w:r>
    </w:p>
    <w:p w14:paraId="531BAC35"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Kuhl, D. D., T. E. Rosmond, C. H. Bishop, J. Mclay, and N. L. Baker, 2013: Comparison of Hybrid Ensemble/4DVar and 4DVar within the NAVDAS-AR Data Assimilation Framework.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141</w:t>
      </w:r>
      <w:r w:rsidRPr="00790081">
        <w:rPr>
          <w:rFonts w:ascii="Times New Roman" w:hAnsi="Times New Roman" w:cs="Times New Roman"/>
          <w:noProof/>
          <w:sz w:val="24"/>
          <w:szCs w:val="24"/>
        </w:rPr>
        <w:t>, 2740–2758.</w:t>
      </w:r>
    </w:p>
    <w:p w14:paraId="67AA4C7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Kurihara, Y., and M. Bender, 1990: Prediction experiments of Hurricane Gloria (1985) using a multiply nested movable mesh model. </w:t>
      </w:r>
      <w:r w:rsidRPr="00790081">
        <w:rPr>
          <w:rFonts w:ascii="Times New Roman" w:hAnsi="Times New Roman" w:cs="Times New Roman"/>
          <w:i/>
          <w:iCs/>
          <w:noProof/>
          <w:sz w:val="24"/>
          <w:szCs w:val="24"/>
        </w:rPr>
        <w:t>Mon. Weather …</w:t>
      </w:r>
      <w:r w:rsidRPr="00790081">
        <w:rPr>
          <w:rFonts w:ascii="Times New Roman" w:hAnsi="Times New Roman" w:cs="Times New Roman"/>
          <w:noProof/>
          <w:sz w:val="24"/>
          <w:szCs w:val="24"/>
        </w:rPr>
        <w:t>,.</w:t>
      </w:r>
    </w:p>
    <w:p w14:paraId="0B452C15" w14:textId="52D90CD6"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M. A. Bender, and R. J. Ross, 1993: An initialization scheme of hurricane models by vortex specification.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121</w:t>
      </w:r>
      <w:r w:rsidR="003C7AE5" w:rsidRPr="00790081">
        <w:rPr>
          <w:rFonts w:ascii="Times New Roman" w:hAnsi="Times New Roman" w:cs="Times New Roman"/>
          <w:noProof/>
          <w:sz w:val="24"/>
          <w:szCs w:val="24"/>
        </w:rPr>
        <w:t>, 2030–2045.</w:t>
      </w:r>
    </w:p>
    <w:p w14:paraId="77B8DED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M. a. Bender, R. E. Tuleya, and R. J. Ross, 1995: Improvements in the GFDL Hurricane Prediction System.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123</w:t>
      </w:r>
      <w:r w:rsidRPr="00790081">
        <w:rPr>
          <w:rFonts w:ascii="Times New Roman" w:hAnsi="Times New Roman" w:cs="Times New Roman"/>
          <w:noProof/>
          <w:sz w:val="24"/>
          <w:szCs w:val="24"/>
        </w:rPr>
        <w:t>, 2791–2801.</w:t>
      </w:r>
    </w:p>
    <w:p w14:paraId="0A49EDA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R. E. Tuleya, and M. A. Bender, 1998: The GFDL Hurricane Prediction System and Its Performance in the 1995 Hurricane Season.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126</w:t>
      </w:r>
      <w:r w:rsidRPr="00790081">
        <w:rPr>
          <w:rFonts w:ascii="Times New Roman" w:hAnsi="Times New Roman" w:cs="Times New Roman"/>
          <w:noProof/>
          <w:sz w:val="24"/>
          <w:szCs w:val="24"/>
        </w:rPr>
        <w:t>, 1306–1322.</w:t>
      </w:r>
    </w:p>
    <w:p w14:paraId="512F93D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Lacis, A. A., and J. E. Hansen, 1974: A parameterization for the absorption of solar radiation in the earth’s atmosphere.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31</w:t>
      </w:r>
      <w:r w:rsidRPr="00790081">
        <w:rPr>
          <w:rFonts w:ascii="Times New Roman" w:hAnsi="Times New Roman" w:cs="Times New Roman"/>
          <w:noProof/>
          <w:sz w:val="24"/>
          <w:szCs w:val="24"/>
        </w:rPr>
        <w:t>, 118–133.</w:t>
      </w:r>
    </w:p>
    <w:p w14:paraId="2948377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Li, Y., 2015: ASSIMILATION OF RADAR OBSERVATIONS WITH ENSEMBLE VARIATIONAL HYBRID DATA ASSIMILATION METHOD FOR THE INITIALIZATION AND PREDICTION OF HURRICANES, Oklahoma University, 1–124 pp.</w:t>
      </w:r>
    </w:p>
    <w:p w14:paraId="528584B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X. Wang, and M. Xue, 2012: Assimilation of Radar Radial Velocity Data with the WRF Hybrid Ensemble-3DVAR System for the Prediction of Hurricane Ike (2008).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140</w:t>
      </w:r>
      <w:r w:rsidRPr="00790081">
        <w:rPr>
          <w:rFonts w:ascii="Times New Roman" w:hAnsi="Times New Roman" w:cs="Times New Roman"/>
          <w:noProof/>
          <w:sz w:val="24"/>
          <w:szCs w:val="24"/>
        </w:rPr>
        <w:t>, 3507–3524.</w:t>
      </w:r>
    </w:p>
    <w:p w14:paraId="67410CD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Liu, Q., T. Marchok, H. Pan, M. Bender, and S. Lord, 2000: Improvements in Hurricane Initialization and Forecasting at NCEP with Global and Regional ( GFDL ) models. </w:t>
      </w:r>
      <w:r w:rsidRPr="00790081">
        <w:rPr>
          <w:rFonts w:ascii="Times New Roman" w:hAnsi="Times New Roman" w:cs="Times New Roman"/>
          <w:i/>
          <w:iCs/>
          <w:noProof/>
          <w:sz w:val="24"/>
          <w:szCs w:val="24"/>
        </w:rPr>
        <w:t>NCEP Office Note</w:t>
      </w:r>
      <w:r w:rsidRPr="00790081">
        <w:rPr>
          <w:rFonts w:ascii="Times New Roman" w:hAnsi="Times New Roman" w:cs="Times New Roman"/>
          <w:noProof/>
          <w:sz w:val="24"/>
          <w:szCs w:val="24"/>
        </w:rPr>
        <w:t>, 472.</w:t>
      </w:r>
    </w:p>
    <w:p w14:paraId="45965BF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S. Lord, N. Surgi, Y. Zhu, R. Wobus, Z. Toth, and T. Marchok, 2006: Hurricane Relocation in Global Ensemble Forecast System. </w:t>
      </w:r>
      <w:r w:rsidRPr="00790081">
        <w:rPr>
          <w:rFonts w:ascii="Times New Roman" w:hAnsi="Times New Roman" w:cs="Times New Roman"/>
          <w:i/>
          <w:iCs/>
          <w:noProof/>
          <w:sz w:val="24"/>
          <w:szCs w:val="24"/>
        </w:rPr>
        <w:t>27th Conference on Hurricanes and Tropical Meteorology</w:t>
      </w:r>
      <w:r w:rsidRPr="00790081">
        <w:rPr>
          <w:rFonts w:ascii="Times New Roman" w:hAnsi="Times New Roman" w:cs="Times New Roman"/>
          <w:noProof/>
          <w:sz w:val="24"/>
          <w:szCs w:val="24"/>
        </w:rPr>
        <w:t>.</w:t>
      </w:r>
    </w:p>
    <w:p w14:paraId="3452CDA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Liu, Y., D.-L. Zhang, and M. K. Yau, 1997: A Multiscale Numerical Study of Hurricane Andrew (1992). Part I: Explicit Simulation and Verification.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125</w:t>
      </w:r>
      <w:r w:rsidRPr="00790081">
        <w:rPr>
          <w:rFonts w:ascii="Times New Roman" w:hAnsi="Times New Roman" w:cs="Times New Roman"/>
          <w:noProof/>
          <w:sz w:val="24"/>
          <w:szCs w:val="24"/>
        </w:rPr>
        <w:t>, 3073–3093.</w:t>
      </w:r>
    </w:p>
    <w:p w14:paraId="67A7441F" w14:textId="733825F6"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Lu, X., and X. Wang, 2019a: Improving Hurricane Analyses and Predictions with </w:t>
      </w:r>
      <w:r w:rsidR="00286C01" w:rsidRPr="00790081">
        <w:rPr>
          <w:rFonts w:ascii="Times New Roman" w:hAnsi="Times New Roman" w:cs="Times New Roman"/>
          <w:noProof/>
          <w:sz w:val="24"/>
          <w:szCs w:val="24"/>
        </w:rPr>
        <w:t>TCI</w:t>
      </w:r>
      <w:r w:rsidRPr="00790081">
        <w:rPr>
          <w:rFonts w:ascii="Times New Roman" w:hAnsi="Times New Roman" w:cs="Times New Roman"/>
          <w:noProof/>
          <w:sz w:val="24"/>
          <w:szCs w:val="24"/>
        </w:rPr>
        <w:t xml:space="preserve">, </w:t>
      </w:r>
      <w:r w:rsidR="00286C01" w:rsidRPr="00790081">
        <w:rPr>
          <w:rFonts w:ascii="Times New Roman" w:hAnsi="Times New Roman" w:cs="Times New Roman"/>
          <w:noProof/>
          <w:sz w:val="24"/>
          <w:szCs w:val="24"/>
        </w:rPr>
        <w:t>IFEX</w:t>
      </w:r>
      <w:r w:rsidRPr="00790081">
        <w:rPr>
          <w:rFonts w:ascii="Times New Roman" w:hAnsi="Times New Roman" w:cs="Times New Roman"/>
          <w:noProof/>
          <w:sz w:val="24"/>
          <w:szCs w:val="24"/>
        </w:rPr>
        <w:t xml:space="preserve"> Field Campaign Observations and CIMSS AMVs Using the Advanced Hybrid Data Assimilation system for HWRF . Part I : What is missing to capture the rapid intensification of Hurricane Patricia (2015</w:t>
      </w:r>
      <w:r w:rsidR="00286C01" w:rsidRPr="00790081">
        <w:rPr>
          <w:rFonts w:ascii="Times New Roman" w:hAnsi="Times New Roman" w:cs="Times New Roman"/>
          <w:noProof/>
          <w:sz w:val="24"/>
          <w:szCs w:val="24"/>
        </w:rPr>
        <w:t xml:space="preserve">) when HWRF is already Initialized with a More Realistic Analysis?. </w:t>
      </w:r>
      <w:r w:rsidR="00286C01" w:rsidRPr="00790081">
        <w:rPr>
          <w:rFonts w:ascii="Times New Roman" w:hAnsi="Times New Roman" w:cs="Times New Roman"/>
          <w:i/>
          <w:iCs/>
          <w:noProof/>
          <w:sz w:val="24"/>
          <w:szCs w:val="24"/>
        </w:rPr>
        <w:t>Mon. Wea. Rev.,</w:t>
      </w:r>
      <w:r w:rsidR="00286C01" w:rsidRPr="00790081">
        <w:rPr>
          <w:rFonts w:ascii="Times New Roman" w:hAnsi="Times New Roman" w:cs="Times New Roman"/>
          <w:noProof/>
          <w:sz w:val="24"/>
          <w:szCs w:val="24"/>
        </w:rPr>
        <w:t xml:space="preserve"> </w:t>
      </w:r>
      <w:r w:rsidR="00286C01" w:rsidRPr="00790081">
        <w:rPr>
          <w:rFonts w:ascii="Times New Roman" w:hAnsi="Times New Roman" w:cs="Times New Roman"/>
          <w:b/>
          <w:bCs/>
          <w:noProof/>
          <w:sz w:val="24"/>
          <w:szCs w:val="24"/>
        </w:rPr>
        <w:t>147</w:t>
      </w:r>
      <w:r w:rsidR="00286C01" w:rsidRPr="00790081">
        <w:rPr>
          <w:rFonts w:ascii="Times New Roman" w:hAnsi="Times New Roman" w:cs="Times New Roman"/>
          <w:noProof/>
          <w:sz w:val="24"/>
          <w:szCs w:val="24"/>
        </w:rPr>
        <w:t>, 1351–1373</w:t>
      </w:r>
      <w:r w:rsidRPr="00790081">
        <w:rPr>
          <w:rFonts w:ascii="Times New Roman" w:hAnsi="Times New Roman" w:cs="Times New Roman"/>
          <w:noProof/>
          <w:sz w:val="24"/>
          <w:szCs w:val="24"/>
        </w:rPr>
        <w:t xml:space="preserve">. </w:t>
      </w:r>
    </w:p>
    <w:p w14:paraId="16ED40AA" w14:textId="1F3714AD"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 2019b: Improving Hurricane Analyses and Predictions with </w:t>
      </w:r>
      <w:r w:rsidR="00286C01" w:rsidRPr="00790081">
        <w:rPr>
          <w:rFonts w:ascii="Times New Roman" w:hAnsi="Times New Roman" w:cs="Times New Roman"/>
          <w:noProof/>
          <w:sz w:val="24"/>
          <w:szCs w:val="24"/>
        </w:rPr>
        <w:t>TCI, IFEX</w:t>
      </w:r>
      <w:r w:rsidRPr="00790081">
        <w:rPr>
          <w:rFonts w:ascii="Times New Roman" w:hAnsi="Times New Roman" w:cs="Times New Roman"/>
          <w:noProof/>
          <w:sz w:val="24"/>
          <w:szCs w:val="24"/>
        </w:rPr>
        <w:t xml:space="preserve"> Field Campaign Observations and CIMSS AMVs Using the Advanced Hybrid Data Assimilation system for HWRF . Part II : Observations Impact on Analyses and Predictions of Patricia ( 2015 ).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w:t>
      </w:r>
      <w:r w:rsidR="00286C01" w:rsidRPr="00790081">
        <w:rPr>
          <w:rFonts w:ascii="Times New Roman" w:hAnsi="Times New Roman" w:cs="Times New Roman"/>
          <w:noProof/>
          <w:sz w:val="24"/>
          <w:szCs w:val="24"/>
        </w:rPr>
        <w:t xml:space="preserve"> submitted in revision</w:t>
      </w:r>
      <w:r w:rsidRPr="00790081">
        <w:rPr>
          <w:rFonts w:ascii="Times New Roman" w:hAnsi="Times New Roman" w:cs="Times New Roman"/>
          <w:noProof/>
          <w:sz w:val="24"/>
          <w:szCs w:val="24"/>
        </w:rPr>
        <w:t>.</w:t>
      </w:r>
    </w:p>
    <w:p w14:paraId="26D686B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 Y. Li, M. Tong, and X. Ma, 2017a: GSI-based ensemble-variational hybrid data assimilation for HWRF for hurricane initialization and prediction: impact of various error covariances for airborne radar observation assimilation.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143</w:t>
      </w:r>
      <w:r w:rsidRPr="00790081">
        <w:rPr>
          <w:rFonts w:ascii="Times New Roman" w:hAnsi="Times New Roman" w:cs="Times New Roman"/>
          <w:noProof/>
          <w:sz w:val="24"/>
          <w:szCs w:val="24"/>
        </w:rPr>
        <w:t>, 223–239.</w:t>
      </w:r>
    </w:p>
    <w:p w14:paraId="0EFABC8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 M. Tong, and V. Tallapragada, 2017b: GSI-based, Continuously Cycled, Dual-Resolution Hybrid Ensemble-Variational Data Assimilation System for HWRF: System Description and Experiments with.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145</w:t>
      </w:r>
      <w:r w:rsidRPr="00790081">
        <w:rPr>
          <w:rFonts w:ascii="Times New Roman" w:hAnsi="Times New Roman" w:cs="Times New Roman"/>
          <w:noProof/>
          <w:sz w:val="24"/>
          <w:szCs w:val="24"/>
        </w:rPr>
        <w:t>, 4877–4898.</w:t>
      </w:r>
    </w:p>
    <w:p w14:paraId="5782C2B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Marks, F. G., and R. A. Houze, 1984: Airborne Doppler Radar Observations in Hurricane Debby. </w:t>
      </w:r>
      <w:r w:rsidRPr="00790081">
        <w:rPr>
          <w:rFonts w:ascii="Times New Roman" w:hAnsi="Times New Roman" w:cs="Times New Roman"/>
          <w:i/>
          <w:iCs/>
          <w:noProof/>
          <w:sz w:val="24"/>
          <w:szCs w:val="24"/>
        </w:rPr>
        <w:t>Bull. Am.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65</w:t>
      </w:r>
      <w:r w:rsidRPr="00790081">
        <w:rPr>
          <w:rFonts w:ascii="Times New Roman" w:hAnsi="Times New Roman" w:cs="Times New Roman"/>
          <w:noProof/>
          <w:sz w:val="24"/>
          <w:szCs w:val="24"/>
        </w:rPr>
        <w:t>, 569–582.</w:t>
      </w:r>
    </w:p>
    <w:p w14:paraId="4B5591EB" w14:textId="7DBF8F39" w:rsidR="00E2122F" w:rsidRPr="00790081" w:rsidRDefault="00E2122F" w:rsidP="00E2122F">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 1987: Inner Core Structure of Hurricane Alicia from Airborne Doppler Radar Observations.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44</w:t>
      </w:r>
      <w:r w:rsidRPr="00790081">
        <w:rPr>
          <w:rFonts w:ascii="Times New Roman" w:hAnsi="Times New Roman" w:cs="Times New Roman"/>
          <w:noProof/>
          <w:sz w:val="24"/>
          <w:szCs w:val="24"/>
        </w:rPr>
        <w:t>, 1296–1317.</w:t>
      </w:r>
    </w:p>
    <w:p w14:paraId="4826E296" w14:textId="77777777" w:rsidR="00E2122F" w:rsidRPr="00790081" w:rsidRDefault="00E2122F" w:rsidP="00E2122F">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Montgomery, M. T., V. A. Vladimirov, and P. V Denissenko, 2002: An experimental study on hurricane mesovortices. </w:t>
      </w:r>
      <w:r w:rsidRPr="00790081">
        <w:rPr>
          <w:rFonts w:ascii="Times New Roman" w:hAnsi="Times New Roman" w:cs="Times New Roman"/>
          <w:i/>
          <w:iCs/>
          <w:noProof/>
          <w:sz w:val="24"/>
          <w:szCs w:val="24"/>
        </w:rPr>
        <w:t>J. Fluid Mech</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471</w:t>
      </w:r>
      <w:r w:rsidRPr="00790081">
        <w:rPr>
          <w:rFonts w:ascii="Times New Roman" w:hAnsi="Times New Roman" w:cs="Times New Roman"/>
          <w:noProof/>
          <w:sz w:val="24"/>
          <w:szCs w:val="24"/>
        </w:rPr>
        <w:t>, 1–32.</w:t>
      </w:r>
    </w:p>
    <w:p w14:paraId="66C7E4B4" w14:textId="77777777" w:rsidR="00E2122F" w:rsidRPr="00790081" w:rsidRDefault="00E2122F" w:rsidP="00E2122F">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 M. E. Nicholls, T. a. Cram, and  a. B. Saunders, 2006: A Vortical Hot Tower Route to Tropical Cyclogenesis.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63</w:t>
      </w:r>
      <w:r w:rsidRPr="00790081">
        <w:rPr>
          <w:rFonts w:ascii="Times New Roman" w:hAnsi="Times New Roman" w:cs="Times New Roman"/>
          <w:noProof/>
          <w:sz w:val="24"/>
          <w:szCs w:val="24"/>
        </w:rPr>
        <w:t>, 355–386.</w:t>
      </w:r>
    </w:p>
    <w:p w14:paraId="4E74AA24" w14:textId="07363B74"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R. K. Smith, 2014: Paradigms for tropical-cyclone intensification. </w:t>
      </w:r>
      <w:r w:rsidR="003C7AE5" w:rsidRPr="00790081">
        <w:rPr>
          <w:rFonts w:ascii="Times New Roman" w:hAnsi="Times New Roman" w:cs="Times New Roman"/>
          <w:i/>
          <w:iCs/>
          <w:noProof/>
          <w:sz w:val="24"/>
          <w:szCs w:val="24"/>
        </w:rPr>
        <w:t>Aust. Meteor. Ocean. J.</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64</w:t>
      </w:r>
      <w:r w:rsidR="003C7AE5" w:rsidRPr="00790081">
        <w:rPr>
          <w:rFonts w:ascii="Times New Roman" w:hAnsi="Times New Roman" w:cs="Times New Roman"/>
          <w:noProof/>
          <w:sz w:val="24"/>
          <w:szCs w:val="24"/>
        </w:rPr>
        <w:t>, 37–66.</w:t>
      </w:r>
    </w:p>
    <w:p w14:paraId="200E514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Nguyen, M. C., M. J. Reeder, N. E. Davidson, R. K. Smith, and M. T. Montgomery, 2011: Inner-core vacillation cycles during the intensification of Hurricane Katrina.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137</w:t>
      </w:r>
      <w:r w:rsidRPr="00790081">
        <w:rPr>
          <w:rFonts w:ascii="Times New Roman" w:hAnsi="Times New Roman" w:cs="Times New Roman"/>
          <w:noProof/>
          <w:sz w:val="24"/>
          <w:szCs w:val="24"/>
        </w:rPr>
        <w:t>, 829–844.</w:t>
      </w:r>
    </w:p>
    <w:p w14:paraId="60502A4A"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Pan, Y., K. Zhu, M. Xue, X. Wang, M. Hu, S. G. Benjamin, S. S. Weygandt, and J. S. Whitaker, 2014: A GSI-Based Coupled EnSRF–En3DVar Hybrid Data Assimilation System for the Operational Rapid Refresh Model: Tests at a Reduced Resolution.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142</w:t>
      </w:r>
      <w:r w:rsidRPr="00790081">
        <w:rPr>
          <w:rFonts w:ascii="Times New Roman" w:hAnsi="Times New Roman" w:cs="Times New Roman"/>
          <w:noProof/>
          <w:sz w:val="24"/>
          <w:szCs w:val="24"/>
        </w:rPr>
        <w:t>, 3756–3780.</w:t>
      </w:r>
    </w:p>
    <w:p w14:paraId="7E73468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Persing, J., and M. T. Montgomery, 2003: Hurricane Superintensity.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60</w:t>
      </w:r>
      <w:r w:rsidRPr="00790081">
        <w:rPr>
          <w:rFonts w:ascii="Times New Roman" w:hAnsi="Times New Roman" w:cs="Times New Roman"/>
          <w:noProof/>
          <w:sz w:val="24"/>
          <w:szCs w:val="24"/>
        </w:rPr>
        <w:t>, 2349–2371.</w:t>
      </w:r>
    </w:p>
    <w:p w14:paraId="276492BD" w14:textId="46F6D3A5"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M. T. Montgomery, J. C. McWilliams, and R. K. Smith, 2013: Asymmetric and axisymmetric dynamics of tropical cyclones. </w:t>
      </w:r>
      <w:r w:rsidR="003C7AE5" w:rsidRPr="00790081">
        <w:rPr>
          <w:rFonts w:ascii="Times New Roman" w:hAnsi="Times New Roman" w:cs="Times New Roman"/>
          <w:i/>
          <w:iCs/>
          <w:noProof/>
          <w:sz w:val="24"/>
          <w:szCs w:val="24"/>
        </w:rPr>
        <w:t>Atmos. Chem. Phys.</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13</w:t>
      </w:r>
      <w:r w:rsidR="003C7AE5" w:rsidRPr="00790081">
        <w:rPr>
          <w:rFonts w:ascii="Times New Roman" w:hAnsi="Times New Roman" w:cs="Times New Roman"/>
          <w:noProof/>
          <w:sz w:val="24"/>
          <w:szCs w:val="24"/>
        </w:rPr>
        <w:t>, 12299–12341.</w:t>
      </w:r>
    </w:p>
    <w:p w14:paraId="585E2869"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Pielke, R. A., J. Gratz, C. W. Landsea, D. Collins, M. A. Saunders, and R. Musulin, 2008: Normalized Hurricane Damage in the United States: 1900-2005. </w:t>
      </w:r>
      <w:r w:rsidRPr="00790081">
        <w:rPr>
          <w:rFonts w:ascii="Times New Roman" w:hAnsi="Times New Roman" w:cs="Times New Roman"/>
          <w:i/>
          <w:iCs/>
          <w:noProof/>
          <w:sz w:val="24"/>
          <w:szCs w:val="24"/>
        </w:rPr>
        <w:t>Nat. hazards Rev.</w:t>
      </w:r>
      <w:r w:rsidRPr="00790081">
        <w:rPr>
          <w:rFonts w:ascii="Times New Roman" w:hAnsi="Times New Roman" w:cs="Times New Roman"/>
          <w:noProof/>
          <w:sz w:val="24"/>
          <w:szCs w:val="24"/>
        </w:rPr>
        <w:t>, 29–42.</w:t>
      </w:r>
    </w:p>
    <w:p w14:paraId="2F41367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Poterjoy, J., and F. Zhang, 2014a: Predictability and Genesis of Hurricane Karl (2010) Examined through the EnKF Assimilation of Field Observations Collected during PREDICT.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71</w:t>
      </w:r>
      <w:r w:rsidRPr="00790081">
        <w:rPr>
          <w:rFonts w:ascii="Times New Roman" w:hAnsi="Times New Roman" w:cs="Times New Roman"/>
          <w:noProof/>
          <w:sz w:val="24"/>
          <w:szCs w:val="24"/>
        </w:rPr>
        <w:t>, 1260–1275.</w:t>
      </w:r>
    </w:p>
    <w:p w14:paraId="73D413E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 2014b: Intercomparison and Coupling of Ensemble and Four-Dimensional Variational Data Assimilation Methods for the Analysis and Forecasting of Hurricane Karl (2010).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142</w:t>
      </w:r>
      <w:r w:rsidRPr="00790081">
        <w:rPr>
          <w:rFonts w:ascii="Times New Roman" w:hAnsi="Times New Roman" w:cs="Times New Roman"/>
          <w:noProof/>
          <w:sz w:val="24"/>
          <w:szCs w:val="24"/>
        </w:rPr>
        <w:t>, 3347–3364.</w:t>
      </w:r>
    </w:p>
    <w:p w14:paraId="2A0D65FB"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 ——, and Y. Weng, 2014: The Effects of Sampling Errors on the EnKF Assimilation of Inner-Core Hurricane Observations.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142</w:t>
      </w:r>
      <w:r w:rsidRPr="00790081">
        <w:rPr>
          <w:rFonts w:ascii="Times New Roman" w:hAnsi="Times New Roman" w:cs="Times New Roman"/>
          <w:noProof/>
          <w:sz w:val="24"/>
          <w:szCs w:val="24"/>
        </w:rPr>
        <w:t>, 1609–1630.</w:t>
      </w:r>
    </w:p>
    <w:p w14:paraId="5F0E23D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Powell, M. D., E. W. Uhlhorn, and J. D. Kepert, 2009: Estimating Maximum Surface Winds from Hurricane Reconnaissance Measurements. </w:t>
      </w:r>
      <w:r w:rsidRPr="00790081">
        <w:rPr>
          <w:rFonts w:ascii="Times New Roman" w:hAnsi="Times New Roman" w:cs="Times New Roman"/>
          <w:i/>
          <w:iCs/>
          <w:noProof/>
          <w:sz w:val="24"/>
          <w:szCs w:val="24"/>
        </w:rPr>
        <w:t>Wea. Forecast.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24</w:t>
      </w:r>
      <w:r w:rsidRPr="00790081">
        <w:rPr>
          <w:rFonts w:ascii="Times New Roman" w:hAnsi="Times New Roman" w:cs="Times New Roman"/>
          <w:noProof/>
          <w:sz w:val="24"/>
          <w:szCs w:val="24"/>
        </w:rPr>
        <w:t>, 868–883.</w:t>
      </w:r>
    </w:p>
    <w:p w14:paraId="3C81471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Pu, Z., and S. A. Braun, 2001: Evaluation of Bogus Vortex Techniques Using Four-Dimensional Variational Data Assimilation.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129</w:t>
      </w:r>
      <w:r w:rsidRPr="00790081">
        <w:rPr>
          <w:rFonts w:ascii="Times New Roman" w:hAnsi="Times New Roman" w:cs="Times New Roman"/>
          <w:noProof/>
          <w:sz w:val="24"/>
          <w:szCs w:val="24"/>
        </w:rPr>
        <w:t>, 2023–2039.</w:t>
      </w:r>
    </w:p>
    <w:p w14:paraId="46913DB5"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X. Li, and J. Sun, 2009: Impact of Airborne Doppler Radar Data Assimilation on the Numerical Simulation of Intensity Changes of Hurricane Dennis near a Landfall.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66</w:t>
      </w:r>
      <w:r w:rsidRPr="00790081">
        <w:rPr>
          <w:rFonts w:ascii="Times New Roman" w:hAnsi="Times New Roman" w:cs="Times New Roman"/>
          <w:noProof/>
          <w:sz w:val="24"/>
          <w:szCs w:val="24"/>
        </w:rPr>
        <w:t>, 3351–3365.</w:t>
      </w:r>
    </w:p>
    <w:p w14:paraId="4CF9285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S. Zhang, M. Tong, and V. Tallapragada, 2016: Influence of the Self-Consistent Regional Ensemble Background Error Covariance on Hurricane Inner-Core Data Assimilation with the GSI-Based Hybrid System for HWRF.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73</w:t>
      </w:r>
      <w:r w:rsidRPr="00790081">
        <w:rPr>
          <w:rFonts w:ascii="Times New Roman" w:hAnsi="Times New Roman" w:cs="Times New Roman"/>
          <w:noProof/>
          <w:sz w:val="24"/>
          <w:szCs w:val="24"/>
        </w:rPr>
        <w:t>, 4911–4925.</w:t>
      </w:r>
    </w:p>
    <w:p w14:paraId="0D8E48F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Reasor, P. D., M. T. Montgomery, F. D. Marks, and J. F. Gamache, 2000: Low-Wavenumber Structure and Evolution of the Hurricane Inner Core Observed by Airborne Dual-Doppler Radar.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128</w:t>
      </w:r>
      <w:r w:rsidRPr="00790081">
        <w:rPr>
          <w:rFonts w:ascii="Times New Roman" w:hAnsi="Times New Roman" w:cs="Times New Roman"/>
          <w:noProof/>
          <w:sz w:val="24"/>
          <w:szCs w:val="24"/>
        </w:rPr>
        <w:t>, 1653–1680.</w:t>
      </w:r>
    </w:p>
    <w:p w14:paraId="2690C7C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 and L. D. Grasso, 2004: A New Look at the Problem of Tropical Cyclones in Vertical Shear Flow: Vortex Resiliency.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61</w:t>
      </w:r>
      <w:r w:rsidRPr="00790081">
        <w:rPr>
          <w:rFonts w:ascii="Times New Roman" w:hAnsi="Times New Roman" w:cs="Times New Roman"/>
          <w:noProof/>
          <w:sz w:val="24"/>
          <w:szCs w:val="24"/>
        </w:rPr>
        <w:t>, 3–22.</w:t>
      </w:r>
    </w:p>
    <w:p w14:paraId="1B4DC82F"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Rogers, R., and E. Uhlhorn, 2008a: Observations of the structure and evolution of surface and flight-level wind asymmetries in Hurricane Rita (2005). </w:t>
      </w:r>
      <w:r w:rsidRPr="00790081">
        <w:rPr>
          <w:rFonts w:ascii="Times New Roman" w:hAnsi="Times New Roman" w:cs="Times New Roman"/>
          <w:i/>
          <w:iCs/>
          <w:noProof/>
          <w:sz w:val="24"/>
          <w:szCs w:val="24"/>
        </w:rPr>
        <w:t>Geophys. Res. Lett.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35</w:t>
      </w:r>
      <w:r w:rsidRPr="00790081">
        <w:rPr>
          <w:rFonts w:ascii="Times New Roman" w:hAnsi="Times New Roman" w:cs="Times New Roman"/>
          <w:noProof/>
          <w:sz w:val="24"/>
          <w:szCs w:val="24"/>
        </w:rPr>
        <w:t>, 1–6.</w:t>
      </w:r>
    </w:p>
    <w:p w14:paraId="12057C35"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 2008b: Observations of the structure and evolution of surface and flight-level wind asymmetries in Hurricane Rita (2005). </w:t>
      </w:r>
      <w:r w:rsidRPr="00790081">
        <w:rPr>
          <w:rFonts w:ascii="Times New Roman" w:hAnsi="Times New Roman" w:cs="Times New Roman"/>
          <w:i/>
          <w:iCs/>
          <w:noProof/>
          <w:sz w:val="24"/>
          <w:szCs w:val="24"/>
        </w:rPr>
        <w:t>Geophys. Res. Lett.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35</w:t>
      </w:r>
      <w:r w:rsidRPr="00790081">
        <w:rPr>
          <w:rFonts w:ascii="Times New Roman" w:hAnsi="Times New Roman" w:cs="Times New Roman"/>
          <w:noProof/>
          <w:sz w:val="24"/>
          <w:szCs w:val="24"/>
        </w:rPr>
        <w:t>, L22811.</w:t>
      </w:r>
    </w:p>
    <w:p w14:paraId="777ABB8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Coauthors, 2006: The intensity forecasting experiment: A NOAA multiyear field program for improving tropical cyclone intensity forecasts. </w:t>
      </w:r>
      <w:r w:rsidRPr="00790081">
        <w:rPr>
          <w:rFonts w:ascii="Times New Roman" w:hAnsi="Times New Roman" w:cs="Times New Roman"/>
          <w:i/>
          <w:iCs/>
          <w:noProof/>
          <w:sz w:val="24"/>
          <w:szCs w:val="24"/>
        </w:rPr>
        <w:t>Bull. Am.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87</w:t>
      </w:r>
      <w:r w:rsidRPr="00790081">
        <w:rPr>
          <w:rFonts w:ascii="Times New Roman" w:hAnsi="Times New Roman" w:cs="Times New Roman"/>
          <w:noProof/>
          <w:sz w:val="24"/>
          <w:szCs w:val="24"/>
        </w:rPr>
        <w:t xml:space="preserve">, </w:t>
      </w:r>
      <w:r w:rsidRPr="00790081">
        <w:rPr>
          <w:rFonts w:ascii="Times New Roman" w:hAnsi="Times New Roman" w:cs="Times New Roman"/>
          <w:noProof/>
          <w:sz w:val="24"/>
          <w:szCs w:val="24"/>
        </w:rPr>
        <w:lastRenderedPageBreak/>
        <w:t>1523–1537.</w:t>
      </w:r>
    </w:p>
    <w:p w14:paraId="3A78B4F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Coauthors, 2013a: NOAA’S hurricane intensity forecasting experiment: A progress report. </w:t>
      </w:r>
      <w:r w:rsidRPr="00790081">
        <w:rPr>
          <w:rFonts w:ascii="Times New Roman" w:hAnsi="Times New Roman" w:cs="Times New Roman"/>
          <w:i/>
          <w:iCs/>
          <w:noProof/>
          <w:sz w:val="24"/>
          <w:szCs w:val="24"/>
        </w:rPr>
        <w:t>Bull. Am.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94</w:t>
      </w:r>
      <w:r w:rsidRPr="00790081">
        <w:rPr>
          <w:rFonts w:ascii="Times New Roman" w:hAnsi="Times New Roman" w:cs="Times New Roman"/>
          <w:noProof/>
          <w:sz w:val="24"/>
          <w:szCs w:val="24"/>
        </w:rPr>
        <w:t>, 859–882.</w:t>
      </w:r>
    </w:p>
    <w:p w14:paraId="43C3EF1A"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P. Reasor, and S. Lorsolo, 2013b: Airborne Doppler Observations of the Inner-Core Structural Differences between Intensifying and Steady-State Tropical Cyclones.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141</w:t>
      </w:r>
      <w:r w:rsidRPr="00790081">
        <w:rPr>
          <w:rFonts w:ascii="Times New Roman" w:hAnsi="Times New Roman" w:cs="Times New Roman"/>
          <w:noProof/>
          <w:sz w:val="24"/>
          <w:szCs w:val="24"/>
        </w:rPr>
        <w:t>, 2970–2991.</w:t>
      </w:r>
    </w:p>
    <w:p w14:paraId="4EB8A431" w14:textId="6A5B3AA5"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P. D. Reasor, and J. a. Zhang, 2015: Multiscale Structure and Evolution of Hurricane Earl (2010) during Rapid Intensification.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143</w:t>
      </w:r>
      <w:r w:rsidR="003C7AE5" w:rsidRPr="00790081">
        <w:rPr>
          <w:rFonts w:ascii="Times New Roman" w:hAnsi="Times New Roman" w:cs="Times New Roman"/>
          <w:noProof/>
          <w:sz w:val="24"/>
          <w:szCs w:val="24"/>
        </w:rPr>
        <w:t>, 536–562.</w:t>
      </w:r>
    </w:p>
    <w:p w14:paraId="1C7FCD49"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Rotunno, R., and G. H. Bryan, 2012: Effects of Parameterized Diffusion on Simulated Hurricanes.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69</w:t>
      </w:r>
      <w:r w:rsidRPr="00790081">
        <w:rPr>
          <w:rFonts w:ascii="Times New Roman" w:hAnsi="Times New Roman" w:cs="Times New Roman"/>
          <w:noProof/>
          <w:sz w:val="24"/>
          <w:szCs w:val="24"/>
        </w:rPr>
        <w:t>, 2284–2299.</w:t>
      </w:r>
    </w:p>
    <w:p w14:paraId="6DF3290E"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Sang, N. Van, R. K. Smith, and M. T. Montgomery, 2008: Tropical-cyclone intensification and predictability in three dimensions.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134</w:t>
      </w:r>
      <w:r w:rsidRPr="00790081">
        <w:rPr>
          <w:rFonts w:ascii="Times New Roman" w:hAnsi="Times New Roman" w:cs="Times New Roman"/>
          <w:noProof/>
          <w:sz w:val="24"/>
          <w:szCs w:val="24"/>
        </w:rPr>
        <w:t>, 563–582.</w:t>
      </w:r>
    </w:p>
    <w:p w14:paraId="247AFF7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Schubert, W. H., and J. J. Hack, 1982: Inertial Stability and Tropical Cyclone Development.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39</w:t>
      </w:r>
      <w:r w:rsidRPr="00790081">
        <w:rPr>
          <w:rFonts w:ascii="Times New Roman" w:hAnsi="Times New Roman" w:cs="Times New Roman"/>
          <w:noProof/>
          <w:sz w:val="24"/>
          <w:szCs w:val="24"/>
        </w:rPr>
        <w:t>, 1687–1697.</w:t>
      </w:r>
    </w:p>
    <w:p w14:paraId="1DA82C9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M. T. Montgomery, R. K. Taft, T. A. Guinn, S. R. Fulton, J. P. Kossin, and J. P. Edwards, 1999: Polygonal Eyewalls, Asymmetric Eye Contraction, and Potential Vorticity Mixing in Hurricanes.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56</w:t>
      </w:r>
      <w:r w:rsidRPr="00790081">
        <w:rPr>
          <w:rFonts w:ascii="Times New Roman" w:hAnsi="Times New Roman" w:cs="Times New Roman"/>
          <w:noProof/>
          <w:sz w:val="24"/>
          <w:szCs w:val="24"/>
        </w:rPr>
        <w:t>, 1197–1223.</w:t>
      </w:r>
    </w:p>
    <w:p w14:paraId="57C25518" w14:textId="089F6D24"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Schwartz, C. S., 2016: Improving large-domain convection-allowing forecasts with high-resolution analyses and ensemble data assimilation.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00711C4D" w:rsidRPr="00790081">
        <w:rPr>
          <w:rFonts w:ascii="Times New Roman" w:hAnsi="Times New Roman" w:cs="Times New Roman"/>
          <w:b/>
          <w:bCs/>
          <w:noProof/>
          <w:sz w:val="24"/>
          <w:szCs w:val="24"/>
        </w:rPr>
        <w:t>144</w:t>
      </w:r>
      <w:r w:rsidR="00711C4D" w:rsidRPr="00790081">
        <w:rPr>
          <w:rFonts w:ascii="Times New Roman" w:hAnsi="Times New Roman" w:cs="Times New Roman"/>
          <w:noProof/>
          <w:sz w:val="24"/>
          <w:szCs w:val="24"/>
        </w:rPr>
        <w:t>, 1777-1803</w:t>
      </w:r>
      <w:r w:rsidRPr="00790081">
        <w:rPr>
          <w:rFonts w:ascii="Times New Roman" w:hAnsi="Times New Roman" w:cs="Times New Roman"/>
          <w:noProof/>
          <w:sz w:val="24"/>
          <w:szCs w:val="24"/>
        </w:rPr>
        <w:t>.</w:t>
      </w:r>
    </w:p>
    <w:p w14:paraId="5547702E"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Z. Liu, X.-Y. Huang, Y.-H. Kuo, and C.-T. Fong, 2013: Comparing Limited-Area 3DVAR and Hybrid Variational-Ensemble Data Assimilation Methods for Typhoon Track Forecasts: Sensitivity to Outer Loops and Vortex Relocation.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141</w:t>
      </w:r>
      <w:r w:rsidRPr="00790081">
        <w:rPr>
          <w:rFonts w:ascii="Times New Roman" w:hAnsi="Times New Roman" w:cs="Times New Roman"/>
          <w:noProof/>
          <w:sz w:val="24"/>
          <w:szCs w:val="24"/>
        </w:rPr>
        <w:t>, 4350–4372.</w:t>
      </w:r>
    </w:p>
    <w:p w14:paraId="30A7753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 ——, and ——, 2015: Sensitivity of Limited-Area Hybrid Variational-Ensemble Analyses and Forecasts to Ensemble Perturbation Resolution.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143</w:t>
      </w:r>
      <w:r w:rsidRPr="00790081">
        <w:rPr>
          <w:rFonts w:ascii="Times New Roman" w:hAnsi="Times New Roman" w:cs="Times New Roman"/>
          <w:noProof/>
          <w:sz w:val="24"/>
          <w:szCs w:val="24"/>
        </w:rPr>
        <w:t>, 3454–3477.</w:t>
      </w:r>
    </w:p>
    <w:p w14:paraId="2348BD6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Schwarzkopf, M. D., and S. B. Fels, 1991: The simplified exchange method revisited: An accurate, rapid method for computation of infrared cooling rates and fluxes. </w:t>
      </w:r>
      <w:r w:rsidRPr="00790081">
        <w:rPr>
          <w:rFonts w:ascii="Times New Roman" w:hAnsi="Times New Roman" w:cs="Times New Roman"/>
          <w:i/>
          <w:iCs/>
          <w:noProof/>
          <w:sz w:val="24"/>
          <w:szCs w:val="24"/>
        </w:rPr>
        <w:t>J. Geophys. Res.</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96</w:t>
      </w:r>
      <w:r w:rsidRPr="00790081">
        <w:rPr>
          <w:rFonts w:ascii="Times New Roman" w:hAnsi="Times New Roman" w:cs="Times New Roman"/>
          <w:noProof/>
          <w:sz w:val="24"/>
          <w:szCs w:val="24"/>
        </w:rPr>
        <w:t>, 9075–9096.</w:t>
      </w:r>
    </w:p>
    <w:p w14:paraId="778F6E6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Smith, R. K., M. T. Montgomery, and S. Vogl, 2008: A critique of Emanuel’s hurricane model and potential intensity theory.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134</w:t>
      </w:r>
      <w:r w:rsidRPr="00790081">
        <w:rPr>
          <w:rFonts w:ascii="Times New Roman" w:hAnsi="Times New Roman" w:cs="Times New Roman"/>
          <w:noProof/>
          <w:sz w:val="24"/>
          <w:szCs w:val="24"/>
        </w:rPr>
        <w:t>, 1–11.</w:t>
      </w:r>
    </w:p>
    <w:p w14:paraId="548B2AA7"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M. T. Montgomeryb, and N. Van Sang, 2009: Tropical cyclone spin-up revisited.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135</w:t>
      </w:r>
      <w:r w:rsidRPr="00790081">
        <w:rPr>
          <w:rFonts w:ascii="Times New Roman" w:hAnsi="Times New Roman" w:cs="Times New Roman"/>
          <w:noProof/>
          <w:sz w:val="24"/>
          <w:szCs w:val="24"/>
        </w:rPr>
        <w:t>, 1321–1335.</w:t>
      </w:r>
    </w:p>
    <w:p w14:paraId="79F01C3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Stern, D. P., and D. S. Nolan, 2011: On the Vertical Decay Rate of the Maximum Tangential Winds in Tropical Cyclones.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68</w:t>
      </w:r>
      <w:r w:rsidRPr="00790081">
        <w:rPr>
          <w:rFonts w:ascii="Times New Roman" w:hAnsi="Times New Roman" w:cs="Times New Roman"/>
          <w:noProof/>
          <w:sz w:val="24"/>
          <w:szCs w:val="24"/>
        </w:rPr>
        <w:t>, 2073–2094.</w:t>
      </w:r>
    </w:p>
    <w:p w14:paraId="0B7731C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J. R. Brisbois, and D. S. Nolan, 2014: An Expanded Dataset of Hurricane Eyewall Sizes and Slopes.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71</w:t>
      </w:r>
      <w:r w:rsidRPr="00790081">
        <w:rPr>
          <w:rFonts w:ascii="Times New Roman" w:hAnsi="Times New Roman" w:cs="Times New Roman"/>
          <w:noProof/>
          <w:sz w:val="24"/>
          <w:szCs w:val="24"/>
        </w:rPr>
        <w:t>, 2747–2762.</w:t>
      </w:r>
    </w:p>
    <w:p w14:paraId="76BCE046" w14:textId="307CB425"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J. D. Doyle, G. H. Bryan, and J. D. Jepert, 2017: Understanding Atypical Mid-Level Wind Speed Maxima in Hurricane Eyewalls. </w:t>
      </w:r>
      <w:r w:rsidR="003C7AE5" w:rsidRPr="00790081">
        <w:rPr>
          <w:rFonts w:ascii="Times New Roman" w:hAnsi="Times New Roman" w:cs="Times New Roman"/>
          <w:i/>
          <w:iCs/>
          <w:noProof/>
          <w:sz w:val="24"/>
          <w:szCs w:val="24"/>
        </w:rPr>
        <w:t>97th American Meteorological Society Annual Meeting</w:t>
      </w:r>
      <w:r w:rsidR="003C7AE5" w:rsidRPr="00790081">
        <w:rPr>
          <w:rFonts w:ascii="Times New Roman" w:hAnsi="Times New Roman" w:cs="Times New Roman"/>
          <w:noProof/>
          <w:sz w:val="24"/>
          <w:szCs w:val="24"/>
        </w:rPr>
        <w:t>.</w:t>
      </w:r>
      <w:r w:rsidR="00EA14FC" w:rsidRPr="00790081">
        <w:rPr>
          <w:rFonts w:ascii="Times New Roman" w:hAnsi="Times New Roman" w:cs="Times New Roman"/>
          <w:noProof/>
          <w:sz w:val="24"/>
          <w:szCs w:val="24"/>
        </w:rPr>
        <w:t xml:space="preserve"> 2017 Jan 22-26, Seattle, WA.</w:t>
      </w:r>
    </w:p>
    <w:p w14:paraId="46F4E6D9" w14:textId="1C314374"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Stewart, S. R., 2014: National Hurricane Center Tropical Cyclone Report: HURRICANE EDOUARD. Tropical Cyclone Rep. AL062014, National Hurricane Center,</w:t>
      </w:r>
      <w:r w:rsidR="00EA14FC" w:rsidRPr="00790081">
        <w:rPr>
          <w:rFonts w:ascii="Times New Roman" w:hAnsi="Times New Roman" w:cs="Times New Roman"/>
          <w:noProof/>
          <w:sz w:val="24"/>
          <w:szCs w:val="24"/>
        </w:rPr>
        <w:t xml:space="preserve"> available online at https://www.nhc.noaa.gov/data/tcr/AL062014_Edouard.pdf. Accessed Oct. 3, 2019</w:t>
      </w:r>
    </w:p>
    <w:p w14:paraId="3C48F1C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Susca-Lopata, G., J. Zawislak, E. J. Zipser, and R. F. Rogers, 2015: The Role of Observed Environmental Conditions and Precipitation Evolution in the Rapid Intensification of Hurricane Earl (2010).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143</w:t>
      </w:r>
      <w:r w:rsidRPr="00790081">
        <w:rPr>
          <w:rFonts w:ascii="Times New Roman" w:hAnsi="Times New Roman" w:cs="Times New Roman"/>
          <w:noProof/>
          <w:sz w:val="24"/>
          <w:szCs w:val="24"/>
        </w:rPr>
        <w:t>, 2207–2223.</w:t>
      </w:r>
    </w:p>
    <w:p w14:paraId="556FCB5C" w14:textId="0C84B7C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Tallapragada, V., and Coauthors, 2014: Hurricane Weather Research and Forecasting (HWRF) model: 2014 scientific documentation. Developmental Testbed Center, 1–81 pp.</w:t>
      </w:r>
      <w:r w:rsidR="00EA14FC" w:rsidRPr="00790081">
        <w:rPr>
          <w:rFonts w:ascii="Times New Roman" w:hAnsi="Times New Roman" w:cs="Times New Roman"/>
          <w:noProof/>
          <w:sz w:val="24"/>
          <w:szCs w:val="24"/>
        </w:rPr>
        <w:t xml:space="preserve"> Available online at https://dtcenter.org/HurrWRF/users/docs/scientific_documents/HWRFv3.6a_ScientificDoc.pdf. Accessed Oct. 3, 2019.</w:t>
      </w:r>
    </w:p>
    <w:p w14:paraId="3CD97C7C" w14:textId="1F92794F"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and Coauthors, 2015: Hurricane Weather Research and Forecasting (HWRF) model: 2015 scientific documentation. Developmental Testbed Center, 1–81 pp.</w:t>
      </w:r>
      <w:r w:rsidR="00EA14FC" w:rsidRPr="00790081">
        <w:rPr>
          <w:rFonts w:ascii="Times New Roman" w:hAnsi="Times New Roman" w:cs="Times New Roman"/>
          <w:noProof/>
          <w:sz w:val="24"/>
          <w:szCs w:val="24"/>
        </w:rPr>
        <w:t xml:space="preserve"> Available online at https://dtcenter.org/HurrWRF/users/docs/scientific_documents/HWRF_v3.7a_SD.pdf.  Accessed Oct. 3, 2019.</w:t>
      </w:r>
    </w:p>
    <w:p w14:paraId="7E8988BE"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Thu, T. Van, and T. N. Krishnamurti, 1992: Vortex Initialization for Typhoon Track Prediction. </w:t>
      </w:r>
      <w:r w:rsidRPr="00790081">
        <w:rPr>
          <w:rFonts w:ascii="Times New Roman" w:hAnsi="Times New Roman" w:cs="Times New Roman"/>
          <w:i/>
          <w:iCs/>
          <w:noProof/>
          <w:sz w:val="24"/>
          <w:szCs w:val="24"/>
        </w:rPr>
        <w:t>Meteorol. Atmos. Phys.</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47</w:t>
      </w:r>
      <w:r w:rsidRPr="00790081">
        <w:rPr>
          <w:rFonts w:ascii="Times New Roman" w:hAnsi="Times New Roman" w:cs="Times New Roman"/>
          <w:noProof/>
          <w:sz w:val="24"/>
          <w:szCs w:val="24"/>
        </w:rPr>
        <w:t>, 117–126.</w:t>
      </w:r>
    </w:p>
    <w:p w14:paraId="7D4FF035" w14:textId="3C2E8DC4"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Tong, M., V. Tallapragada, E. Liu, W. Wang, C. Kieu, Q. Liu, and B. Zhan, 2014: Impact of Assimilating Aircraft Reconnaissance Observations in Operational HWRF. </w:t>
      </w:r>
      <w:r w:rsidRPr="00790081">
        <w:rPr>
          <w:rFonts w:ascii="Times New Roman" w:hAnsi="Times New Roman" w:cs="Times New Roman"/>
          <w:i/>
          <w:iCs/>
          <w:noProof/>
          <w:sz w:val="24"/>
          <w:szCs w:val="24"/>
        </w:rPr>
        <w:t>2014 HFIP annual meeting</w:t>
      </w:r>
      <w:r w:rsidRPr="00790081">
        <w:rPr>
          <w:rFonts w:ascii="Times New Roman" w:hAnsi="Times New Roman" w:cs="Times New Roman"/>
          <w:noProof/>
          <w:sz w:val="24"/>
          <w:szCs w:val="24"/>
        </w:rPr>
        <w:t>.</w:t>
      </w:r>
      <w:r w:rsidR="00EA14FC" w:rsidRPr="00790081">
        <w:rPr>
          <w:rFonts w:ascii="Times New Roman" w:hAnsi="Times New Roman" w:cs="Times New Roman"/>
          <w:noProof/>
          <w:sz w:val="24"/>
          <w:szCs w:val="24"/>
        </w:rPr>
        <w:t xml:space="preserve"> 2014 Nov 18-20,</w:t>
      </w:r>
      <w:r w:rsidR="00EA14FC" w:rsidRPr="00790081">
        <w:rPr>
          <w:rFonts w:ascii="Times New Roman" w:hAnsi="Times New Roman" w:cs="Times New Roman"/>
          <w:sz w:val="24"/>
          <w:szCs w:val="24"/>
        </w:rPr>
        <w:t xml:space="preserve"> </w:t>
      </w:r>
      <w:r w:rsidR="00EA14FC" w:rsidRPr="00790081">
        <w:rPr>
          <w:rFonts w:ascii="Times New Roman" w:hAnsi="Times New Roman" w:cs="Times New Roman"/>
          <w:noProof/>
          <w:sz w:val="24"/>
          <w:szCs w:val="24"/>
        </w:rPr>
        <w:t>Miami, FL.</w:t>
      </w:r>
    </w:p>
    <w:p w14:paraId="7EBF25F3" w14:textId="1758A5F3"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Coauthors, 2018: Impact of Assimilating Aircraft Reconnaissance Observations on Tropical Cyclone Initialization and Prediction using Operational HWRF and GSI Ensemble-Variational Hybrid Data Assimilation.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w:t>
      </w:r>
      <w:r w:rsidR="00EA14FC" w:rsidRPr="00790081">
        <w:rPr>
          <w:rFonts w:ascii="Times New Roman" w:hAnsi="Times New Roman" w:cs="Times New Roman"/>
          <w:sz w:val="24"/>
          <w:szCs w:val="24"/>
        </w:rPr>
        <w:t xml:space="preserve"> </w:t>
      </w:r>
      <w:r w:rsidR="00EA14FC" w:rsidRPr="00790081">
        <w:rPr>
          <w:rFonts w:ascii="Times New Roman" w:hAnsi="Times New Roman" w:cs="Times New Roman"/>
          <w:b/>
          <w:bCs/>
          <w:noProof/>
          <w:sz w:val="24"/>
          <w:szCs w:val="24"/>
        </w:rPr>
        <w:t>146</w:t>
      </w:r>
      <w:r w:rsidR="00EA14FC" w:rsidRPr="00790081">
        <w:rPr>
          <w:rFonts w:ascii="Times New Roman" w:hAnsi="Times New Roman" w:cs="Times New Roman"/>
          <w:noProof/>
          <w:sz w:val="24"/>
          <w:szCs w:val="24"/>
        </w:rPr>
        <w:t>, 4155–4177,</w:t>
      </w:r>
      <w:r w:rsidR="003C7AE5" w:rsidRPr="00790081">
        <w:rPr>
          <w:rFonts w:ascii="Times New Roman" w:hAnsi="Times New Roman" w:cs="Times New Roman"/>
          <w:noProof/>
          <w:sz w:val="24"/>
          <w:szCs w:val="24"/>
        </w:rPr>
        <w:t>.</w:t>
      </w:r>
    </w:p>
    <w:p w14:paraId="0D67E420" w14:textId="6787A580"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Torn, R. D.</w:t>
      </w:r>
      <w:r w:rsidR="003C7AE5" w:rsidRPr="00790081">
        <w:rPr>
          <w:rFonts w:ascii="Times New Roman" w:hAnsi="Times New Roman" w:cs="Times New Roman"/>
          <w:noProof/>
          <w:sz w:val="24"/>
          <w:szCs w:val="24"/>
        </w:rPr>
        <w:t xml:space="preserve">, and G. J. Hakim, 2009a: Ensemble Data Assimilation Applied to RAINEX Observations of Hurricane Katrina (2005).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137</w:t>
      </w:r>
      <w:r w:rsidR="003C7AE5" w:rsidRPr="00790081">
        <w:rPr>
          <w:rFonts w:ascii="Times New Roman" w:hAnsi="Times New Roman" w:cs="Times New Roman"/>
          <w:noProof/>
          <w:sz w:val="24"/>
          <w:szCs w:val="24"/>
        </w:rPr>
        <w:t>, 2817–2829.</w:t>
      </w:r>
    </w:p>
    <w:p w14:paraId="65A760D0" w14:textId="26AE7FD0"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G. J. Hakim, 2009b: Ensemble Data Assimilation Applied to RAINEX Observations of Hurricane Katrina (2005).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137</w:t>
      </w:r>
      <w:r w:rsidR="003C7AE5" w:rsidRPr="00790081">
        <w:rPr>
          <w:rFonts w:ascii="Times New Roman" w:hAnsi="Times New Roman" w:cs="Times New Roman"/>
          <w:noProof/>
          <w:sz w:val="24"/>
          <w:szCs w:val="24"/>
        </w:rPr>
        <w:t>, 2817–2829.</w:t>
      </w:r>
    </w:p>
    <w:p w14:paraId="789A28DC" w14:textId="1D35FF9D" w:rsidR="00E2122F" w:rsidRPr="00790081" w:rsidRDefault="00E2122F" w:rsidP="00E2122F">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2010: Performance of a Mesoscale Ensemble Kalman Filter (EnKF) during the NOAA High-Resolution Hurricane Test. </w:t>
      </w:r>
      <w:r w:rsidRPr="00790081">
        <w:rPr>
          <w:rFonts w:ascii="Times New Roman" w:hAnsi="Times New Roman" w:cs="Times New Roman"/>
          <w:i/>
          <w:iCs/>
          <w:noProof/>
          <w:sz w:val="24"/>
          <w:szCs w:val="24"/>
        </w:rPr>
        <w:t xml:space="preserve">Mon. Wea. Rev. </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138</w:t>
      </w:r>
      <w:r w:rsidRPr="00790081">
        <w:rPr>
          <w:rFonts w:ascii="Times New Roman" w:hAnsi="Times New Roman" w:cs="Times New Roman"/>
          <w:noProof/>
          <w:sz w:val="24"/>
          <w:szCs w:val="24"/>
        </w:rPr>
        <w:t>, 4375–4392.</w:t>
      </w:r>
    </w:p>
    <w:p w14:paraId="6139E67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Trahan, S., and L. Sparling, 2012: An Analysis of NCEP Tropical Cyclone Vitals and Potential </w:t>
      </w:r>
      <w:r w:rsidRPr="00790081">
        <w:rPr>
          <w:rFonts w:ascii="Times New Roman" w:hAnsi="Times New Roman" w:cs="Times New Roman"/>
          <w:noProof/>
          <w:sz w:val="24"/>
          <w:szCs w:val="24"/>
        </w:rPr>
        <w:lastRenderedPageBreak/>
        <w:t xml:space="preserve">Effects on Forecasting Models. </w:t>
      </w:r>
      <w:r w:rsidRPr="00790081">
        <w:rPr>
          <w:rFonts w:ascii="Times New Roman" w:hAnsi="Times New Roman" w:cs="Times New Roman"/>
          <w:i/>
          <w:iCs/>
          <w:noProof/>
          <w:sz w:val="24"/>
          <w:szCs w:val="24"/>
        </w:rPr>
        <w:t>Wea. Forecast.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27</w:t>
      </w:r>
      <w:r w:rsidRPr="00790081">
        <w:rPr>
          <w:rFonts w:ascii="Times New Roman" w:hAnsi="Times New Roman" w:cs="Times New Roman"/>
          <w:noProof/>
          <w:sz w:val="24"/>
          <w:szCs w:val="24"/>
        </w:rPr>
        <w:t>, 744–756.</w:t>
      </w:r>
    </w:p>
    <w:p w14:paraId="054AB04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Tuleya, R. E., 1994: Tropical storm development and decay: Sensitivity to surface boundary conditions.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122</w:t>
      </w:r>
      <w:r w:rsidRPr="00790081">
        <w:rPr>
          <w:rFonts w:ascii="Times New Roman" w:hAnsi="Times New Roman" w:cs="Times New Roman"/>
          <w:noProof/>
          <w:sz w:val="24"/>
          <w:szCs w:val="24"/>
        </w:rPr>
        <w:t>, 291–304.</w:t>
      </w:r>
    </w:p>
    <w:p w14:paraId="1D598037"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Uhlhorn, E. W., and P. G. Black, 2003: Verification of Remotely Sensed Sea Surface Winds in Hurricanes. </w:t>
      </w:r>
      <w:r w:rsidRPr="00790081">
        <w:rPr>
          <w:rFonts w:ascii="Times New Roman" w:hAnsi="Times New Roman" w:cs="Times New Roman"/>
          <w:i/>
          <w:iCs/>
          <w:noProof/>
          <w:sz w:val="24"/>
          <w:szCs w:val="24"/>
        </w:rPr>
        <w:t>J. Atmos. Ocean. Technol.</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20</w:t>
      </w:r>
      <w:r w:rsidRPr="00790081">
        <w:rPr>
          <w:rFonts w:ascii="Times New Roman" w:hAnsi="Times New Roman" w:cs="Times New Roman"/>
          <w:noProof/>
          <w:sz w:val="24"/>
          <w:szCs w:val="24"/>
        </w:rPr>
        <w:t>, 99–116.</w:t>
      </w:r>
    </w:p>
    <w:p w14:paraId="0D98917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 J. L. Franklin, M. Goodberlet, J. Carswell, and A. S. Goldstein, 2007: Hurricane Surface Wind Measurements from an Operational Stepped Frequency Microwave Radiometer.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135</w:t>
      </w:r>
      <w:r w:rsidRPr="00790081">
        <w:rPr>
          <w:rFonts w:ascii="Times New Roman" w:hAnsi="Times New Roman" w:cs="Times New Roman"/>
          <w:noProof/>
          <w:sz w:val="24"/>
          <w:szCs w:val="24"/>
        </w:rPr>
        <w:t>, 3070–3085.</w:t>
      </w:r>
    </w:p>
    <w:p w14:paraId="3110CFF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Velden, C., W. E. Lewis, W. Bresky, D. Stettner, J. Daniels, and S. Wanzong, 2017: Assimilation of High-Resolution Satellite-Derived Atmospheric Motion Vectors: Impact on HWRF Forecasts of Tropical Cyclone Track and Intensity.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145</w:t>
      </w:r>
      <w:r w:rsidRPr="00790081">
        <w:rPr>
          <w:rFonts w:ascii="Times New Roman" w:hAnsi="Times New Roman" w:cs="Times New Roman"/>
          <w:noProof/>
          <w:sz w:val="24"/>
          <w:szCs w:val="24"/>
        </w:rPr>
        <w:t>, 1107–1125.</w:t>
      </w:r>
    </w:p>
    <w:p w14:paraId="6D06A20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Vukicevic, T., P. Reasor, S. D. Aberson, and K. J. Sellwood, 2013: Joint Impact of Forecast Tendency and State Error Biases in Ensemble Kalman Filter Data Assimilation of Inner-Core Tropical Cyclone Observations.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141</w:t>
      </w:r>
      <w:r w:rsidRPr="00790081">
        <w:rPr>
          <w:rFonts w:ascii="Times New Roman" w:hAnsi="Times New Roman" w:cs="Times New Roman"/>
          <w:noProof/>
          <w:sz w:val="24"/>
          <w:szCs w:val="24"/>
        </w:rPr>
        <w:t>, 2992–3006.</w:t>
      </w:r>
    </w:p>
    <w:p w14:paraId="3283A17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Wang, X., 2010: Incorporating Ensemble Covariance in the Gridpoint Statistical Interpolation Variational Minimization: A Mathematical Framework.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138</w:t>
      </w:r>
      <w:r w:rsidRPr="00790081">
        <w:rPr>
          <w:rFonts w:ascii="Times New Roman" w:hAnsi="Times New Roman" w:cs="Times New Roman"/>
          <w:noProof/>
          <w:sz w:val="24"/>
          <w:szCs w:val="24"/>
        </w:rPr>
        <w:t>, 2990–2995.</w:t>
      </w:r>
    </w:p>
    <w:p w14:paraId="7ED63CDA"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and T. Lei, 2014: GSI-Based Four-Dimensional Ensemble–Variational (4DEnsVar) Data Assimilation: Formulation and Single-Resolution Experiments with Real Data for NCEP Global Forecast System.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142</w:t>
      </w:r>
      <w:r w:rsidRPr="00790081">
        <w:rPr>
          <w:rFonts w:ascii="Times New Roman" w:hAnsi="Times New Roman" w:cs="Times New Roman"/>
          <w:noProof/>
          <w:sz w:val="24"/>
          <w:szCs w:val="24"/>
        </w:rPr>
        <w:t>, 3303–3325.</w:t>
      </w:r>
    </w:p>
    <w:p w14:paraId="7BE9633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D. M. Barker, C. Snyder, and T. M. Hamill, 2008: A Hybrid ETKF–3DVAR Data Assimilation Scheme for the WRF Model. Part II: Real Observation Experiments.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136</w:t>
      </w:r>
      <w:r w:rsidRPr="00790081">
        <w:rPr>
          <w:rFonts w:ascii="Times New Roman" w:hAnsi="Times New Roman" w:cs="Times New Roman"/>
          <w:noProof/>
          <w:sz w:val="24"/>
          <w:szCs w:val="24"/>
        </w:rPr>
        <w:t>, 5132–5147.</w:t>
      </w:r>
    </w:p>
    <w:p w14:paraId="439118AA"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 D. Parrish, D. Kleist, and J. Whitaker, 2013: GSI 3DVar-Based Ensemble–Variational Hybrid Data Assimilation for NCEP Global Forecast System: Single-Resolution Experiments.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141</w:t>
      </w:r>
      <w:r w:rsidRPr="00790081">
        <w:rPr>
          <w:rFonts w:ascii="Times New Roman" w:hAnsi="Times New Roman" w:cs="Times New Roman"/>
          <w:noProof/>
          <w:sz w:val="24"/>
          <w:szCs w:val="24"/>
        </w:rPr>
        <w:t>, 4098–4117.</w:t>
      </w:r>
    </w:p>
    <w:p w14:paraId="306C1530"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Wang, Y., and Coauthors, 2011: The Central European limited-area ensemble forecasting system: ALADIN-LAEF.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137</w:t>
      </w:r>
      <w:r w:rsidRPr="00790081">
        <w:rPr>
          <w:rFonts w:ascii="Times New Roman" w:hAnsi="Times New Roman" w:cs="Times New Roman"/>
          <w:noProof/>
          <w:sz w:val="24"/>
          <w:szCs w:val="24"/>
        </w:rPr>
        <w:t>, 483–502.</w:t>
      </w:r>
    </w:p>
    <w:p w14:paraId="3D75ADB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Weng, Y., and F. Zhang, 2012: Assimilating Airborne Doppler Radar Observations with an Ensemble Kalman Filter for Convection-Permitting Hurricane Initialization and Prediction: Katrina (2005).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140</w:t>
      </w:r>
      <w:r w:rsidRPr="00790081">
        <w:rPr>
          <w:rFonts w:ascii="Times New Roman" w:hAnsi="Times New Roman" w:cs="Times New Roman"/>
          <w:noProof/>
          <w:sz w:val="24"/>
          <w:szCs w:val="24"/>
        </w:rPr>
        <w:t>, 841–859.</w:t>
      </w:r>
    </w:p>
    <w:p w14:paraId="66958F01" w14:textId="79C96456"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Whitaker, J. S., and T. M. Hamill, 2002: Ensemble Data Assimilation without Perturbed Observations.</w:t>
      </w:r>
      <w:r w:rsidR="00157665" w:rsidRPr="00790081">
        <w:rPr>
          <w:rFonts w:ascii="Times New Roman" w:hAnsi="Times New Roman" w:cs="Times New Roman"/>
          <w:noProof/>
          <w:sz w:val="24"/>
          <w:szCs w:val="24"/>
        </w:rPr>
        <w:t xml:space="preserve"> </w:t>
      </w:r>
      <w:r w:rsidR="00157665" w:rsidRPr="00790081">
        <w:rPr>
          <w:rFonts w:ascii="Times New Roman" w:hAnsi="Times New Roman" w:cs="Times New Roman"/>
          <w:i/>
          <w:iCs/>
          <w:noProof/>
          <w:sz w:val="24"/>
          <w:szCs w:val="24"/>
        </w:rPr>
        <w:t>Mon. Wea. Rev.</w:t>
      </w:r>
      <w:r w:rsidR="00157665" w:rsidRPr="00790081">
        <w:rPr>
          <w:rFonts w:ascii="Times New Roman" w:hAnsi="Times New Roman" w:cs="Times New Roman"/>
          <w:noProof/>
          <w:sz w:val="24"/>
          <w:szCs w:val="24"/>
        </w:rPr>
        <w:t xml:space="preserve">, </w:t>
      </w:r>
      <w:r w:rsidR="00157665" w:rsidRPr="00790081">
        <w:rPr>
          <w:rFonts w:ascii="Times New Roman" w:hAnsi="Times New Roman" w:cs="Times New Roman"/>
          <w:b/>
          <w:bCs/>
          <w:noProof/>
          <w:sz w:val="24"/>
          <w:szCs w:val="24"/>
        </w:rPr>
        <w:t>136</w:t>
      </w:r>
      <w:r w:rsidR="00157665" w:rsidRPr="00790081">
        <w:rPr>
          <w:rFonts w:ascii="Times New Roman" w:hAnsi="Times New Roman" w:cs="Times New Roman"/>
          <w:noProof/>
          <w:sz w:val="24"/>
          <w:szCs w:val="24"/>
        </w:rPr>
        <w:t>, 463-482.</w:t>
      </w:r>
    </w:p>
    <w:p w14:paraId="129C178C" w14:textId="4DBCD950"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w:t>
      </w: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2012: Evaluating Methods to Account for System Errors in Ensemble Data Assimilation.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140</w:t>
      </w:r>
      <w:r w:rsidR="003C7AE5" w:rsidRPr="00790081">
        <w:rPr>
          <w:rFonts w:ascii="Times New Roman" w:hAnsi="Times New Roman" w:cs="Times New Roman"/>
          <w:noProof/>
          <w:sz w:val="24"/>
          <w:szCs w:val="24"/>
        </w:rPr>
        <w:t>, 3078–3089.</w:t>
      </w:r>
    </w:p>
    <w:p w14:paraId="094004D8"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Willoughby, H. E., and M. B. Chelmow, 1982: Objective Determination of Hurricane Tracks from Aircraft Observations.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110</w:t>
      </w:r>
      <w:r w:rsidRPr="00790081">
        <w:rPr>
          <w:rFonts w:ascii="Times New Roman" w:hAnsi="Times New Roman" w:cs="Times New Roman"/>
          <w:noProof/>
          <w:sz w:val="24"/>
          <w:szCs w:val="24"/>
        </w:rPr>
        <w:t>, 1298–1305.</w:t>
      </w:r>
    </w:p>
    <w:p w14:paraId="780681AC" w14:textId="00044821" w:rsidR="003C7AE5" w:rsidRPr="00790081" w:rsidRDefault="00E2122F"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M. E. Rahn, 2004: Parametric Representation of the Primary Hurricane Vortex. Part I: Observations and Evaluation of the Holland (1980) Model.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132</w:t>
      </w:r>
      <w:r w:rsidR="003C7AE5" w:rsidRPr="00790081">
        <w:rPr>
          <w:rFonts w:ascii="Times New Roman" w:hAnsi="Times New Roman" w:cs="Times New Roman"/>
          <w:noProof/>
          <w:sz w:val="24"/>
          <w:szCs w:val="24"/>
        </w:rPr>
        <w:t>, 3033–3048.</w:t>
      </w:r>
    </w:p>
    <w:p w14:paraId="2CA98DF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Willoughby, H. E., H.-L. Jin, S. J. Lord, and J. M. Piotrowicz, 1984: Hurricane Structure and Evolution as Simulated by an Axisymmetric, Nonhydrostatic Numerical Model.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41</w:t>
      </w:r>
      <w:r w:rsidRPr="00790081">
        <w:rPr>
          <w:rFonts w:ascii="Times New Roman" w:hAnsi="Times New Roman" w:cs="Times New Roman"/>
          <w:noProof/>
          <w:sz w:val="24"/>
          <w:szCs w:val="24"/>
        </w:rPr>
        <w:t>, 1169–1186.</w:t>
      </w:r>
    </w:p>
    <w:p w14:paraId="7FB7CE2F"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Wu, T.-C., H. Liu, S. J. Majumdar, C. S. Velden, and J. L. Anderson, 2014: Influence of Assimilating Satellite-Derived Atmospheric Motion Vector Observations on Numerical Analyses and Forecasts of Tropical Cyclone Track and Intensity.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142</w:t>
      </w:r>
      <w:r w:rsidRPr="00790081">
        <w:rPr>
          <w:rFonts w:ascii="Times New Roman" w:hAnsi="Times New Roman" w:cs="Times New Roman"/>
          <w:noProof/>
          <w:sz w:val="24"/>
          <w:szCs w:val="24"/>
        </w:rPr>
        <w:t>, 49–71.</w:t>
      </w:r>
    </w:p>
    <w:p w14:paraId="496DEDA4"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 C. S. Velden, S. J. Majumdar, H. Liu, and J. L. Anderson, 2015: Understanding the Influence of Assimilating Subsets of Enhanced Atmospheric Motion Vectors on Numerical Analyses and Forecasts of Tropical Cyclone Track and Intensity with an Ensemble Kalman Filter.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143</w:t>
      </w:r>
      <w:r w:rsidRPr="00790081">
        <w:rPr>
          <w:rFonts w:ascii="Times New Roman" w:hAnsi="Times New Roman" w:cs="Times New Roman"/>
          <w:noProof/>
          <w:sz w:val="24"/>
          <w:szCs w:val="24"/>
        </w:rPr>
        <w:t>, 2506–2530.</w:t>
      </w:r>
    </w:p>
    <w:p w14:paraId="19427D21"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M. Zupanski, L. D. Grasso, C. D. Kummerow, and S.-A. Boukabara, 2019: All-Sky Radiance Assimilation of ATMS in HWRF: A Demonstration Study.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147</w:t>
      </w:r>
      <w:r w:rsidRPr="00790081">
        <w:rPr>
          <w:rFonts w:ascii="Times New Roman" w:hAnsi="Times New Roman" w:cs="Times New Roman"/>
          <w:noProof/>
          <w:sz w:val="24"/>
          <w:szCs w:val="24"/>
        </w:rPr>
        <w:t>, 85–106.</w:t>
      </w:r>
    </w:p>
    <w:p w14:paraId="26C71895"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Xiao, Q., X. Zhang, C. Davis, J. Tuttle, G. Holland, and P. J. Fitzpatrick, 2009: Experiments of Hurricane Initialization with Airborne Doppler Radar Data for the Advanced Research Hurricane WRF (AHW) Model.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137</w:t>
      </w:r>
      <w:r w:rsidRPr="00790081">
        <w:rPr>
          <w:rFonts w:ascii="Times New Roman" w:hAnsi="Times New Roman" w:cs="Times New Roman"/>
          <w:noProof/>
          <w:sz w:val="24"/>
          <w:szCs w:val="24"/>
        </w:rPr>
        <w:t>, 2758–2777.</w:t>
      </w:r>
    </w:p>
    <w:p w14:paraId="3F06CB72"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Yang, C., Z. Liu, J. Bresch, S. R. H. Rizvi, X.-Y. Huang, and J. Min, 2016: AMSR2 all-sky radiance assimilation and its impact on the analysis and forecast of Hurricane Sandy with a limited-area data assimilation system. </w:t>
      </w:r>
      <w:r w:rsidRPr="00790081">
        <w:rPr>
          <w:rFonts w:ascii="Times New Roman" w:hAnsi="Times New Roman" w:cs="Times New Roman"/>
          <w:i/>
          <w:iCs/>
          <w:noProof/>
          <w:sz w:val="24"/>
          <w:szCs w:val="24"/>
        </w:rPr>
        <w:t>Tellus A</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68</w:t>
      </w:r>
      <w:r w:rsidRPr="00790081">
        <w:rPr>
          <w:rFonts w:ascii="Times New Roman" w:hAnsi="Times New Roman" w:cs="Times New Roman"/>
          <w:noProof/>
          <w:sz w:val="24"/>
          <w:szCs w:val="24"/>
        </w:rPr>
        <w:t>, 1–19.</w:t>
      </w:r>
    </w:p>
    <w:p w14:paraId="02B79A8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Yang, S.-C., K.-J. Lin, T. Miyoshi, and E. Kalnay, 2013: Improving the spin-up of regional EnKF for typhoon assimilation and forecasting with Typhoon Sinlaku (2008). </w:t>
      </w:r>
      <w:r w:rsidRPr="00790081">
        <w:rPr>
          <w:rFonts w:ascii="Times New Roman" w:hAnsi="Times New Roman" w:cs="Times New Roman"/>
          <w:i/>
          <w:iCs/>
          <w:noProof/>
          <w:sz w:val="24"/>
          <w:szCs w:val="24"/>
        </w:rPr>
        <w:t>Tellus A</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65</w:t>
      </w:r>
      <w:r w:rsidRPr="00790081">
        <w:rPr>
          <w:rFonts w:ascii="Times New Roman" w:hAnsi="Times New Roman" w:cs="Times New Roman"/>
          <w:noProof/>
          <w:sz w:val="24"/>
          <w:szCs w:val="24"/>
        </w:rPr>
        <w:t>, 1–21.</w:t>
      </w:r>
    </w:p>
    <w:p w14:paraId="58B0C74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Zhang, F., and Y. Weng, 2015: Predicting Hurricane Intensity and Associated Hazards: A Five-Year Real-Time Forecast Experiment with Assimilation of Airborne Doppler Radar Observations. </w:t>
      </w:r>
      <w:r w:rsidRPr="00790081">
        <w:rPr>
          <w:rFonts w:ascii="Times New Roman" w:hAnsi="Times New Roman" w:cs="Times New Roman"/>
          <w:i/>
          <w:iCs/>
          <w:noProof/>
          <w:sz w:val="24"/>
          <w:szCs w:val="24"/>
        </w:rPr>
        <w:t>Bull. Am.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96</w:t>
      </w:r>
      <w:r w:rsidRPr="00790081">
        <w:rPr>
          <w:rFonts w:ascii="Times New Roman" w:hAnsi="Times New Roman" w:cs="Times New Roman"/>
          <w:noProof/>
          <w:sz w:val="24"/>
          <w:szCs w:val="24"/>
        </w:rPr>
        <w:t>, 25–33.</w:t>
      </w:r>
    </w:p>
    <w:p w14:paraId="10DA91A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 J. a. Sippel, Z. Meng, and C. H. Bishop, 2009a: Cloud-Resolving Hurricane Initialization and Prediction through Assimilation of Doppler Radar Observations with an Ensemble Kalman Filter.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137</w:t>
      </w:r>
      <w:r w:rsidRPr="00790081">
        <w:rPr>
          <w:rFonts w:ascii="Times New Roman" w:hAnsi="Times New Roman" w:cs="Times New Roman"/>
          <w:noProof/>
          <w:sz w:val="24"/>
          <w:szCs w:val="24"/>
        </w:rPr>
        <w:t>, 2105–2125.</w:t>
      </w:r>
    </w:p>
    <w:p w14:paraId="2C131C8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 J. A. Sippel, Z. Meng, and C. H. Bishop, 2009b: Cloud-Resolving Hurricane Initialization and Prediction through Assimilation of Doppler Radar Observations with an Ensemble Kalman Filter.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137</w:t>
      </w:r>
      <w:r w:rsidRPr="00790081">
        <w:rPr>
          <w:rFonts w:ascii="Times New Roman" w:hAnsi="Times New Roman" w:cs="Times New Roman"/>
          <w:noProof/>
          <w:sz w:val="24"/>
          <w:szCs w:val="24"/>
        </w:rPr>
        <w:t>, 2105–2125.</w:t>
      </w:r>
    </w:p>
    <w:p w14:paraId="743AEF03"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 ——, J. F. Gamache, and F. D. Marks, 2011: Performance of convection-permitting hurricane initialization and prediction during 2008-2010 with ensemble data assimilation of inner-core airborne Doppler radar observations. </w:t>
      </w:r>
      <w:r w:rsidRPr="00790081">
        <w:rPr>
          <w:rFonts w:ascii="Times New Roman" w:hAnsi="Times New Roman" w:cs="Times New Roman"/>
          <w:i/>
          <w:iCs/>
          <w:noProof/>
          <w:sz w:val="24"/>
          <w:szCs w:val="24"/>
        </w:rPr>
        <w:t>Geophys. Res. Lett.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38</w:t>
      </w:r>
      <w:r w:rsidRPr="00790081">
        <w:rPr>
          <w:rFonts w:ascii="Times New Roman" w:hAnsi="Times New Roman" w:cs="Times New Roman"/>
          <w:noProof/>
          <w:sz w:val="24"/>
          <w:szCs w:val="24"/>
        </w:rPr>
        <w:t>, 2–7.</w:t>
      </w:r>
    </w:p>
    <w:p w14:paraId="13F04339"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M. Minamide, and E. E. Clothiaux, 2016: Potential impacts of assimilating all-sky infrared satellite radiances from GOES-R on convection-permitting analysis and prediction of tropical cyclones. </w:t>
      </w:r>
      <w:r w:rsidRPr="00790081">
        <w:rPr>
          <w:rFonts w:ascii="Times New Roman" w:hAnsi="Times New Roman" w:cs="Times New Roman"/>
          <w:i/>
          <w:iCs/>
          <w:noProof/>
          <w:sz w:val="24"/>
          <w:szCs w:val="24"/>
        </w:rPr>
        <w:t>Geophys. Res. Lett.</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43</w:t>
      </w:r>
      <w:r w:rsidRPr="00790081">
        <w:rPr>
          <w:rFonts w:ascii="Times New Roman" w:hAnsi="Times New Roman" w:cs="Times New Roman"/>
          <w:noProof/>
          <w:sz w:val="24"/>
          <w:szCs w:val="24"/>
        </w:rPr>
        <w:t>, 2954–2963.</w:t>
      </w:r>
    </w:p>
    <w:p w14:paraId="2114E6FD"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Zhang, J. A., and M. T. Montgomery, 2012: Observational Estimates of the Horizontal Eddy Diffusivity and Mixing Length in the Low-Level Region of Intense Hurricanes. </w:t>
      </w:r>
      <w:r w:rsidRPr="00790081">
        <w:rPr>
          <w:rFonts w:ascii="Times New Roman" w:hAnsi="Times New Roman" w:cs="Times New Roman"/>
          <w:i/>
          <w:iCs/>
          <w:noProof/>
          <w:sz w:val="24"/>
          <w:szCs w:val="24"/>
        </w:rPr>
        <w:t>J. Atmos. Sci.</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69</w:t>
      </w:r>
      <w:r w:rsidRPr="00790081">
        <w:rPr>
          <w:rFonts w:ascii="Times New Roman" w:hAnsi="Times New Roman" w:cs="Times New Roman"/>
          <w:noProof/>
          <w:sz w:val="24"/>
          <w:szCs w:val="24"/>
        </w:rPr>
        <w:t>, 1306–1316.</w:t>
      </w:r>
    </w:p>
    <w:p w14:paraId="75627FB1" w14:textId="77777777" w:rsidR="000D53FB" w:rsidRPr="00790081" w:rsidRDefault="000D53FB" w:rsidP="000D53FB">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D. S. Nolan, R. F. Rogers, and V. Tallapragada, 2015: Evaluating the impact of improvements in the boundary layer parameterization on hurricane intensity and structure forecasts in HWRF.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143</w:t>
      </w:r>
      <w:r w:rsidRPr="00790081">
        <w:rPr>
          <w:rFonts w:ascii="Times New Roman" w:hAnsi="Times New Roman" w:cs="Times New Roman"/>
          <w:noProof/>
          <w:sz w:val="24"/>
          <w:szCs w:val="24"/>
        </w:rPr>
        <w:t>, 3136–3155.</w:t>
      </w:r>
    </w:p>
    <w:p w14:paraId="39EE2E89" w14:textId="77D4DE7D" w:rsidR="003C7AE5" w:rsidRPr="00790081" w:rsidRDefault="000D53FB"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w:t>
      </w:r>
      <w:r w:rsidR="003C7AE5" w:rsidRPr="00790081">
        <w:rPr>
          <w:rFonts w:ascii="Times New Roman" w:hAnsi="Times New Roman" w:cs="Times New Roman"/>
          <w:noProof/>
          <w:sz w:val="24"/>
          <w:szCs w:val="24"/>
        </w:rPr>
        <w:t xml:space="preserve">, and F. D. Marks, 2015: Effects of Horizontal Diffusion on Tropical Cyclone Intensity Change and Structure in Idealized Three-Dimensional Numerical Simulations. </w:t>
      </w:r>
      <w:r w:rsidR="003C7AE5" w:rsidRPr="00790081">
        <w:rPr>
          <w:rFonts w:ascii="Times New Roman" w:hAnsi="Times New Roman" w:cs="Times New Roman"/>
          <w:i/>
          <w:iCs/>
          <w:noProof/>
          <w:sz w:val="24"/>
          <w:szCs w:val="24"/>
        </w:rPr>
        <w:t>Mon. Wea. Rev.</w:t>
      </w:r>
      <w:r w:rsidR="003C7AE5" w:rsidRPr="00790081">
        <w:rPr>
          <w:rFonts w:ascii="Times New Roman" w:hAnsi="Times New Roman" w:cs="Times New Roman"/>
          <w:noProof/>
          <w:sz w:val="24"/>
          <w:szCs w:val="24"/>
        </w:rPr>
        <w:t xml:space="preserve">, </w:t>
      </w:r>
      <w:r w:rsidR="003C7AE5" w:rsidRPr="00790081">
        <w:rPr>
          <w:rFonts w:ascii="Times New Roman" w:hAnsi="Times New Roman" w:cs="Times New Roman"/>
          <w:b/>
          <w:bCs/>
          <w:noProof/>
          <w:sz w:val="24"/>
          <w:szCs w:val="24"/>
        </w:rPr>
        <w:t>143</w:t>
      </w:r>
      <w:r w:rsidR="003C7AE5" w:rsidRPr="00790081">
        <w:rPr>
          <w:rFonts w:ascii="Times New Roman" w:hAnsi="Times New Roman" w:cs="Times New Roman"/>
          <w:noProof/>
          <w:sz w:val="24"/>
          <w:szCs w:val="24"/>
        </w:rPr>
        <w:t>, 3981–3995.</w:t>
      </w:r>
    </w:p>
    <w:p w14:paraId="017C1836" w14:textId="7799C4ED"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Zhou, C., H. Shao, and L. Bernardet, 2015a: Applications of the GSI‐Hybrid Data Assimilation for High‐Resolution Tropical Storm Forecasts: tackling the intensity spin-­down issue in 2014 HWRF. </w:t>
      </w:r>
      <w:r w:rsidRPr="00790081">
        <w:rPr>
          <w:rFonts w:ascii="Times New Roman" w:hAnsi="Times New Roman" w:cs="Times New Roman"/>
          <w:i/>
          <w:iCs/>
          <w:noProof/>
          <w:sz w:val="24"/>
          <w:szCs w:val="24"/>
        </w:rPr>
        <w:t>16th WRF users Workshop</w:t>
      </w:r>
      <w:r w:rsidR="00157665" w:rsidRPr="00790081">
        <w:rPr>
          <w:rFonts w:ascii="Times New Roman" w:hAnsi="Times New Roman" w:cs="Times New Roman"/>
          <w:noProof/>
          <w:sz w:val="24"/>
          <w:szCs w:val="24"/>
        </w:rPr>
        <w:t>, 2016 Jun 27 - Jul 1, Boulder, CO.</w:t>
      </w:r>
    </w:p>
    <w:p w14:paraId="10B98C50" w14:textId="78401D61"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 H. Shao, L. R. Bernardet, M. Tong, and V. Tallapragada, 2015b: Regional Applications of the GSI-Hybrid Data Assimilation for High-Resolution Tropical Storm Forecasts (95th American Meteorological Society Annual Meeting). </w:t>
      </w:r>
      <w:r w:rsidRPr="00790081">
        <w:rPr>
          <w:rFonts w:ascii="Times New Roman" w:hAnsi="Times New Roman" w:cs="Times New Roman"/>
          <w:i/>
          <w:iCs/>
          <w:noProof/>
          <w:sz w:val="24"/>
          <w:szCs w:val="24"/>
        </w:rPr>
        <w:t>95th AMS Annual Meeting</w:t>
      </w:r>
      <w:r w:rsidRPr="00790081">
        <w:rPr>
          <w:rFonts w:ascii="Times New Roman" w:hAnsi="Times New Roman" w:cs="Times New Roman"/>
          <w:noProof/>
          <w:sz w:val="24"/>
          <w:szCs w:val="24"/>
        </w:rPr>
        <w:t>,</w:t>
      </w:r>
      <w:r w:rsidRPr="00790081">
        <w:rPr>
          <w:rFonts w:ascii="Times New Roman" w:hAnsi="Times New Roman" w:cs="Times New Roman"/>
          <w:sz w:val="24"/>
          <w:szCs w:val="24"/>
        </w:rPr>
        <w:t xml:space="preserve"> </w:t>
      </w:r>
      <w:r w:rsidR="00157665" w:rsidRPr="00790081">
        <w:rPr>
          <w:rFonts w:ascii="Times New Roman" w:hAnsi="Times New Roman" w:cs="Times New Roman"/>
          <w:sz w:val="24"/>
          <w:szCs w:val="24"/>
        </w:rPr>
        <w:t xml:space="preserve">2015 Jan </w:t>
      </w:r>
      <w:r w:rsidRPr="00790081">
        <w:rPr>
          <w:rFonts w:ascii="Times New Roman" w:hAnsi="Times New Roman" w:cs="Times New Roman"/>
          <w:noProof/>
          <w:sz w:val="24"/>
          <w:szCs w:val="24"/>
        </w:rPr>
        <w:t>4-8</w:t>
      </w:r>
      <w:r w:rsidR="00157665" w:rsidRPr="00790081">
        <w:rPr>
          <w:rFonts w:ascii="Times New Roman" w:hAnsi="Times New Roman" w:cs="Times New Roman"/>
          <w:noProof/>
          <w:sz w:val="24"/>
          <w:szCs w:val="24"/>
        </w:rPr>
        <w:t>, Phoenix, AZ.</w:t>
      </w:r>
    </w:p>
    <w:p w14:paraId="3948917C"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Zhu, P., K. Menelaou, and Z. Zhu, 2014: Impact of subgrid-scale vertical turbulent mixing on eyewall asymmetric structures and mesovortices of hurricanes. </w:t>
      </w:r>
      <w:r w:rsidRPr="00790081">
        <w:rPr>
          <w:rFonts w:ascii="Times New Roman" w:hAnsi="Times New Roman" w:cs="Times New Roman"/>
          <w:i/>
          <w:iCs/>
          <w:noProof/>
          <w:sz w:val="24"/>
          <w:szCs w:val="24"/>
        </w:rPr>
        <w:t>Q. J. R. Meteorol. Soc.</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140</w:t>
      </w:r>
      <w:r w:rsidRPr="00790081">
        <w:rPr>
          <w:rFonts w:ascii="Times New Roman" w:hAnsi="Times New Roman" w:cs="Times New Roman"/>
          <w:noProof/>
          <w:sz w:val="24"/>
          <w:szCs w:val="24"/>
        </w:rPr>
        <w:t>, 416–438.</w:t>
      </w:r>
    </w:p>
    <w:p w14:paraId="5C63501E"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lastRenderedPageBreak/>
        <w:t xml:space="preserve">——, B. Tyner, J. A. Zhang, E. Aligo, S. Gopalakrishnan, and D. Frank, 2018: Role of eyewall and rainband eddy forcing in tropical cyclone intensification. </w:t>
      </w:r>
      <w:r w:rsidRPr="00790081">
        <w:rPr>
          <w:rFonts w:ascii="Times New Roman" w:hAnsi="Times New Roman" w:cs="Times New Roman"/>
          <w:i/>
          <w:iCs/>
          <w:noProof/>
          <w:sz w:val="24"/>
          <w:szCs w:val="24"/>
        </w:rPr>
        <w:t>Atmos. Chem. Phys. Discuss.</w:t>
      </w:r>
      <w:r w:rsidRPr="00790081">
        <w:rPr>
          <w:rFonts w:ascii="Times New Roman" w:hAnsi="Times New Roman" w:cs="Times New Roman"/>
          <w:noProof/>
          <w:sz w:val="24"/>
          <w:szCs w:val="24"/>
        </w:rPr>
        <w:t>, 1–33.</w:t>
      </w:r>
    </w:p>
    <w:p w14:paraId="690585F5"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Zhu, T., D. L. Zhang, and F. H. Weng, 2004: Numerical simulation of Hurricane Bonnie (1998). Part I: Eyewall evolution and intensity changes.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132</w:t>
      </w:r>
      <w:r w:rsidRPr="00790081">
        <w:rPr>
          <w:rFonts w:ascii="Times New Roman" w:hAnsi="Times New Roman" w:cs="Times New Roman"/>
          <w:noProof/>
          <w:sz w:val="24"/>
          <w:szCs w:val="24"/>
        </w:rPr>
        <w:t>, 225–241.</w:t>
      </w:r>
    </w:p>
    <w:p w14:paraId="13F0F9E6" w14:textId="77777777" w:rsidR="003C7AE5" w:rsidRPr="00790081" w:rsidRDefault="003C7AE5" w:rsidP="003C7AE5">
      <w:pPr>
        <w:widowControl w:val="0"/>
        <w:autoSpaceDE w:val="0"/>
        <w:autoSpaceDN w:val="0"/>
        <w:adjustRightInd w:val="0"/>
        <w:spacing w:after="380" w:line="360" w:lineRule="auto"/>
        <w:ind w:left="480" w:hanging="480"/>
        <w:rPr>
          <w:rFonts w:ascii="Times New Roman" w:hAnsi="Times New Roman" w:cs="Times New Roman"/>
          <w:noProof/>
          <w:sz w:val="24"/>
          <w:szCs w:val="24"/>
        </w:rPr>
      </w:pPr>
      <w:r w:rsidRPr="00790081">
        <w:rPr>
          <w:rFonts w:ascii="Times New Roman" w:hAnsi="Times New Roman" w:cs="Times New Roman"/>
          <w:noProof/>
          <w:sz w:val="24"/>
          <w:szCs w:val="24"/>
        </w:rPr>
        <w:t xml:space="preserve">Zhu, Y., and Coauthors, 2016b: All-Sky Microwave Radiance Assimilation in NCEP’s GSI Analysis System. </w:t>
      </w:r>
      <w:r w:rsidRPr="00790081">
        <w:rPr>
          <w:rFonts w:ascii="Times New Roman" w:hAnsi="Times New Roman" w:cs="Times New Roman"/>
          <w:i/>
          <w:iCs/>
          <w:noProof/>
          <w:sz w:val="24"/>
          <w:szCs w:val="24"/>
        </w:rPr>
        <w:t>Mon. Wea. Rev.</w:t>
      </w:r>
      <w:r w:rsidRPr="00790081">
        <w:rPr>
          <w:rFonts w:ascii="Times New Roman" w:hAnsi="Times New Roman" w:cs="Times New Roman"/>
          <w:noProof/>
          <w:sz w:val="24"/>
          <w:szCs w:val="24"/>
        </w:rPr>
        <w:t xml:space="preserve">, </w:t>
      </w:r>
      <w:r w:rsidRPr="00790081">
        <w:rPr>
          <w:rFonts w:ascii="Times New Roman" w:hAnsi="Times New Roman" w:cs="Times New Roman"/>
          <w:b/>
          <w:bCs/>
          <w:noProof/>
          <w:sz w:val="24"/>
          <w:szCs w:val="24"/>
        </w:rPr>
        <w:t>144</w:t>
      </w:r>
      <w:r w:rsidRPr="00790081">
        <w:rPr>
          <w:rFonts w:ascii="Times New Roman" w:hAnsi="Times New Roman" w:cs="Times New Roman"/>
          <w:noProof/>
          <w:sz w:val="24"/>
          <w:szCs w:val="24"/>
        </w:rPr>
        <w:t>, 4709–4735.</w:t>
      </w:r>
    </w:p>
    <w:p w14:paraId="4925AE0F" w14:textId="525BCABD" w:rsidR="008B33D8" w:rsidRPr="00723DA9" w:rsidRDefault="009A2E48" w:rsidP="00771F99">
      <w:pPr>
        <w:pStyle w:val="Heading2"/>
        <w:spacing w:before="0" w:afterLines="160" w:after="384" w:line="360" w:lineRule="auto"/>
        <w:rPr>
          <w:rFonts w:ascii="Times New Roman" w:hAnsi="Times New Roman" w:cs="Times New Roman"/>
          <w:b/>
          <w:color w:val="auto"/>
          <w:sz w:val="24"/>
          <w:szCs w:val="24"/>
        </w:rPr>
      </w:pPr>
      <w:r w:rsidRPr="00790081">
        <w:rPr>
          <w:rFonts w:ascii="Times New Roman" w:hAnsi="Times New Roman" w:cs="Times New Roman"/>
          <w:b/>
          <w:color w:val="auto"/>
          <w:sz w:val="24"/>
          <w:szCs w:val="24"/>
        </w:rPr>
        <w:fldChar w:fldCharType="end"/>
      </w:r>
    </w:p>
    <w:p w14:paraId="63FF5126" w14:textId="77777777" w:rsidR="00823393" w:rsidRPr="00723DA9" w:rsidRDefault="00823393" w:rsidP="00771F99">
      <w:pPr>
        <w:pStyle w:val="Heading2"/>
        <w:spacing w:before="0" w:line="480" w:lineRule="auto"/>
        <w:rPr>
          <w:rFonts w:ascii="Times New Roman" w:hAnsi="Times New Roman" w:cs="Times New Roman"/>
          <w:b/>
          <w:color w:val="auto"/>
          <w:sz w:val="24"/>
          <w:szCs w:val="24"/>
        </w:rPr>
      </w:pPr>
    </w:p>
    <w:sectPr w:rsidR="00823393" w:rsidRPr="00723DA9" w:rsidSect="00C32955">
      <w:footerReference w:type="default" r:id="rId44"/>
      <w:footerReference w:type="first" r:id="rId4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B5106" w14:textId="77777777" w:rsidR="009730B4" w:rsidRDefault="009730B4" w:rsidP="00D0781C">
      <w:pPr>
        <w:spacing w:after="0" w:line="240" w:lineRule="auto"/>
      </w:pPr>
      <w:r>
        <w:separator/>
      </w:r>
    </w:p>
  </w:endnote>
  <w:endnote w:type="continuationSeparator" w:id="0">
    <w:p w14:paraId="21F22CC3" w14:textId="77777777" w:rsidR="009730B4" w:rsidRDefault="009730B4" w:rsidP="00D0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ymbol Tiger">
    <w:altName w:val="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C21C1" w14:textId="1BEC3BE3" w:rsidR="00C350DE" w:rsidRDefault="00C350DE">
    <w:pPr>
      <w:pStyle w:val="Footer"/>
      <w:jc w:val="center"/>
    </w:pPr>
  </w:p>
  <w:p w14:paraId="332A564D" w14:textId="77777777" w:rsidR="00C350DE" w:rsidRDefault="00C350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300789"/>
      <w:docPartObj>
        <w:docPartGallery w:val="Page Numbers (Bottom of Page)"/>
        <w:docPartUnique/>
      </w:docPartObj>
    </w:sdtPr>
    <w:sdtEndPr>
      <w:rPr>
        <w:noProof/>
      </w:rPr>
    </w:sdtEndPr>
    <w:sdtContent>
      <w:p w14:paraId="067F1682" w14:textId="77777777" w:rsidR="00C350DE" w:rsidRDefault="00C350DE">
        <w:pPr>
          <w:pStyle w:val="Footer"/>
          <w:jc w:val="center"/>
        </w:pPr>
        <w:r>
          <w:fldChar w:fldCharType="begin"/>
        </w:r>
        <w:r>
          <w:instrText xml:space="preserve"> PAGE  \* roman  \* MERGEFORMAT </w:instrText>
        </w:r>
        <w:r>
          <w:fldChar w:fldCharType="separate"/>
        </w:r>
        <w:r>
          <w:rPr>
            <w:noProof/>
          </w:rPr>
          <w:t>iv</w:t>
        </w:r>
        <w:r>
          <w:fldChar w:fldCharType="end"/>
        </w:r>
      </w:p>
    </w:sdtContent>
  </w:sdt>
  <w:p w14:paraId="548F2057" w14:textId="77777777" w:rsidR="00C350DE" w:rsidRDefault="00C350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634552"/>
      <w:docPartObj>
        <w:docPartGallery w:val="Page Numbers (Bottom of Page)"/>
        <w:docPartUnique/>
      </w:docPartObj>
    </w:sdtPr>
    <w:sdtEndPr>
      <w:rPr>
        <w:noProof/>
      </w:rPr>
    </w:sdtEndPr>
    <w:sdtContent>
      <w:p w14:paraId="7138808F" w14:textId="2EDEFEAD" w:rsidR="00C350DE" w:rsidRDefault="00C350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4FE91E" w14:textId="77777777" w:rsidR="00C350DE" w:rsidRDefault="00C350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344501"/>
      <w:docPartObj>
        <w:docPartGallery w:val="Page Numbers (Bottom of Page)"/>
        <w:docPartUnique/>
      </w:docPartObj>
    </w:sdtPr>
    <w:sdtEndPr>
      <w:rPr>
        <w:noProof/>
      </w:rPr>
    </w:sdtEndPr>
    <w:sdtContent>
      <w:p w14:paraId="37A39BA2" w14:textId="17DD4FC3" w:rsidR="00C350DE" w:rsidRDefault="00C350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23587" w14:textId="77777777" w:rsidR="00C350DE" w:rsidRDefault="00C35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43034" w14:textId="77777777" w:rsidR="009730B4" w:rsidRDefault="009730B4" w:rsidP="00D0781C">
      <w:pPr>
        <w:spacing w:after="0" w:line="240" w:lineRule="auto"/>
      </w:pPr>
      <w:r>
        <w:separator/>
      </w:r>
    </w:p>
  </w:footnote>
  <w:footnote w:type="continuationSeparator" w:id="0">
    <w:p w14:paraId="157AF529" w14:textId="77777777" w:rsidR="009730B4" w:rsidRDefault="009730B4" w:rsidP="00D0781C">
      <w:pPr>
        <w:spacing w:after="0" w:line="240" w:lineRule="auto"/>
      </w:pPr>
      <w:r>
        <w:continuationSeparator/>
      </w:r>
    </w:p>
  </w:footnote>
  <w:footnote w:id="1">
    <w:p w14:paraId="546B6169" w14:textId="35DB6E52" w:rsidR="00C350DE" w:rsidRDefault="00C350DE" w:rsidP="00EB4A18">
      <w:pPr>
        <w:pStyle w:val="FootnoteText"/>
        <w:rPr>
          <w:rFonts w:ascii="Times New Roman" w:hAnsi="Times New Roman"/>
        </w:rPr>
      </w:pPr>
      <w:r w:rsidRPr="007A1DFF">
        <w:rPr>
          <w:rStyle w:val="FootnoteReference"/>
        </w:rPr>
        <w:footnoteRef/>
      </w:r>
      <w:r>
        <w:rPr>
          <w:rFonts w:ascii="Times New Roman" w:hAnsi="Times New Roman"/>
        </w:rPr>
        <w:t xml:space="preserve"> First Guess at Appropriate Time (FGAT) interpolates the background forecast to the observation time so that the observation priors in the innovation corresponds to the “appropriate” observation time. To perform the FGAT interpolation, background forecasts at 3, 6 and 9 h are used for a 6-hour DA time window centered at 6 h.</w:t>
      </w:r>
    </w:p>
  </w:footnote>
  <w:footnote w:id="2">
    <w:p w14:paraId="6CF18C1C" w14:textId="77777777" w:rsidR="00C350DE" w:rsidRPr="002455B6" w:rsidRDefault="00C350DE" w:rsidP="00D10210">
      <w:pPr>
        <w:pStyle w:val="FootnoteText"/>
        <w:rPr>
          <w:rFonts w:ascii="Times New Roman" w:hAnsi="Times New Roman"/>
        </w:rPr>
      </w:pPr>
      <w:r w:rsidRPr="007A1DFF">
        <w:rPr>
          <w:rStyle w:val="FootnoteReference"/>
        </w:rPr>
        <w:footnoteRef/>
      </w:r>
      <w:r w:rsidRPr="002455B6">
        <w:rPr>
          <w:rFonts w:ascii="Times New Roman" w:hAnsi="Times New Roman"/>
        </w:rPr>
        <w:t xml:space="preserve"> Starting </w:t>
      </w:r>
      <w:r>
        <w:rPr>
          <w:rFonts w:ascii="Times New Roman" w:hAnsi="Times New Roman"/>
        </w:rPr>
        <w:t>in</w:t>
      </w:r>
      <w:r w:rsidRPr="002455B6">
        <w:rPr>
          <w:rFonts w:ascii="Times New Roman" w:hAnsi="Times New Roman"/>
        </w:rPr>
        <w:t xml:space="preserve"> 2017, the operational </w:t>
      </w:r>
      <w:r w:rsidRPr="00700E19">
        <w:rPr>
          <w:rFonts w:ascii="Times New Roman" w:hAnsi="Times New Roman"/>
        </w:rPr>
        <w:t xml:space="preserve">HWRF </w:t>
      </w:r>
      <w:r>
        <w:rPr>
          <w:rFonts w:ascii="Times New Roman" w:hAnsi="Times New Roman"/>
        </w:rPr>
        <w:t>has implemented</w:t>
      </w:r>
      <w:r w:rsidRPr="002455B6">
        <w:rPr>
          <w:rFonts w:ascii="Times New Roman" w:hAnsi="Times New Roman"/>
        </w:rPr>
        <w:t xml:space="preserve"> the capability for the self-cycled </w:t>
      </w:r>
      <w:r w:rsidRPr="00700E19">
        <w:rPr>
          <w:rFonts w:ascii="Times New Roman" w:hAnsi="Times New Roman"/>
        </w:rPr>
        <w:t xml:space="preserve">background error </w:t>
      </w:r>
      <w:r w:rsidRPr="002455B6">
        <w:rPr>
          <w:rFonts w:ascii="Times New Roman" w:hAnsi="Times New Roman"/>
        </w:rPr>
        <w:t>covariance</w:t>
      </w:r>
      <w:r w:rsidRPr="00700E19">
        <w:rPr>
          <w:rFonts w:ascii="Times New Roman" w:hAnsi="Times New Roman"/>
        </w:rPr>
        <w:t>s</w:t>
      </w:r>
      <w:r w:rsidRPr="002455B6">
        <w:rPr>
          <w:rFonts w:ascii="Times New Roman" w:hAnsi="Times New Roman"/>
        </w:rPr>
        <w:t xml:space="preserve"> </w:t>
      </w:r>
      <w:r>
        <w:rPr>
          <w:rFonts w:ascii="Times New Roman" w:hAnsi="Times New Roman"/>
        </w:rPr>
        <w:t xml:space="preserve">using a new system based on that presented here </w:t>
      </w:r>
      <w:r w:rsidRPr="002455B6">
        <w:rPr>
          <w:rFonts w:ascii="Times New Roman" w:hAnsi="Times New Roman"/>
        </w:rPr>
        <w:t xml:space="preserve">(personal communication with J. </w:t>
      </w:r>
      <w:proofErr w:type="spellStart"/>
      <w:r w:rsidRPr="002455B6">
        <w:rPr>
          <w:rFonts w:ascii="Times New Roman" w:hAnsi="Times New Roman"/>
        </w:rPr>
        <w:t>Sippel</w:t>
      </w:r>
      <w:proofErr w:type="spellEnd"/>
      <w:r w:rsidRPr="002455B6">
        <w:rPr>
          <w:rFonts w:ascii="Times New Roman" w:hAnsi="Times New Roman"/>
        </w:rPr>
        <w:t>, 2017).</w:t>
      </w:r>
    </w:p>
  </w:footnote>
  <w:footnote w:id="3">
    <w:p w14:paraId="17AE2EDE" w14:textId="77777777" w:rsidR="00C350DE" w:rsidRDefault="00C350DE" w:rsidP="00ED76F4">
      <w:pPr>
        <w:pStyle w:val="FootnoteText"/>
      </w:pPr>
      <w:r w:rsidRPr="009D3124">
        <w:rPr>
          <w:rStyle w:val="FootnoteReference"/>
          <w:rFonts w:ascii="Times New Roman" w:hAnsi="Times New Roman"/>
        </w:rPr>
        <w:footnoteRef/>
      </w:r>
      <w:r w:rsidRPr="009D3124">
        <w:rPr>
          <w:rFonts w:ascii="Times New Roman" w:hAnsi="Times New Roman"/>
        </w:rPr>
        <w:t xml:space="preserve"> </w:t>
      </w:r>
      <w:r>
        <w:rPr>
          <w:rFonts w:ascii="Times New Roman" w:hAnsi="Times New Roman"/>
        </w:rPr>
        <w:t xml:space="preserve">The </w:t>
      </w:r>
      <w:bookmarkStart w:id="58" w:name="_GoBack"/>
      <w:bookmarkEnd w:id="58"/>
      <w:r>
        <w:rPr>
          <w:rFonts w:ascii="Times New Roman" w:hAnsi="Times New Roman"/>
        </w:rPr>
        <w:t>correlation coefficient</w:t>
      </w:r>
      <w:r w:rsidRPr="009D3124">
        <w:rPr>
          <w:rFonts w:ascii="Times New Roman" w:hAnsi="Times New Roman"/>
        </w:rPr>
        <w:t xml:space="preserve"> is not to draw a statistically significant conclusion but to aid subjective interpretation of the </w:t>
      </w:r>
      <w:r>
        <w:rPr>
          <w:rFonts w:ascii="Times New Roman" w:hAnsi="Times New Roman"/>
        </w:rPr>
        <w:t xml:space="preserve">analysis </w:t>
      </w:r>
      <w:r w:rsidRPr="009D3124">
        <w:rPr>
          <w:rFonts w:ascii="Times New Roman" w:hAnsi="Times New Roman"/>
        </w:rPr>
        <w:t>difference</w:t>
      </w:r>
      <w:r>
        <w:rPr>
          <w:rFonts w:ascii="Times New Roman" w:hAnsi="Times New Roman"/>
        </w:rPr>
        <w:t xml:space="preserve"> </w:t>
      </w:r>
      <w:r w:rsidRPr="009D3124">
        <w:rPr>
          <w:rFonts w:ascii="Times New Roman" w:hAnsi="Times New Roman"/>
        </w:rPr>
        <w:t xml:space="preserve">between the </w:t>
      </w:r>
      <w:r>
        <w:rPr>
          <w:rFonts w:ascii="Times New Roman" w:hAnsi="Times New Roman"/>
        </w:rPr>
        <w:t>experiments.</w:t>
      </w:r>
    </w:p>
  </w:footnote>
  <w:footnote w:id="4">
    <w:p w14:paraId="2E0F6C06" w14:textId="77777777" w:rsidR="00C350DE" w:rsidRDefault="00C350DE" w:rsidP="0009534B">
      <w:pPr>
        <w:pStyle w:val="FootnoteText"/>
      </w:pPr>
      <w:r w:rsidRPr="007A1DFF">
        <w:rPr>
          <w:rStyle w:val="FootnoteReference"/>
        </w:rPr>
        <w:footnoteRef/>
      </w:r>
      <w:r>
        <w:rPr>
          <w:rFonts w:ascii="Times New Roman" w:hAnsi="Times New Roman"/>
        </w:rPr>
        <w:t xml:space="preserve"> Following Rogers et al. (2013a), an “intensifying” period is one in which the 12h best track Vmax change is greater than 20kt (24 h)</w:t>
      </w:r>
      <w:r>
        <w:rPr>
          <w:rFonts w:ascii="Times New Roman" w:hAnsi="Times New Roman"/>
          <w:vertAlign w:val="superscript"/>
        </w:rPr>
        <w:t>-1</w:t>
      </w:r>
      <w:r>
        <w:rPr>
          <w:rFonts w:ascii="Times New Roman" w:hAnsi="Times New Roman"/>
        </w:rPr>
        <w:t xml:space="preserve"> [≈10.3 ms</w:t>
      </w:r>
      <w:r>
        <w:rPr>
          <w:rFonts w:ascii="Times New Roman" w:hAnsi="Times New Roman"/>
          <w:vertAlign w:val="superscript"/>
        </w:rPr>
        <w:t>-1</w:t>
      </w:r>
      <w:r>
        <w:rPr>
          <w:rFonts w:ascii="Times New Roman" w:hAnsi="Times New Roman"/>
        </w:rPr>
        <w:t xml:space="preserve"> (24 h)</w:t>
      </w:r>
      <w:r>
        <w:rPr>
          <w:rFonts w:ascii="Times New Roman" w:hAnsi="Times New Roman"/>
          <w:vertAlign w:val="superscript"/>
        </w:rPr>
        <w:t>-1</w:t>
      </w:r>
      <w:r>
        <w:rPr>
          <w:rFonts w:ascii="Times New Roman" w:hAnsi="Times New Roman"/>
        </w:rPr>
        <w:t>]. Given this definition, the intensifying period is identified from 1200 UTC 13 September 2014 to 0600 UTC 15 September 2014.</w:t>
      </w:r>
    </w:p>
  </w:footnote>
  <w:footnote w:id="5">
    <w:p w14:paraId="20AFDC67" w14:textId="77777777" w:rsidR="00C350DE" w:rsidRDefault="00C350DE" w:rsidP="0009534B">
      <w:pPr>
        <w:pStyle w:val="FootnoteText"/>
        <w:rPr>
          <w:rFonts w:ascii="Times New Roman" w:hAnsi="Times New Roman"/>
        </w:rPr>
      </w:pPr>
      <w:r w:rsidRPr="007A1DFF">
        <w:rPr>
          <w:rStyle w:val="FootnoteReference"/>
        </w:rPr>
        <w:footnoteRef/>
      </w:r>
      <w:r>
        <w:rPr>
          <w:rFonts w:ascii="Times New Roman" w:hAnsi="Times New Roman"/>
        </w:rPr>
        <w:t xml:space="preserve"> The first TDR mission was after this period.</w:t>
      </w:r>
    </w:p>
  </w:footnote>
  <w:footnote w:id="6">
    <w:p w14:paraId="6A487394" w14:textId="77777777" w:rsidR="00C350DE" w:rsidRDefault="00C350DE" w:rsidP="00C56823">
      <w:pPr>
        <w:pStyle w:val="FootnoteText"/>
        <w:rPr>
          <w:rFonts w:ascii="Times New Roman" w:hAnsi="Times New Roman"/>
        </w:rPr>
      </w:pPr>
      <w:r w:rsidRPr="007A1DFF">
        <w:rPr>
          <w:rStyle w:val="FootnoteReference"/>
        </w:rPr>
        <w:footnoteRef/>
      </w:r>
      <w:r>
        <w:rPr>
          <w:rFonts w:ascii="Times New Roman" w:hAnsi="Times New Roman"/>
        </w:rPr>
        <w:t xml:space="preserve"> The turbulent layer is currently defined as the updraft greater than a certain critical value (e.g. 0.4 ms</w:t>
      </w:r>
      <w:r>
        <w:rPr>
          <w:rFonts w:ascii="Times New Roman" w:hAnsi="Times New Roman"/>
          <w:vertAlign w:val="superscript"/>
        </w:rPr>
        <w:t>-1</w:t>
      </w:r>
      <w:r>
        <w:rPr>
          <w:rFonts w:ascii="Times New Roman" w:hAnsi="Times New Roman"/>
        </w:rPr>
        <w:t xml:space="preserve"> in this study) above the boundary layer height.  Therefore, in the non-deep-convection zone, the vertical diffusivity profile in the modified PBL scheme is identical to the original PBL scheme.</w:t>
      </w:r>
    </w:p>
  </w:footnote>
  <w:footnote w:id="7">
    <w:p w14:paraId="7AEB54A5" w14:textId="77777777" w:rsidR="00C350DE" w:rsidRDefault="00C350DE" w:rsidP="00C56823">
      <w:pPr>
        <w:pStyle w:val="FootnoteText"/>
        <w:rPr>
          <w:rFonts w:ascii="Times New Roman" w:hAnsi="Times New Roman"/>
        </w:rPr>
      </w:pPr>
      <w:r w:rsidRPr="007A1DFF">
        <w:rPr>
          <w:rStyle w:val="FootnoteReference"/>
        </w:rPr>
        <w:footnoteRef/>
      </w:r>
      <w:r>
        <w:rPr>
          <w:rFonts w:ascii="Times New Roman" w:hAnsi="Times New Roman"/>
        </w:rPr>
        <w:t xml:space="preserve"> Restart mode does not function in the HWRF model when the moving nest configuration is used. </w:t>
      </w:r>
    </w:p>
  </w:footnote>
  <w:footnote w:id="8">
    <w:p w14:paraId="311B4ACF" w14:textId="77777777" w:rsidR="00C350DE" w:rsidRDefault="00C350DE" w:rsidP="00C56823">
      <w:pPr>
        <w:pStyle w:val="FootnoteText"/>
        <w:rPr>
          <w:rFonts w:asciiTheme="minorHAnsi" w:hAnsiTheme="minorHAnsi" w:cstheme="minorBidi"/>
        </w:rPr>
      </w:pPr>
      <w:r w:rsidRPr="007A1DFF">
        <w:rPr>
          <w:rStyle w:val="FootnoteReference"/>
        </w:rPr>
        <w:footnoteRef/>
      </w:r>
      <w:r>
        <w:t xml:space="preserve"> </w:t>
      </w:r>
      <w:r>
        <w:rPr>
          <w:rFonts w:ascii="Times New Roman" w:hAnsi="Times New Roman"/>
        </w:rPr>
        <w:t>The RMW information is obtained from the post-season b-deck “best tracks" (available online at ftp://ftp.nhc.noaa.gov/atcf/archive/2015/)</w:t>
      </w:r>
    </w:p>
  </w:footnote>
  <w:footnote w:id="9">
    <w:p w14:paraId="7F11AD41" w14:textId="77777777" w:rsidR="00C350DE" w:rsidRDefault="00C350DE" w:rsidP="00C56823">
      <w:pPr>
        <w:pStyle w:val="FootnoteText"/>
      </w:pPr>
      <w:r w:rsidRPr="007A1DFF">
        <w:rPr>
          <w:rStyle w:val="FootnoteReference"/>
        </w:rPr>
        <w:footnoteRef/>
      </w:r>
      <w:r>
        <w:t xml:space="preserve"> </w:t>
      </w:r>
      <w:r>
        <w:rPr>
          <w:rFonts w:ascii="Times New Roman" w:hAnsi="Times New Roman"/>
        </w:rPr>
        <w:t xml:space="preserve">Sensitivity experiments suggest that deviates of </w:t>
      </w:r>
      <w:proofErr w:type="spellStart"/>
      <w:r>
        <w:rPr>
          <w:rFonts w:ascii="Times New Roman" w:hAnsi="Times New Roman"/>
        </w:rPr>
        <w:t>NoDA</w:t>
      </w:r>
      <w:proofErr w:type="spellEnd"/>
      <w:r>
        <w:rPr>
          <w:rFonts w:ascii="Times New Roman" w:hAnsi="Times New Roman"/>
        </w:rPr>
        <w:t xml:space="preserve"> from one are primarily due to the replacement of GFS analysis in the outermost domain and the VR process (not shown).</w:t>
      </w:r>
    </w:p>
  </w:footnote>
  <w:footnote w:id="10">
    <w:p w14:paraId="31AA6104" w14:textId="77777777" w:rsidR="00C350DE" w:rsidRDefault="00C350DE" w:rsidP="0009534B">
      <w:pPr>
        <w:pStyle w:val="FootnoteText"/>
        <w:rPr>
          <w:rFonts w:ascii="Times New Roman" w:hAnsi="Times New Roman"/>
        </w:rPr>
      </w:pPr>
      <w:r w:rsidRPr="007A1DFF">
        <w:rPr>
          <w:rStyle w:val="FootnoteReference"/>
        </w:rPr>
        <w:footnoteRef/>
      </w:r>
      <w:r>
        <w:rPr>
          <w:rFonts w:ascii="Times New Roman" w:hAnsi="Times New Roman"/>
        </w:rPr>
        <w:t xml:space="preserve"> The AMV observations at the lower troposphere were only distributed in the intermediate domain but outside the innermost domain at this time in this study.</w:t>
      </w:r>
    </w:p>
  </w:footnote>
  <w:footnote w:id="11">
    <w:p w14:paraId="18990397" w14:textId="45349C5E" w:rsidR="00C350DE" w:rsidRDefault="00C350DE" w:rsidP="00C56823">
      <w:pPr>
        <w:pStyle w:val="FootnoteText"/>
        <w:rPr>
          <w:rFonts w:ascii="Times New Roman" w:hAnsi="Times New Roman"/>
        </w:rPr>
      </w:pPr>
      <w:r w:rsidRPr="007A1DFF">
        <w:rPr>
          <w:rStyle w:val="FootnoteReference"/>
        </w:rPr>
        <w:footnoteRef/>
      </w:r>
      <w:r>
        <w:rPr>
          <w:rFonts w:ascii="Times New Roman" w:hAnsi="Times New Roman"/>
        </w:rPr>
        <w:t xml:space="preserve"> Table 5.2 is not to draw a statistically significant conclusion but to aid subjective interpretation of the difference between the predicted structure and the observations.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66B8"/>
    <w:multiLevelType w:val="multilevel"/>
    <w:tmpl w:val="C13EF3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44D49"/>
    <w:multiLevelType w:val="multilevel"/>
    <w:tmpl w:val="0DA24B60"/>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2" w15:restartNumberingAfterBreak="0">
    <w:nsid w:val="0BA60A53"/>
    <w:multiLevelType w:val="multilevel"/>
    <w:tmpl w:val="963CF30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223A0"/>
    <w:multiLevelType w:val="multilevel"/>
    <w:tmpl w:val="800CC7F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106E79"/>
    <w:multiLevelType w:val="multilevel"/>
    <w:tmpl w:val="FAD431A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C0282B"/>
    <w:multiLevelType w:val="multilevel"/>
    <w:tmpl w:val="8D8CD306"/>
    <w:lvl w:ilvl="0">
      <w:start w:val="1"/>
      <w:numFmt w:val="decimal"/>
      <w:lvlText w:val="%1."/>
      <w:lvlJc w:val="left"/>
      <w:pPr>
        <w:ind w:left="720" w:hanging="360"/>
      </w:pPr>
    </w:lvl>
    <w:lvl w:ilvl="1">
      <w:start w:val="1"/>
      <w:numFmt w:val="decimal"/>
      <w:isLgl/>
      <w:lvlText w:val="%1.%2"/>
      <w:lvlJc w:val="left"/>
      <w:pPr>
        <w:ind w:left="720" w:hanging="360"/>
      </w:pPr>
      <w:rPr>
        <w:rFonts w:eastAsiaTheme="minorEastAsia"/>
        <w:color w:val="auto"/>
      </w:rPr>
    </w:lvl>
    <w:lvl w:ilvl="2">
      <w:start w:val="1"/>
      <w:numFmt w:val="decimal"/>
      <w:isLgl/>
      <w:lvlText w:val="%1.%2.%3"/>
      <w:lvlJc w:val="left"/>
      <w:pPr>
        <w:ind w:left="1080" w:hanging="720"/>
      </w:pPr>
      <w:rPr>
        <w:rFonts w:eastAsiaTheme="minorEastAsia"/>
        <w:color w:val="auto"/>
      </w:rPr>
    </w:lvl>
    <w:lvl w:ilvl="3">
      <w:start w:val="1"/>
      <w:numFmt w:val="decimal"/>
      <w:isLgl/>
      <w:lvlText w:val="%1.%2.%3.%4"/>
      <w:lvlJc w:val="left"/>
      <w:pPr>
        <w:ind w:left="1080" w:hanging="720"/>
      </w:pPr>
      <w:rPr>
        <w:rFonts w:eastAsiaTheme="minorEastAsia"/>
        <w:color w:val="auto"/>
      </w:rPr>
    </w:lvl>
    <w:lvl w:ilvl="4">
      <w:start w:val="1"/>
      <w:numFmt w:val="decimal"/>
      <w:isLgl/>
      <w:lvlText w:val="%1.%2.%3.%4.%5"/>
      <w:lvlJc w:val="left"/>
      <w:pPr>
        <w:ind w:left="1440" w:hanging="1080"/>
      </w:pPr>
      <w:rPr>
        <w:rFonts w:eastAsiaTheme="minorEastAsia"/>
        <w:color w:val="auto"/>
      </w:rPr>
    </w:lvl>
    <w:lvl w:ilvl="5">
      <w:start w:val="1"/>
      <w:numFmt w:val="decimal"/>
      <w:isLgl/>
      <w:lvlText w:val="%1.%2.%3.%4.%5.%6"/>
      <w:lvlJc w:val="left"/>
      <w:pPr>
        <w:ind w:left="1440" w:hanging="1080"/>
      </w:pPr>
      <w:rPr>
        <w:rFonts w:eastAsiaTheme="minorEastAsia"/>
        <w:color w:val="auto"/>
      </w:rPr>
    </w:lvl>
    <w:lvl w:ilvl="6">
      <w:start w:val="1"/>
      <w:numFmt w:val="decimal"/>
      <w:isLgl/>
      <w:lvlText w:val="%1.%2.%3.%4.%5.%6.%7"/>
      <w:lvlJc w:val="left"/>
      <w:pPr>
        <w:ind w:left="1800" w:hanging="1440"/>
      </w:pPr>
      <w:rPr>
        <w:rFonts w:eastAsiaTheme="minorEastAsia"/>
        <w:color w:val="auto"/>
      </w:rPr>
    </w:lvl>
    <w:lvl w:ilvl="7">
      <w:start w:val="1"/>
      <w:numFmt w:val="decimal"/>
      <w:isLgl/>
      <w:lvlText w:val="%1.%2.%3.%4.%5.%6.%7.%8"/>
      <w:lvlJc w:val="left"/>
      <w:pPr>
        <w:ind w:left="1800" w:hanging="1440"/>
      </w:pPr>
      <w:rPr>
        <w:rFonts w:eastAsiaTheme="minorEastAsia"/>
        <w:color w:val="auto"/>
      </w:rPr>
    </w:lvl>
    <w:lvl w:ilvl="8">
      <w:start w:val="1"/>
      <w:numFmt w:val="decimal"/>
      <w:isLgl/>
      <w:lvlText w:val="%1.%2.%3.%4.%5.%6.%7.%8.%9"/>
      <w:lvlJc w:val="left"/>
      <w:pPr>
        <w:ind w:left="2160" w:hanging="1800"/>
      </w:pPr>
      <w:rPr>
        <w:rFonts w:eastAsiaTheme="minorEastAsia"/>
        <w:color w:val="auto"/>
      </w:rPr>
    </w:lvl>
  </w:abstractNum>
  <w:abstractNum w:abstractNumId="6" w15:restartNumberingAfterBreak="0">
    <w:nsid w:val="160624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E92A48"/>
    <w:multiLevelType w:val="multilevel"/>
    <w:tmpl w:val="FEA460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32C3"/>
    <w:multiLevelType w:val="multilevel"/>
    <w:tmpl w:val="1FFA45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3760667"/>
    <w:multiLevelType w:val="multilevel"/>
    <w:tmpl w:val="EC52956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1556E9"/>
    <w:multiLevelType w:val="multilevel"/>
    <w:tmpl w:val="E67A9E2E"/>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35A81B5A"/>
    <w:multiLevelType w:val="hybridMultilevel"/>
    <w:tmpl w:val="ED2AF1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992200"/>
    <w:multiLevelType w:val="multilevel"/>
    <w:tmpl w:val="B6BA913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0C51EA"/>
    <w:multiLevelType w:val="multilevel"/>
    <w:tmpl w:val="A38E2A5A"/>
    <w:lvl w:ilvl="0">
      <w:start w:val="3"/>
      <w:numFmt w:val="decimal"/>
      <w:lvlText w:val="%1"/>
      <w:lvlJc w:val="left"/>
      <w:pPr>
        <w:ind w:left="480" w:hanging="480"/>
      </w:pPr>
      <w:rPr>
        <w:rFonts w:hint="default"/>
      </w:rPr>
    </w:lvl>
    <w:lvl w:ilvl="1">
      <w:start w:val="4"/>
      <w:numFmt w:val="decimal"/>
      <w:lvlText w:val="%1.%2"/>
      <w:lvlJc w:val="left"/>
      <w:pPr>
        <w:ind w:left="1018" w:hanging="48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14" w15:restartNumberingAfterBreak="0">
    <w:nsid w:val="526410FC"/>
    <w:multiLevelType w:val="multilevel"/>
    <w:tmpl w:val="BCA82B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020D4C"/>
    <w:multiLevelType w:val="multilevel"/>
    <w:tmpl w:val="948058C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8D24642"/>
    <w:multiLevelType w:val="multilevel"/>
    <w:tmpl w:val="79C8568C"/>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7" w15:restartNumberingAfterBreak="0">
    <w:nsid w:val="5DD50204"/>
    <w:multiLevelType w:val="multilevel"/>
    <w:tmpl w:val="581A60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FF74FB2"/>
    <w:multiLevelType w:val="multilevel"/>
    <w:tmpl w:val="4668822A"/>
    <w:lvl w:ilvl="0">
      <w:start w:val="1"/>
      <w:numFmt w:val="decimal"/>
      <w:lvlText w:val="%1."/>
      <w:lvlJc w:val="left"/>
      <w:pPr>
        <w:ind w:left="720" w:hanging="360"/>
      </w:pPr>
    </w:lvl>
    <w:lvl w:ilvl="1">
      <w:start w:val="1"/>
      <w:numFmt w:val="lowerLetter"/>
      <w:lvlText w:val="%2."/>
      <w:lvlJc w:val="left"/>
      <w:pPr>
        <w:ind w:left="720" w:hanging="360"/>
      </w:pPr>
      <w:rPr>
        <w:color w:val="auto"/>
      </w:rPr>
    </w:lvl>
    <w:lvl w:ilvl="2">
      <w:start w:val="1"/>
      <w:numFmt w:val="decimal"/>
      <w:isLgl/>
      <w:lvlText w:val="%1.%2.%3"/>
      <w:lvlJc w:val="left"/>
      <w:pPr>
        <w:ind w:left="1080" w:hanging="720"/>
      </w:pPr>
      <w:rPr>
        <w:rFonts w:eastAsiaTheme="minorEastAsia"/>
        <w:color w:val="auto"/>
      </w:rPr>
    </w:lvl>
    <w:lvl w:ilvl="3">
      <w:start w:val="1"/>
      <w:numFmt w:val="decimal"/>
      <w:isLgl/>
      <w:lvlText w:val="%1.%2.%3.%4"/>
      <w:lvlJc w:val="left"/>
      <w:pPr>
        <w:ind w:left="1080" w:hanging="720"/>
      </w:pPr>
      <w:rPr>
        <w:rFonts w:eastAsiaTheme="minorEastAsia"/>
        <w:color w:val="auto"/>
      </w:rPr>
    </w:lvl>
    <w:lvl w:ilvl="4">
      <w:start w:val="1"/>
      <w:numFmt w:val="decimal"/>
      <w:isLgl/>
      <w:lvlText w:val="%1.%2.%3.%4.%5"/>
      <w:lvlJc w:val="left"/>
      <w:pPr>
        <w:ind w:left="1440" w:hanging="1080"/>
      </w:pPr>
      <w:rPr>
        <w:rFonts w:eastAsiaTheme="minorEastAsia"/>
        <w:color w:val="auto"/>
      </w:rPr>
    </w:lvl>
    <w:lvl w:ilvl="5">
      <w:start w:val="1"/>
      <w:numFmt w:val="decimal"/>
      <w:isLgl/>
      <w:lvlText w:val="%1.%2.%3.%4.%5.%6"/>
      <w:lvlJc w:val="left"/>
      <w:pPr>
        <w:ind w:left="1440" w:hanging="1080"/>
      </w:pPr>
      <w:rPr>
        <w:rFonts w:eastAsiaTheme="minorEastAsia"/>
        <w:color w:val="auto"/>
      </w:rPr>
    </w:lvl>
    <w:lvl w:ilvl="6">
      <w:start w:val="1"/>
      <w:numFmt w:val="decimal"/>
      <w:isLgl/>
      <w:lvlText w:val="%1.%2.%3.%4.%5.%6.%7"/>
      <w:lvlJc w:val="left"/>
      <w:pPr>
        <w:ind w:left="1800" w:hanging="1440"/>
      </w:pPr>
      <w:rPr>
        <w:rFonts w:eastAsiaTheme="minorEastAsia"/>
        <w:color w:val="auto"/>
      </w:rPr>
    </w:lvl>
    <w:lvl w:ilvl="7">
      <w:start w:val="1"/>
      <w:numFmt w:val="decimal"/>
      <w:isLgl/>
      <w:lvlText w:val="%1.%2.%3.%4.%5.%6.%7.%8"/>
      <w:lvlJc w:val="left"/>
      <w:pPr>
        <w:ind w:left="1800" w:hanging="1440"/>
      </w:pPr>
      <w:rPr>
        <w:rFonts w:eastAsiaTheme="minorEastAsia"/>
        <w:color w:val="auto"/>
      </w:rPr>
    </w:lvl>
    <w:lvl w:ilvl="8">
      <w:start w:val="1"/>
      <w:numFmt w:val="decimal"/>
      <w:isLgl/>
      <w:lvlText w:val="%1.%2.%3.%4.%5.%6.%7.%8.%9"/>
      <w:lvlJc w:val="left"/>
      <w:pPr>
        <w:ind w:left="2160" w:hanging="1800"/>
      </w:pPr>
      <w:rPr>
        <w:rFonts w:eastAsiaTheme="minorEastAsia"/>
        <w:color w:val="auto"/>
      </w:rPr>
    </w:lvl>
  </w:abstractNum>
  <w:abstractNum w:abstractNumId="19" w15:restartNumberingAfterBreak="0">
    <w:nsid w:val="604177EB"/>
    <w:multiLevelType w:val="multilevel"/>
    <w:tmpl w:val="5D3672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2D013F1"/>
    <w:multiLevelType w:val="multilevel"/>
    <w:tmpl w:val="6E76026C"/>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21" w15:restartNumberingAfterBreak="0">
    <w:nsid w:val="6AAC2551"/>
    <w:multiLevelType w:val="multilevel"/>
    <w:tmpl w:val="C1AEE0BA"/>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22" w15:restartNumberingAfterBreak="0">
    <w:nsid w:val="6B061FDF"/>
    <w:multiLevelType w:val="multilevel"/>
    <w:tmpl w:val="8D00AF2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D51FE0"/>
    <w:multiLevelType w:val="hybridMultilevel"/>
    <w:tmpl w:val="E1ECD1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0A6E0F"/>
    <w:multiLevelType w:val="hybridMultilevel"/>
    <w:tmpl w:val="E1ECD1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04028B5"/>
    <w:multiLevelType w:val="multilevel"/>
    <w:tmpl w:val="00589C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A01830"/>
    <w:multiLevelType w:val="hybridMultilevel"/>
    <w:tmpl w:val="FD66D6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11"/>
  </w:num>
  <w:num w:numId="15">
    <w:abstractNumId w:val="9"/>
  </w:num>
  <w:num w:numId="16">
    <w:abstractNumId w:val="8"/>
  </w:num>
  <w:num w:numId="17">
    <w:abstractNumId w:val="15"/>
  </w:num>
  <w:num w:numId="18">
    <w:abstractNumId w:val="7"/>
  </w:num>
  <w:num w:numId="19">
    <w:abstractNumId w:val="0"/>
  </w:num>
  <w:num w:numId="20">
    <w:abstractNumId w:val="25"/>
  </w:num>
  <w:num w:numId="21">
    <w:abstractNumId w:val="2"/>
  </w:num>
  <w:num w:numId="22">
    <w:abstractNumId w:val="22"/>
  </w:num>
  <w:num w:numId="23">
    <w:abstractNumId w:val="12"/>
  </w:num>
  <w:num w:numId="24">
    <w:abstractNumId w:val="17"/>
  </w:num>
  <w:num w:numId="25">
    <w:abstractNumId w:val="4"/>
  </w:num>
  <w:num w:numId="26">
    <w:abstractNumId w:val="3"/>
  </w:num>
  <w:num w:numId="27">
    <w:abstractNumId w:val="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1A"/>
    <w:rsid w:val="00001D7C"/>
    <w:rsid w:val="00003957"/>
    <w:rsid w:val="00003BC2"/>
    <w:rsid w:val="00004564"/>
    <w:rsid w:val="00005572"/>
    <w:rsid w:val="00005984"/>
    <w:rsid w:val="000071E1"/>
    <w:rsid w:val="00007D57"/>
    <w:rsid w:val="0001031F"/>
    <w:rsid w:val="00010D7F"/>
    <w:rsid w:val="00012C83"/>
    <w:rsid w:val="000140BD"/>
    <w:rsid w:val="00016035"/>
    <w:rsid w:val="0001742C"/>
    <w:rsid w:val="00020144"/>
    <w:rsid w:val="00021C67"/>
    <w:rsid w:val="00022F60"/>
    <w:rsid w:val="00024031"/>
    <w:rsid w:val="00031D05"/>
    <w:rsid w:val="00033EA5"/>
    <w:rsid w:val="000341F9"/>
    <w:rsid w:val="00034A67"/>
    <w:rsid w:val="00035359"/>
    <w:rsid w:val="000357AC"/>
    <w:rsid w:val="0003688E"/>
    <w:rsid w:val="0004009D"/>
    <w:rsid w:val="00040D87"/>
    <w:rsid w:val="000416ED"/>
    <w:rsid w:val="000514E3"/>
    <w:rsid w:val="00052C9F"/>
    <w:rsid w:val="00053FD9"/>
    <w:rsid w:val="00054DF9"/>
    <w:rsid w:val="0005559B"/>
    <w:rsid w:val="00055935"/>
    <w:rsid w:val="000561AC"/>
    <w:rsid w:val="000648DB"/>
    <w:rsid w:val="00066212"/>
    <w:rsid w:val="00066A8D"/>
    <w:rsid w:val="00070FD2"/>
    <w:rsid w:val="00071185"/>
    <w:rsid w:val="00074B61"/>
    <w:rsid w:val="000809BA"/>
    <w:rsid w:val="0008183B"/>
    <w:rsid w:val="00081884"/>
    <w:rsid w:val="0008218D"/>
    <w:rsid w:val="00082A4C"/>
    <w:rsid w:val="0008356F"/>
    <w:rsid w:val="00087D9C"/>
    <w:rsid w:val="0009190C"/>
    <w:rsid w:val="00093316"/>
    <w:rsid w:val="0009534B"/>
    <w:rsid w:val="00095AFF"/>
    <w:rsid w:val="000A0FD9"/>
    <w:rsid w:val="000A4199"/>
    <w:rsid w:val="000A47FB"/>
    <w:rsid w:val="000A588E"/>
    <w:rsid w:val="000A60FD"/>
    <w:rsid w:val="000B0314"/>
    <w:rsid w:val="000B034E"/>
    <w:rsid w:val="000B3C21"/>
    <w:rsid w:val="000B44F1"/>
    <w:rsid w:val="000B45D4"/>
    <w:rsid w:val="000B5ECD"/>
    <w:rsid w:val="000B60FF"/>
    <w:rsid w:val="000B611A"/>
    <w:rsid w:val="000C0876"/>
    <w:rsid w:val="000C5EDE"/>
    <w:rsid w:val="000C625C"/>
    <w:rsid w:val="000C696D"/>
    <w:rsid w:val="000C7ACC"/>
    <w:rsid w:val="000D2474"/>
    <w:rsid w:val="000D271D"/>
    <w:rsid w:val="000D29F4"/>
    <w:rsid w:val="000D47FF"/>
    <w:rsid w:val="000D53FB"/>
    <w:rsid w:val="000D6ACD"/>
    <w:rsid w:val="000E079E"/>
    <w:rsid w:val="000E24EB"/>
    <w:rsid w:val="000E2C71"/>
    <w:rsid w:val="000F4A4E"/>
    <w:rsid w:val="000F533E"/>
    <w:rsid w:val="00102B87"/>
    <w:rsid w:val="001035B1"/>
    <w:rsid w:val="0010392C"/>
    <w:rsid w:val="00104B30"/>
    <w:rsid w:val="00105285"/>
    <w:rsid w:val="00105353"/>
    <w:rsid w:val="001101EE"/>
    <w:rsid w:val="00110597"/>
    <w:rsid w:val="00110F2E"/>
    <w:rsid w:val="001113DE"/>
    <w:rsid w:val="00111E94"/>
    <w:rsid w:val="00113822"/>
    <w:rsid w:val="00115525"/>
    <w:rsid w:val="00116320"/>
    <w:rsid w:val="001165C4"/>
    <w:rsid w:val="001167CB"/>
    <w:rsid w:val="0012167E"/>
    <w:rsid w:val="00121731"/>
    <w:rsid w:val="001226AC"/>
    <w:rsid w:val="001228C3"/>
    <w:rsid w:val="00122AD7"/>
    <w:rsid w:val="00124678"/>
    <w:rsid w:val="00137B3E"/>
    <w:rsid w:val="00142917"/>
    <w:rsid w:val="001502C1"/>
    <w:rsid w:val="00151A53"/>
    <w:rsid w:val="00151FEA"/>
    <w:rsid w:val="001520D7"/>
    <w:rsid w:val="00153EEB"/>
    <w:rsid w:val="001540E1"/>
    <w:rsid w:val="00154173"/>
    <w:rsid w:val="001545C0"/>
    <w:rsid w:val="00154DDA"/>
    <w:rsid w:val="00157665"/>
    <w:rsid w:val="00161337"/>
    <w:rsid w:val="00162B09"/>
    <w:rsid w:val="00164810"/>
    <w:rsid w:val="00165A80"/>
    <w:rsid w:val="00166407"/>
    <w:rsid w:val="00176B30"/>
    <w:rsid w:val="00176BFE"/>
    <w:rsid w:val="001772C9"/>
    <w:rsid w:val="0018159E"/>
    <w:rsid w:val="0018291C"/>
    <w:rsid w:val="00182B1F"/>
    <w:rsid w:val="00182D42"/>
    <w:rsid w:val="001838B6"/>
    <w:rsid w:val="00185745"/>
    <w:rsid w:val="00187AA0"/>
    <w:rsid w:val="001907EF"/>
    <w:rsid w:val="00191D0A"/>
    <w:rsid w:val="001920AA"/>
    <w:rsid w:val="00192364"/>
    <w:rsid w:val="00192AE9"/>
    <w:rsid w:val="00193CF4"/>
    <w:rsid w:val="0019463C"/>
    <w:rsid w:val="00194D43"/>
    <w:rsid w:val="00195E4C"/>
    <w:rsid w:val="001A0145"/>
    <w:rsid w:val="001A0AAE"/>
    <w:rsid w:val="001A0B2D"/>
    <w:rsid w:val="001A1DF6"/>
    <w:rsid w:val="001A2298"/>
    <w:rsid w:val="001A2CB2"/>
    <w:rsid w:val="001A2DF4"/>
    <w:rsid w:val="001A468B"/>
    <w:rsid w:val="001A51E2"/>
    <w:rsid w:val="001A5D1D"/>
    <w:rsid w:val="001A63A2"/>
    <w:rsid w:val="001A7A61"/>
    <w:rsid w:val="001A7DD9"/>
    <w:rsid w:val="001B1691"/>
    <w:rsid w:val="001B2990"/>
    <w:rsid w:val="001B411D"/>
    <w:rsid w:val="001B41DC"/>
    <w:rsid w:val="001C0A3C"/>
    <w:rsid w:val="001C1CCB"/>
    <w:rsid w:val="001C3A18"/>
    <w:rsid w:val="001C4FF2"/>
    <w:rsid w:val="001C52B8"/>
    <w:rsid w:val="001C7D3B"/>
    <w:rsid w:val="001D3017"/>
    <w:rsid w:val="001D33BE"/>
    <w:rsid w:val="001D3D46"/>
    <w:rsid w:val="001D4868"/>
    <w:rsid w:val="001D557F"/>
    <w:rsid w:val="001D63D1"/>
    <w:rsid w:val="001D6A31"/>
    <w:rsid w:val="001E0561"/>
    <w:rsid w:val="001E1148"/>
    <w:rsid w:val="001E1A52"/>
    <w:rsid w:val="001E3DD3"/>
    <w:rsid w:val="001E493C"/>
    <w:rsid w:val="001E6D87"/>
    <w:rsid w:val="001F0515"/>
    <w:rsid w:val="001F3B7A"/>
    <w:rsid w:val="001F4559"/>
    <w:rsid w:val="001F55CD"/>
    <w:rsid w:val="001F77EA"/>
    <w:rsid w:val="002001B3"/>
    <w:rsid w:val="002013C0"/>
    <w:rsid w:val="00202104"/>
    <w:rsid w:val="00202B03"/>
    <w:rsid w:val="00204972"/>
    <w:rsid w:val="00204FB4"/>
    <w:rsid w:val="00205651"/>
    <w:rsid w:val="002069FE"/>
    <w:rsid w:val="00212952"/>
    <w:rsid w:val="00215680"/>
    <w:rsid w:val="00216820"/>
    <w:rsid w:val="00220679"/>
    <w:rsid w:val="002228CB"/>
    <w:rsid w:val="0022391A"/>
    <w:rsid w:val="002242D9"/>
    <w:rsid w:val="002246C6"/>
    <w:rsid w:val="002249E5"/>
    <w:rsid w:val="00224BC4"/>
    <w:rsid w:val="00224DC8"/>
    <w:rsid w:val="002252EC"/>
    <w:rsid w:val="00226278"/>
    <w:rsid w:val="00226A5C"/>
    <w:rsid w:val="00236415"/>
    <w:rsid w:val="002364C3"/>
    <w:rsid w:val="002433DA"/>
    <w:rsid w:val="00244731"/>
    <w:rsid w:val="00245027"/>
    <w:rsid w:val="00253443"/>
    <w:rsid w:val="00255803"/>
    <w:rsid w:val="00255C5C"/>
    <w:rsid w:val="0025660A"/>
    <w:rsid w:val="00257571"/>
    <w:rsid w:val="002579D6"/>
    <w:rsid w:val="00257E13"/>
    <w:rsid w:val="00263F7A"/>
    <w:rsid w:val="002645FC"/>
    <w:rsid w:val="0026473F"/>
    <w:rsid w:val="002648CE"/>
    <w:rsid w:val="00266257"/>
    <w:rsid w:val="002664C8"/>
    <w:rsid w:val="00266A59"/>
    <w:rsid w:val="00273B42"/>
    <w:rsid w:val="002772A5"/>
    <w:rsid w:val="00277822"/>
    <w:rsid w:val="00280ED7"/>
    <w:rsid w:val="00281E0D"/>
    <w:rsid w:val="00283C5A"/>
    <w:rsid w:val="00284792"/>
    <w:rsid w:val="00284D91"/>
    <w:rsid w:val="00286C01"/>
    <w:rsid w:val="00292B5B"/>
    <w:rsid w:val="002944AA"/>
    <w:rsid w:val="002A024A"/>
    <w:rsid w:val="002A0B42"/>
    <w:rsid w:val="002A0EBB"/>
    <w:rsid w:val="002A22E2"/>
    <w:rsid w:val="002A2562"/>
    <w:rsid w:val="002A3C79"/>
    <w:rsid w:val="002A3F8D"/>
    <w:rsid w:val="002A77FD"/>
    <w:rsid w:val="002B1686"/>
    <w:rsid w:val="002B7DCB"/>
    <w:rsid w:val="002C1B78"/>
    <w:rsid w:val="002C3571"/>
    <w:rsid w:val="002C420E"/>
    <w:rsid w:val="002C79F8"/>
    <w:rsid w:val="002D0394"/>
    <w:rsid w:val="002D3466"/>
    <w:rsid w:val="002D34EE"/>
    <w:rsid w:val="002D36F7"/>
    <w:rsid w:val="002D5DEA"/>
    <w:rsid w:val="002D690E"/>
    <w:rsid w:val="002E0A45"/>
    <w:rsid w:val="002E3DC0"/>
    <w:rsid w:val="002E416E"/>
    <w:rsid w:val="002E5D52"/>
    <w:rsid w:val="002E6460"/>
    <w:rsid w:val="002E742D"/>
    <w:rsid w:val="002F0D93"/>
    <w:rsid w:val="002F1A8B"/>
    <w:rsid w:val="002F3228"/>
    <w:rsid w:val="002F379E"/>
    <w:rsid w:val="002F429C"/>
    <w:rsid w:val="002F4F18"/>
    <w:rsid w:val="002F7483"/>
    <w:rsid w:val="00302C1C"/>
    <w:rsid w:val="00302D02"/>
    <w:rsid w:val="00303546"/>
    <w:rsid w:val="00304809"/>
    <w:rsid w:val="00305E16"/>
    <w:rsid w:val="00306393"/>
    <w:rsid w:val="0030681D"/>
    <w:rsid w:val="0030738A"/>
    <w:rsid w:val="00307AD0"/>
    <w:rsid w:val="003170DF"/>
    <w:rsid w:val="00317535"/>
    <w:rsid w:val="003211CC"/>
    <w:rsid w:val="00326E25"/>
    <w:rsid w:val="003308AF"/>
    <w:rsid w:val="00331C58"/>
    <w:rsid w:val="00333B93"/>
    <w:rsid w:val="003348DD"/>
    <w:rsid w:val="00335620"/>
    <w:rsid w:val="003370C2"/>
    <w:rsid w:val="0033710E"/>
    <w:rsid w:val="00340441"/>
    <w:rsid w:val="003413EF"/>
    <w:rsid w:val="00342BD9"/>
    <w:rsid w:val="0034377C"/>
    <w:rsid w:val="003439CC"/>
    <w:rsid w:val="00344A34"/>
    <w:rsid w:val="003455F1"/>
    <w:rsid w:val="003456A8"/>
    <w:rsid w:val="003468BE"/>
    <w:rsid w:val="00346F3B"/>
    <w:rsid w:val="00350078"/>
    <w:rsid w:val="0035186E"/>
    <w:rsid w:val="0035198A"/>
    <w:rsid w:val="00351EDE"/>
    <w:rsid w:val="00353096"/>
    <w:rsid w:val="00356BBC"/>
    <w:rsid w:val="00357247"/>
    <w:rsid w:val="0036222B"/>
    <w:rsid w:val="0036329E"/>
    <w:rsid w:val="00363B15"/>
    <w:rsid w:val="00363D2D"/>
    <w:rsid w:val="003640B4"/>
    <w:rsid w:val="00365DD6"/>
    <w:rsid w:val="00365FBC"/>
    <w:rsid w:val="003716E9"/>
    <w:rsid w:val="00371C05"/>
    <w:rsid w:val="00372AE7"/>
    <w:rsid w:val="00372AF0"/>
    <w:rsid w:val="00374129"/>
    <w:rsid w:val="00374887"/>
    <w:rsid w:val="00374FC9"/>
    <w:rsid w:val="00377180"/>
    <w:rsid w:val="00377BD5"/>
    <w:rsid w:val="0038006B"/>
    <w:rsid w:val="00380625"/>
    <w:rsid w:val="00380A89"/>
    <w:rsid w:val="003857F0"/>
    <w:rsid w:val="00385BAE"/>
    <w:rsid w:val="003862CB"/>
    <w:rsid w:val="003903B0"/>
    <w:rsid w:val="0039043E"/>
    <w:rsid w:val="00390D03"/>
    <w:rsid w:val="0039108A"/>
    <w:rsid w:val="003911DB"/>
    <w:rsid w:val="00391D89"/>
    <w:rsid w:val="0039496D"/>
    <w:rsid w:val="003952A5"/>
    <w:rsid w:val="003A037D"/>
    <w:rsid w:val="003A164A"/>
    <w:rsid w:val="003A3BDD"/>
    <w:rsid w:val="003A3C2E"/>
    <w:rsid w:val="003A3E0A"/>
    <w:rsid w:val="003A65E4"/>
    <w:rsid w:val="003A68BD"/>
    <w:rsid w:val="003B172F"/>
    <w:rsid w:val="003B191D"/>
    <w:rsid w:val="003B5D65"/>
    <w:rsid w:val="003B5E46"/>
    <w:rsid w:val="003C2F57"/>
    <w:rsid w:val="003C6F2E"/>
    <w:rsid w:val="003C7AE5"/>
    <w:rsid w:val="003C7F46"/>
    <w:rsid w:val="003D12E6"/>
    <w:rsid w:val="003D23E1"/>
    <w:rsid w:val="003D3147"/>
    <w:rsid w:val="003D35BC"/>
    <w:rsid w:val="003D547D"/>
    <w:rsid w:val="003D60EA"/>
    <w:rsid w:val="003D67D6"/>
    <w:rsid w:val="003E71F3"/>
    <w:rsid w:val="003E7735"/>
    <w:rsid w:val="003E7B1C"/>
    <w:rsid w:val="003E7F98"/>
    <w:rsid w:val="003F0ED0"/>
    <w:rsid w:val="003F3804"/>
    <w:rsid w:val="003F73F7"/>
    <w:rsid w:val="00400841"/>
    <w:rsid w:val="00403CAF"/>
    <w:rsid w:val="004053ED"/>
    <w:rsid w:val="0040554A"/>
    <w:rsid w:val="004062E5"/>
    <w:rsid w:val="0040729F"/>
    <w:rsid w:val="00407CB2"/>
    <w:rsid w:val="00410356"/>
    <w:rsid w:val="00412DEC"/>
    <w:rsid w:val="004133DB"/>
    <w:rsid w:val="00414345"/>
    <w:rsid w:val="00414FB3"/>
    <w:rsid w:val="00423764"/>
    <w:rsid w:val="00424D6E"/>
    <w:rsid w:val="00424F6E"/>
    <w:rsid w:val="00425754"/>
    <w:rsid w:val="00430F6E"/>
    <w:rsid w:val="004338CD"/>
    <w:rsid w:val="00434CE2"/>
    <w:rsid w:val="004360C8"/>
    <w:rsid w:val="00437417"/>
    <w:rsid w:val="00437B6A"/>
    <w:rsid w:val="00440072"/>
    <w:rsid w:val="004400AC"/>
    <w:rsid w:val="00440BB6"/>
    <w:rsid w:val="00441EFB"/>
    <w:rsid w:val="00443593"/>
    <w:rsid w:val="004435EF"/>
    <w:rsid w:val="0044665D"/>
    <w:rsid w:val="00446A45"/>
    <w:rsid w:val="00447667"/>
    <w:rsid w:val="004550EB"/>
    <w:rsid w:val="0045641C"/>
    <w:rsid w:val="0045653F"/>
    <w:rsid w:val="004573D2"/>
    <w:rsid w:val="004575BE"/>
    <w:rsid w:val="004617F9"/>
    <w:rsid w:val="0046406E"/>
    <w:rsid w:val="004641C0"/>
    <w:rsid w:val="0046609F"/>
    <w:rsid w:val="00466295"/>
    <w:rsid w:val="00470105"/>
    <w:rsid w:val="004751DB"/>
    <w:rsid w:val="0047659B"/>
    <w:rsid w:val="004776FB"/>
    <w:rsid w:val="00477A7B"/>
    <w:rsid w:val="00477BB3"/>
    <w:rsid w:val="00477EF0"/>
    <w:rsid w:val="00480FB2"/>
    <w:rsid w:val="00484A04"/>
    <w:rsid w:val="00485A6B"/>
    <w:rsid w:val="004869B4"/>
    <w:rsid w:val="00491892"/>
    <w:rsid w:val="00494B34"/>
    <w:rsid w:val="00494B50"/>
    <w:rsid w:val="00495CD5"/>
    <w:rsid w:val="0049757E"/>
    <w:rsid w:val="004A6847"/>
    <w:rsid w:val="004A6909"/>
    <w:rsid w:val="004A6FE1"/>
    <w:rsid w:val="004B1508"/>
    <w:rsid w:val="004B2E8E"/>
    <w:rsid w:val="004B6EBF"/>
    <w:rsid w:val="004B7009"/>
    <w:rsid w:val="004C0804"/>
    <w:rsid w:val="004C27A3"/>
    <w:rsid w:val="004C2DF6"/>
    <w:rsid w:val="004C4F3D"/>
    <w:rsid w:val="004C519B"/>
    <w:rsid w:val="004C6B16"/>
    <w:rsid w:val="004D2235"/>
    <w:rsid w:val="004D4D30"/>
    <w:rsid w:val="004D4E13"/>
    <w:rsid w:val="004D6806"/>
    <w:rsid w:val="004D7700"/>
    <w:rsid w:val="004D7940"/>
    <w:rsid w:val="004E10E1"/>
    <w:rsid w:val="004E279D"/>
    <w:rsid w:val="004E638F"/>
    <w:rsid w:val="004F020D"/>
    <w:rsid w:val="004F1C22"/>
    <w:rsid w:val="004F1F65"/>
    <w:rsid w:val="004F2EA1"/>
    <w:rsid w:val="004F4BBE"/>
    <w:rsid w:val="004F5A1A"/>
    <w:rsid w:val="00500405"/>
    <w:rsid w:val="005024FA"/>
    <w:rsid w:val="005046C0"/>
    <w:rsid w:val="00506487"/>
    <w:rsid w:val="005106D1"/>
    <w:rsid w:val="00511560"/>
    <w:rsid w:val="0051454C"/>
    <w:rsid w:val="005148EF"/>
    <w:rsid w:val="00514F69"/>
    <w:rsid w:val="005160F9"/>
    <w:rsid w:val="005165DA"/>
    <w:rsid w:val="00517129"/>
    <w:rsid w:val="00520866"/>
    <w:rsid w:val="00522DC3"/>
    <w:rsid w:val="00524486"/>
    <w:rsid w:val="00525C30"/>
    <w:rsid w:val="00525C67"/>
    <w:rsid w:val="0052713F"/>
    <w:rsid w:val="00527763"/>
    <w:rsid w:val="00531826"/>
    <w:rsid w:val="005321DB"/>
    <w:rsid w:val="00533A58"/>
    <w:rsid w:val="0053551D"/>
    <w:rsid w:val="00536D0C"/>
    <w:rsid w:val="00537724"/>
    <w:rsid w:val="00541AC7"/>
    <w:rsid w:val="005430BB"/>
    <w:rsid w:val="005442C6"/>
    <w:rsid w:val="005445FE"/>
    <w:rsid w:val="00545D10"/>
    <w:rsid w:val="00546B0C"/>
    <w:rsid w:val="00546C12"/>
    <w:rsid w:val="00546DF9"/>
    <w:rsid w:val="00547225"/>
    <w:rsid w:val="005474B1"/>
    <w:rsid w:val="00547597"/>
    <w:rsid w:val="005500DA"/>
    <w:rsid w:val="00550ECA"/>
    <w:rsid w:val="0055241B"/>
    <w:rsid w:val="00552521"/>
    <w:rsid w:val="00553B0F"/>
    <w:rsid w:val="005550FF"/>
    <w:rsid w:val="005555E1"/>
    <w:rsid w:val="00555BCB"/>
    <w:rsid w:val="00555BFE"/>
    <w:rsid w:val="005576A6"/>
    <w:rsid w:val="00562705"/>
    <w:rsid w:val="00563CFF"/>
    <w:rsid w:val="005658AB"/>
    <w:rsid w:val="0056635B"/>
    <w:rsid w:val="00566511"/>
    <w:rsid w:val="005726AC"/>
    <w:rsid w:val="00572884"/>
    <w:rsid w:val="00573C25"/>
    <w:rsid w:val="00574EF2"/>
    <w:rsid w:val="0057675D"/>
    <w:rsid w:val="00581849"/>
    <w:rsid w:val="00581EDB"/>
    <w:rsid w:val="00582D73"/>
    <w:rsid w:val="00583AB3"/>
    <w:rsid w:val="00590E05"/>
    <w:rsid w:val="005919B5"/>
    <w:rsid w:val="00591D8C"/>
    <w:rsid w:val="00593913"/>
    <w:rsid w:val="0059543C"/>
    <w:rsid w:val="00595CF7"/>
    <w:rsid w:val="0059645C"/>
    <w:rsid w:val="005964EF"/>
    <w:rsid w:val="00596932"/>
    <w:rsid w:val="005975B8"/>
    <w:rsid w:val="005A22B6"/>
    <w:rsid w:val="005A3430"/>
    <w:rsid w:val="005A3597"/>
    <w:rsid w:val="005A3B7D"/>
    <w:rsid w:val="005A3EB6"/>
    <w:rsid w:val="005A41F8"/>
    <w:rsid w:val="005A4E09"/>
    <w:rsid w:val="005A4F16"/>
    <w:rsid w:val="005A5584"/>
    <w:rsid w:val="005A58E9"/>
    <w:rsid w:val="005A5B8F"/>
    <w:rsid w:val="005A738E"/>
    <w:rsid w:val="005A7ABB"/>
    <w:rsid w:val="005B265C"/>
    <w:rsid w:val="005B2992"/>
    <w:rsid w:val="005B2DDD"/>
    <w:rsid w:val="005B2DF8"/>
    <w:rsid w:val="005B361A"/>
    <w:rsid w:val="005C0C9D"/>
    <w:rsid w:val="005C11B9"/>
    <w:rsid w:val="005C1A60"/>
    <w:rsid w:val="005C2A34"/>
    <w:rsid w:val="005C2C44"/>
    <w:rsid w:val="005C5DC5"/>
    <w:rsid w:val="005C6222"/>
    <w:rsid w:val="005D15F9"/>
    <w:rsid w:val="005D37F8"/>
    <w:rsid w:val="005D5FB5"/>
    <w:rsid w:val="005E05D9"/>
    <w:rsid w:val="005E2077"/>
    <w:rsid w:val="005E32B6"/>
    <w:rsid w:val="005E3832"/>
    <w:rsid w:val="005E3B49"/>
    <w:rsid w:val="005F0EE7"/>
    <w:rsid w:val="005F2AE0"/>
    <w:rsid w:val="005F640C"/>
    <w:rsid w:val="0060029C"/>
    <w:rsid w:val="00601D09"/>
    <w:rsid w:val="00607342"/>
    <w:rsid w:val="00611D6F"/>
    <w:rsid w:val="00613F6D"/>
    <w:rsid w:val="0061521A"/>
    <w:rsid w:val="0061621B"/>
    <w:rsid w:val="0061621E"/>
    <w:rsid w:val="0062023E"/>
    <w:rsid w:val="006203F6"/>
    <w:rsid w:val="00621771"/>
    <w:rsid w:val="006220E0"/>
    <w:rsid w:val="00625128"/>
    <w:rsid w:val="0062654A"/>
    <w:rsid w:val="00626606"/>
    <w:rsid w:val="00626FAE"/>
    <w:rsid w:val="0062722F"/>
    <w:rsid w:val="00630BBF"/>
    <w:rsid w:val="00631E71"/>
    <w:rsid w:val="006344A3"/>
    <w:rsid w:val="00635555"/>
    <w:rsid w:val="006359E3"/>
    <w:rsid w:val="00635E82"/>
    <w:rsid w:val="006404FB"/>
    <w:rsid w:val="00641038"/>
    <w:rsid w:val="006410AB"/>
    <w:rsid w:val="00642287"/>
    <w:rsid w:val="00642CDC"/>
    <w:rsid w:val="00642D01"/>
    <w:rsid w:val="0064457E"/>
    <w:rsid w:val="00645129"/>
    <w:rsid w:val="00645A97"/>
    <w:rsid w:val="006460B5"/>
    <w:rsid w:val="00646F4F"/>
    <w:rsid w:val="0065000F"/>
    <w:rsid w:val="00650BF9"/>
    <w:rsid w:val="00652273"/>
    <w:rsid w:val="006542E6"/>
    <w:rsid w:val="00654622"/>
    <w:rsid w:val="0065488A"/>
    <w:rsid w:val="00655077"/>
    <w:rsid w:val="006562DB"/>
    <w:rsid w:val="00657DF2"/>
    <w:rsid w:val="00666BD3"/>
    <w:rsid w:val="0066708A"/>
    <w:rsid w:val="0066709D"/>
    <w:rsid w:val="00670B85"/>
    <w:rsid w:val="00670D57"/>
    <w:rsid w:val="00671072"/>
    <w:rsid w:val="006716C7"/>
    <w:rsid w:val="00674F29"/>
    <w:rsid w:val="006758C2"/>
    <w:rsid w:val="006769BE"/>
    <w:rsid w:val="006777CC"/>
    <w:rsid w:val="00681358"/>
    <w:rsid w:val="006828BA"/>
    <w:rsid w:val="00684181"/>
    <w:rsid w:val="006853F2"/>
    <w:rsid w:val="00685428"/>
    <w:rsid w:val="0068592C"/>
    <w:rsid w:val="006869F4"/>
    <w:rsid w:val="00690C04"/>
    <w:rsid w:val="0069166E"/>
    <w:rsid w:val="00691BF4"/>
    <w:rsid w:val="0069386C"/>
    <w:rsid w:val="006959EA"/>
    <w:rsid w:val="0069704B"/>
    <w:rsid w:val="006A05D8"/>
    <w:rsid w:val="006A0782"/>
    <w:rsid w:val="006A0973"/>
    <w:rsid w:val="006A0C85"/>
    <w:rsid w:val="006A3D95"/>
    <w:rsid w:val="006A4674"/>
    <w:rsid w:val="006A4AA3"/>
    <w:rsid w:val="006A5198"/>
    <w:rsid w:val="006A645F"/>
    <w:rsid w:val="006A6CBF"/>
    <w:rsid w:val="006A6FA5"/>
    <w:rsid w:val="006B040A"/>
    <w:rsid w:val="006B06F5"/>
    <w:rsid w:val="006B1980"/>
    <w:rsid w:val="006B2292"/>
    <w:rsid w:val="006B3008"/>
    <w:rsid w:val="006B346B"/>
    <w:rsid w:val="006B3F31"/>
    <w:rsid w:val="006B6081"/>
    <w:rsid w:val="006B6866"/>
    <w:rsid w:val="006C2142"/>
    <w:rsid w:val="006C25AE"/>
    <w:rsid w:val="006C4C34"/>
    <w:rsid w:val="006C586D"/>
    <w:rsid w:val="006C69C0"/>
    <w:rsid w:val="006C72AB"/>
    <w:rsid w:val="006C7A14"/>
    <w:rsid w:val="006D22DF"/>
    <w:rsid w:val="006D5F42"/>
    <w:rsid w:val="006D6741"/>
    <w:rsid w:val="006E1813"/>
    <w:rsid w:val="006F1BFE"/>
    <w:rsid w:val="006F6BD4"/>
    <w:rsid w:val="00700A88"/>
    <w:rsid w:val="00700BB0"/>
    <w:rsid w:val="00701585"/>
    <w:rsid w:val="00703536"/>
    <w:rsid w:val="007036CB"/>
    <w:rsid w:val="00704999"/>
    <w:rsid w:val="007058F5"/>
    <w:rsid w:val="0070694B"/>
    <w:rsid w:val="007102F3"/>
    <w:rsid w:val="0071160B"/>
    <w:rsid w:val="00711C4D"/>
    <w:rsid w:val="007123BF"/>
    <w:rsid w:val="00712BC1"/>
    <w:rsid w:val="00713631"/>
    <w:rsid w:val="00714391"/>
    <w:rsid w:val="00714E9D"/>
    <w:rsid w:val="007158C9"/>
    <w:rsid w:val="00721B0E"/>
    <w:rsid w:val="00722D3F"/>
    <w:rsid w:val="007233C1"/>
    <w:rsid w:val="00723625"/>
    <w:rsid w:val="007236D5"/>
    <w:rsid w:val="00723936"/>
    <w:rsid w:val="00723DA9"/>
    <w:rsid w:val="00725833"/>
    <w:rsid w:val="0072640F"/>
    <w:rsid w:val="00726764"/>
    <w:rsid w:val="00727750"/>
    <w:rsid w:val="007305B0"/>
    <w:rsid w:val="00734936"/>
    <w:rsid w:val="00736F29"/>
    <w:rsid w:val="00741417"/>
    <w:rsid w:val="007419F1"/>
    <w:rsid w:val="007422B2"/>
    <w:rsid w:val="007429FD"/>
    <w:rsid w:val="00742DA9"/>
    <w:rsid w:val="00742FBD"/>
    <w:rsid w:val="0074407B"/>
    <w:rsid w:val="007440C1"/>
    <w:rsid w:val="00745D76"/>
    <w:rsid w:val="00746013"/>
    <w:rsid w:val="007505BE"/>
    <w:rsid w:val="00750AB9"/>
    <w:rsid w:val="00752F72"/>
    <w:rsid w:val="00755412"/>
    <w:rsid w:val="00756AEA"/>
    <w:rsid w:val="00756AFB"/>
    <w:rsid w:val="007631F1"/>
    <w:rsid w:val="007637ED"/>
    <w:rsid w:val="00766546"/>
    <w:rsid w:val="007700C3"/>
    <w:rsid w:val="00770CFF"/>
    <w:rsid w:val="00771F99"/>
    <w:rsid w:val="00775E8D"/>
    <w:rsid w:val="00777221"/>
    <w:rsid w:val="00777383"/>
    <w:rsid w:val="00777909"/>
    <w:rsid w:val="0078114E"/>
    <w:rsid w:val="007850B9"/>
    <w:rsid w:val="00785C17"/>
    <w:rsid w:val="00786B3F"/>
    <w:rsid w:val="00786C0C"/>
    <w:rsid w:val="00787ECF"/>
    <w:rsid w:val="00787F1F"/>
    <w:rsid w:val="00790081"/>
    <w:rsid w:val="0079160E"/>
    <w:rsid w:val="007A1DFF"/>
    <w:rsid w:val="007A2A98"/>
    <w:rsid w:val="007A5291"/>
    <w:rsid w:val="007A70BF"/>
    <w:rsid w:val="007B0E91"/>
    <w:rsid w:val="007B21F5"/>
    <w:rsid w:val="007B6B38"/>
    <w:rsid w:val="007C0D12"/>
    <w:rsid w:val="007C0FAB"/>
    <w:rsid w:val="007C10AA"/>
    <w:rsid w:val="007C317C"/>
    <w:rsid w:val="007C37F9"/>
    <w:rsid w:val="007C6091"/>
    <w:rsid w:val="007D0875"/>
    <w:rsid w:val="007D2D99"/>
    <w:rsid w:val="007D50DC"/>
    <w:rsid w:val="007D5254"/>
    <w:rsid w:val="007D6872"/>
    <w:rsid w:val="007E0EEB"/>
    <w:rsid w:val="007E232E"/>
    <w:rsid w:val="007E49C2"/>
    <w:rsid w:val="007E51AE"/>
    <w:rsid w:val="007E7EB2"/>
    <w:rsid w:val="007F2D80"/>
    <w:rsid w:val="007F3151"/>
    <w:rsid w:val="007F5B34"/>
    <w:rsid w:val="007F680E"/>
    <w:rsid w:val="007F7224"/>
    <w:rsid w:val="008007B7"/>
    <w:rsid w:val="00802A4C"/>
    <w:rsid w:val="00802C1B"/>
    <w:rsid w:val="008056F9"/>
    <w:rsid w:val="0080599A"/>
    <w:rsid w:val="00812561"/>
    <w:rsid w:val="00812E22"/>
    <w:rsid w:val="00814624"/>
    <w:rsid w:val="00817FC6"/>
    <w:rsid w:val="00823393"/>
    <w:rsid w:val="00824801"/>
    <w:rsid w:val="008254CD"/>
    <w:rsid w:val="00826D13"/>
    <w:rsid w:val="00827459"/>
    <w:rsid w:val="00830E33"/>
    <w:rsid w:val="00831C95"/>
    <w:rsid w:val="0083372E"/>
    <w:rsid w:val="0083574D"/>
    <w:rsid w:val="00840AA0"/>
    <w:rsid w:val="00840FD3"/>
    <w:rsid w:val="00851246"/>
    <w:rsid w:val="00851BDB"/>
    <w:rsid w:val="00852552"/>
    <w:rsid w:val="0085376B"/>
    <w:rsid w:val="00853A5F"/>
    <w:rsid w:val="00853C54"/>
    <w:rsid w:val="00856AB3"/>
    <w:rsid w:val="00861648"/>
    <w:rsid w:val="0086440D"/>
    <w:rsid w:val="008664D6"/>
    <w:rsid w:val="00867BBD"/>
    <w:rsid w:val="00872C10"/>
    <w:rsid w:val="008733AD"/>
    <w:rsid w:val="00874594"/>
    <w:rsid w:val="008812F6"/>
    <w:rsid w:val="00882425"/>
    <w:rsid w:val="00887CC2"/>
    <w:rsid w:val="00887DE7"/>
    <w:rsid w:val="00891200"/>
    <w:rsid w:val="0089124E"/>
    <w:rsid w:val="008925E3"/>
    <w:rsid w:val="00892D41"/>
    <w:rsid w:val="008931E1"/>
    <w:rsid w:val="008979FB"/>
    <w:rsid w:val="008A1734"/>
    <w:rsid w:val="008A2383"/>
    <w:rsid w:val="008A3EBA"/>
    <w:rsid w:val="008A4444"/>
    <w:rsid w:val="008A52AE"/>
    <w:rsid w:val="008A67EE"/>
    <w:rsid w:val="008A6ACC"/>
    <w:rsid w:val="008A6C69"/>
    <w:rsid w:val="008A7740"/>
    <w:rsid w:val="008A7A49"/>
    <w:rsid w:val="008B18B0"/>
    <w:rsid w:val="008B2595"/>
    <w:rsid w:val="008B33D8"/>
    <w:rsid w:val="008B35E2"/>
    <w:rsid w:val="008B4691"/>
    <w:rsid w:val="008C04E8"/>
    <w:rsid w:val="008C2C52"/>
    <w:rsid w:val="008C68DF"/>
    <w:rsid w:val="008C7928"/>
    <w:rsid w:val="008D0062"/>
    <w:rsid w:val="008D1F39"/>
    <w:rsid w:val="008D6F1C"/>
    <w:rsid w:val="008E073D"/>
    <w:rsid w:val="008E0C01"/>
    <w:rsid w:val="008E2227"/>
    <w:rsid w:val="008E27F1"/>
    <w:rsid w:val="008E3255"/>
    <w:rsid w:val="008E3D32"/>
    <w:rsid w:val="008E4DD8"/>
    <w:rsid w:val="008E6A8B"/>
    <w:rsid w:val="008F0172"/>
    <w:rsid w:val="008F1A3F"/>
    <w:rsid w:val="008F2B4D"/>
    <w:rsid w:val="008F4893"/>
    <w:rsid w:val="008F652B"/>
    <w:rsid w:val="008F7881"/>
    <w:rsid w:val="00900CA8"/>
    <w:rsid w:val="00900CC9"/>
    <w:rsid w:val="00901BCA"/>
    <w:rsid w:val="00902A16"/>
    <w:rsid w:val="009035EF"/>
    <w:rsid w:val="00903AC2"/>
    <w:rsid w:val="00905426"/>
    <w:rsid w:val="009067C5"/>
    <w:rsid w:val="009076E9"/>
    <w:rsid w:val="009255C9"/>
    <w:rsid w:val="0092785D"/>
    <w:rsid w:val="0092793A"/>
    <w:rsid w:val="00930F4D"/>
    <w:rsid w:val="00931995"/>
    <w:rsid w:val="00931CA6"/>
    <w:rsid w:val="009325E6"/>
    <w:rsid w:val="009329BD"/>
    <w:rsid w:val="009337AC"/>
    <w:rsid w:val="00933D68"/>
    <w:rsid w:val="009351E8"/>
    <w:rsid w:val="0093646F"/>
    <w:rsid w:val="009370AF"/>
    <w:rsid w:val="009377EA"/>
    <w:rsid w:val="009435C0"/>
    <w:rsid w:val="00943CFE"/>
    <w:rsid w:val="00944216"/>
    <w:rsid w:val="00944996"/>
    <w:rsid w:val="009521D3"/>
    <w:rsid w:val="0095576C"/>
    <w:rsid w:val="00956D65"/>
    <w:rsid w:val="00957E2B"/>
    <w:rsid w:val="0096251F"/>
    <w:rsid w:val="00966FCE"/>
    <w:rsid w:val="00970297"/>
    <w:rsid w:val="00972859"/>
    <w:rsid w:val="009730B4"/>
    <w:rsid w:val="00973DD0"/>
    <w:rsid w:val="00975ED8"/>
    <w:rsid w:val="00975EDE"/>
    <w:rsid w:val="0097786A"/>
    <w:rsid w:val="00977B69"/>
    <w:rsid w:val="009818D8"/>
    <w:rsid w:val="00981F02"/>
    <w:rsid w:val="00986254"/>
    <w:rsid w:val="00991033"/>
    <w:rsid w:val="009913D0"/>
    <w:rsid w:val="009913F8"/>
    <w:rsid w:val="00994D21"/>
    <w:rsid w:val="009A0110"/>
    <w:rsid w:val="009A09F5"/>
    <w:rsid w:val="009A211D"/>
    <w:rsid w:val="009A2E48"/>
    <w:rsid w:val="009A3046"/>
    <w:rsid w:val="009A3AF4"/>
    <w:rsid w:val="009A59CF"/>
    <w:rsid w:val="009A5C3A"/>
    <w:rsid w:val="009B01DA"/>
    <w:rsid w:val="009B5066"/>
    <w:rsid w:val="009B646E"/>
    <w:rsid w:val="009B6CC2"/>
    <w:rsid w:val="009B7961"/>
    <w:rsid w:val="009C3BB6"/>
    <w:rsid w:val="009C3D3D"/>
    <w:rsid w:val="009C6F59"/>
    <w:rsid w:val="009C789D"/>
    <w:rsid w:val="009D0FB2"/>
    <w:rsid w:val="009D3124"/>
    <w:rsid w:val="009D483B"/>
    <w:rsid w:val="009D6CE4"/>
    <w:rsid w:val="009E0610"/>
    <w:rsid w:val="009E0633"/>
    <w:rsid w:val="009E1211"/>
    <w:rsid w:val="009E318C"/>
    <w:rsid w:val="009E31BE"/>
    <w:rsid w:val="009E3524"/>
    <w:rsid w:val="009E370C"/>
    <w:rsid w:val="009E3EAC"/>
    <w:rsid w:val="009E5077"/>
    <w:rsid w:val="009E5190"/>
    <w:rsid w:val="009E57AF"/>
    <w:rsid w:val="009E650A"/>
    <w:rsid w:val="009E7759"/>
    <w:rsid w:val="009F046A"/>
    <w:rsid w:val="009F09F7"/>
    <w:rsid w:val="009F2A8B"/>
    <w:rsid w:val="009F4CD2"/>
    <w:rsid w:val="009F5160"/>
    <w:rsid w:val="009F531C"/>
    <w:rsid w:val="009F5560"/>
    <w:rsid w:val="009F779D"/>
    <w:rsid w:val="00A02349"/>
    <w:rsid w:val="00A036E5"/>
    <w:rsid w:val="00A13CFF"/>
    <w:rsid w:val="00A13D84"/>
    <w:rsid w:val="00A140F9"/>
    <w:rsid w:val="00A16740"/>
    <w:rsid w:val="00A168C0"/>
    <w:rsid w:val="00A22185"/>
    <w:rsid w:val="00A232DC"/>
    <w:rsid w:val="00A24058"/>
    <w:rsid w:val="00A25E4B"/>
    <w:rsid w:val="00A30884"/>
    <w:rsid w:val="00A323EC"/>
    <w:rsid w:val="00A32510"/>
    <w:rsid w:val="00A345DB"/>
    <w:rsid w:val="00A351E4"/>
    <w:rsid w:val="00A40BE3"/>
    <w:rsid w:val="00A42774"/>
    <w:rsid w:val="00A4398B"/>
    <w:rsid w:val="00A44553"/>
    <w:rsid w:val="00A447EF"/>
    <w:rsid w:val="00A44B47"/>
    <w:rsid w:val="00A47B6D"/>
    <w:rsid w:val="00A5115E"/>
    <w:rsid w:val="00A543AC"/>
    <w:rsid w:val="00A57169"/>
    <w:rsid w:val="00A57A67"/>
    <w:rsid w:val="00A6004F"/>
    <w:rsid w:val="00A604AF"/>
    <w:rsid w:val="00A62479"/>
    <w:rsid w:val="00A63213"/>
    <w:rsid w:val="00A637A7"/>
    <w:rsid w:val="00A6462F"/>
    <w:rsid w:val="00A653B7"/>
    <w:rsid w:val="00A65539"/>
    <w:rsid w:val="00A67154"/>
    <w:rsid w:val="00A67351"/>
    <w:rsid w:val="00A6739E"/>
    <w:rsid w:val="00A70A67"/>
    <w:rsid w:val="00A70F37"/>
    <w:rsid w:val="00A711EE"/>
    <w:rsid w:val="00A71FAE"/>
    <w:rsid w:val="00A7259F"/>
    <w:rsid w:val="00A72743"/>
    <w:rsid w:val="00A74E0B"/>
    <w:rsid w:val="00A821A9"/>
    <w:rsid w:val="00A82BE1"/>
    <w:rsid w:val="00A84326"/>
    <w:rsid w:val="00A9051A"/>
    <w:rsid w:val="00A90D5F"/>
    <w:rsid w:val="00A91D43"/>
    <w:rsid w:val="00A924F7"/>
    <w:rsid w:val="00A94767"/>
    <w:rsid w:val="00A947DE"/>
    <w:rsid w:val="00A95505"/>
    <w:rsid w:val="00A95B54"/>
    <w:rsid w:val="00A9773B"/>
    <w:rsid w:val="00AA201E"/>
    <w:rsid w:val="00AA4768"/>
    <w:rsid w:val="00AA6856"/>
    <w:rsid w:val="00AA71BA"/>
    <w:rsid w:val="00AB1E4F"/>
    <w:rsid w:val="00AB5079"/>
    <w:rsid w:val="00AB5A1E"/>
    <w:rsid w:val="00AB66F4"/>
    <w:rsid w:val="00AC1D5D"/>
    <w:rsid w:val="00AC3BD7"/>
    <w:rsid w:val="00AC3F90"/>
    <w:rsid w:val="00AC445E"/>
    <w:rsid w:val="00AC47DF"/>
    <w:rsid w:val="00AC5519"/>
    <w:rsid w:val="00AC573F"/>
    <w:rsid w:val="00AC7602"/>
    <w:rsid w:val="00AD0E2A"/>
    <w:rsid w:val="00AD1C60"/>
    <w:rsid w:val="00AD4C97"/>
    <w:rsid w:val="00AD4F33"/>
    <w:rsid w:val="00AD5DDF"/>
    <w:rsid w:val="00AD77EF"/>
    <w:rsid w:val="00AE05BD"/>
    <w:rsid w:val="00AE1EA7"/>
    <w:rsid w:val="00AE3047"/>
    <w:rsid w:val="00AE3F45"/>
    <w:rsid w:val="00AE60C7"/>
    <w:rsid w:val="00AE6314"/>
    <w:rsid w:val="00AE78A7"/>
    <w:rsid w:val="00AE78D2"/>
    <w:rsid w:val="00AF16B4"/>
    <w:rsid w:val="00AF2A44"/>
    <w:rsid w:val="00AF5C31"/>
    <w:rsid w:val="00AF70BF"/>
    <w:rsid w:val="00AF73C4"/>
    <w:rsid w:val="00B00655"/>
    <w:rsid w:val="00B0078F"/>
    <w:rsid w:val="00B00DB1"/>
    <w:rsid w:val="00B01A5F"/>
    <w:rsid w:val="00B02744"/>
    <w:rsid w:val="00B078BE"/>
    <w:rsid w:val="00B10A9C"/>
    <w:rsid w:val="00B11F30"/>
    <w:rsid w:val="00B12B67"/>
    <w:rsid w:val="00B1301A"/>
    <w:rsid w:val="00B14041"/>
    <w:rsid w:val="00B14A3F"/>
    <w:rsid w:val="00B15724"/>
    <w:rsid w:val="00B15F7E"/>
    <w:rsid w:val="00B17F53"/>
    <w:rsid w:val="00B21316"/>
    <w:rsid w:val="00B22344"/>
    <w:rsid w:val="00B227DF"/>
    <w:rsid w:val="00B22D29"/>
    <w:rsid w:val="00B23B4B"/>
    <w:rsid w:val="00B25681"/>
    <w:rsid w:val="00B2696C"/>
    <w:rsid w:val="00B27DC3"/>
    <w:rsid w:val="00B31488"/>
    <w:rsid w:val="00B3201E"/>
    <w:rsid w:val="00B33707"/>
    <w:rsid w:val="00B3380F"/>
    <w:rsid w:val="00B36A2F"/>
    <w:rsid w:val="00B36FBB"/>
    <w:rsid w:val="00B42C10"/>
    <w:rsid w:val="00B43512"/>
    <w:rsid w:val="00B44166"/>
    <w:rsid w:val="00B4506B"/>
    <w:rsid w:val="00B46418"/>
    <w:rsid w:val="00B47BB8"/>
    <w:rsid w:val="00B51760"/>
    <w:rsid w:val="00B51B34"/>
    <w:rsid w:val="00B525B8"/>
    <w:rsid w:val="00B544A2"/>
    <w:rsid w:val="00B5603C"/>
    <w:rsid w:val="00B566E1"/>
    <w:rsid w:val="00B60A9A"/>
    <w:rsid w:val="00B62D41"/>
    <w:rsid w:val="00B710F6"/>
    <w:rsid w:val="00B71228"/>
    <w:rsid w:val="00B719CD"/>
    <w:rsid w:val="00B768DC"/>
    <w:rsid w:val="00B773D2"/>
    <w:rsid w:val="00B77F11"/>
    <w:rsid w:val="00B804CD"/>
    <w:rsid w:val="00B811C4"/>
    <w:rsid w:val="00B81686"/>
    <w:rsid w:val="00B8176A"/>
    <w:rsid w:val="00B81E9E"/>
    <w:rsid w:val="00B83336"/>
    <w:rsid w:val="00B84549"/>
    <w:rsid w:val="00B8464B"/>
    <w:rsid w:val="00B84992"/>
    <w:rsid w:val="00B86C99"/>
    <w:rsid w:val="00B90A27"/>
    <w:rsid w:val="00B9180C"/>
    <w:rsid w:val="00B925CC"/>
    <w:rsid w:val="00B9386C"/>
    <w:rsid w:val="00B94FE0"/>
    <w:rsid w:val="00B97F69"/>
    <w:rsid w:val="00BA2603"/>
    <w:rsid w:val="00BA2BC1"/>
    <w:rsid w:val="00BA68C4"/>
    <w:rsid w:val="00BA7295"/>
    <w:rsid w:val="00BA7CBC"/>
    <w:rsid w:val="00BB3B22"/>
    <w:rsid w:val="00BB677A"/>
    <w:rsid w:val="00BC09A6"/>
    <w:rsid w:val="00BC1D72"/>
    <w:rsid w:val="00BC49B2"/>
    <w:rsid w:val="00BC77C2"/>
    <w:rsid w:val="00BD044C"/>
    <w:rsid w:val="00BD4037"/>
    <w:rsid w:val="00BD5CDA"/>
    <w:rsid w:val="00BD7A41"/>
    <w:rsid w:val="00BE0D85"/>
    <w:rsid w:val="00BE1D1C"/>
    <w:rsid w:val="00BE2FAA"/>
    <w:rsid w:val="00BE3C43"/>
    <w:rsid w:val="00BE4C90"/>
    <w:rsid w:val="00BE4E46"/>
    <w:rsid w:val="00BE5B62"/>
    <w:rsid w:val="00BF246B"/>
    <w:rsid w:val="00BF29DE"/>
    <w:rsid w:val="00BF2A37"/>
    <w:rsid w:val="00BF3AAF"/>
    <w:rsid w:val="00BF407D"/>
    <w:rsid w:val="00BF4BEE"/>
    <w:rsid w:val="00BF79C7"/>
    <w:rsid w:val="00BF7C77"/>
    <w:rsid w:val="00C008FA"/>
    <w:rsid w:val="00C0302C"/>
    <w:rsid w:val="00C050DB"/>
    <w:rsid w:val="00C051E9"/>
    <w:rsid w:val="00C1055B"/>
    <w:rsid w:val="00C11993"/>
    <w:rsid w:val="00C12F91"/>
    <w:rsid w:val="00C13DDF"/>
    <w:rsid w:val="00C13F5A"/>
    <w:rsid w:val="00C14C5E"/>
    <w:rsid w:val="00C16B37"/>
    <w:rsid w:val="00C176CC"/>
    <w:rsid w:val="00C17A23"/>
    <w:rsid w:val="00C26B0C"/>
    <w:rsid w:val="00C26E52"/>
    <w:rsid w:val="00C30F9C"/>
    <w:rsid w:val="00C32934"/>
    <w:rsid w:val="00C32955"/>
    <w:rsid w:val="00C334A0"/>
    <w:rsid w:val="00C3433B"/>
    <w:rsid w:val="00C350DE"/>
    <w:rsid w:val="00C36666"/>
    <w:rsid w:val="00C41F4B"/>
    <w:rsid w:val="00C44467"/>
    <w:rsid w:val="00C476AB"/>
    <w:rsid w:val="00C4793E"/>
    <w:rsid w:val="00C47BCC"/>
    <w:rsid w:val="00C47EFB"/>
    <w:rsid w:val="00C5118C"/>
    <w:rsid w:val="00C5385F"/>
    <w:rsid w:val="00C54CBC"/>
    <w:rsid w:val="00C56823"/>
    <w:rsid w:val="00C57623"/>
    <w:rsid w:val="00C6028A"/>
    <w:rsid w:val="00C61C08"/>
    <w:rsid w:val="00C61F50"/>
    <w:rsid w:val="00C627EF"/>
    <w:rsid w:val="00C65CAB"/>
    <w:rsid w:val="00C668CA"/>
    <w:rsid w:val="00C66973"/>
    <w:rsid w:val="00C66F2B"/>
    <w:rsid w:val="00C7269D"/>
    <w:rsid w:val="00C72A7A"/>
    <w:rsid w:val="00C74D9D"/>
    <w:rsid w:val="00C7540B"/>
    <w:rsid w:val="00C754AD"/>
    <w:rsid w:val="00C758F8"/>
    <w:rsid w:val="00C75959"/>
    <w:rsid w:val="00C76079"/>
    <w:rsid w:val="00C76219"/>
    <w:rsid w:val="00C82ACB"/>
    <w:rsid w:val="00C82E72"/>
    <w:rsid w:val="00C84FDA"/>
    <w:rsid w:val="00C85DCC"/>
    <w:rsid w:val="00C8781B"/>
    <w:rsid w:val="00C90283"/>
    <w:rsid w:val="00C902B8"/>
    <w:rsid w:val="00C90556"/>
    <w:rsid w:val="00C9175C"/>
    <w:rsid w:val="00C91ACA"/>
    <w:rsid w:val="00C92CA1"/>
    <w:rsid w:val="00C93895"/>
    <w:rsid w:val="00C938CE"/>
    <w:rsid w:val="00C943AB"/>
    <w:rsid w:val="00C95304"/>
    <w:rsid w:val="00C95365"/>
    <w:rsid w:val="00C97148"/>
    <w:rsid w:val="00CA1666"/>
    <w:rsid w:val="00CA1C05"/>
    <w:rsid w:val="00CA22F7"/>
    <w:rsid w:val="00CA270D"/>
    <w:rsid w:val="00CA3051"/>
    <w:rsid w:val="00CA7D9E"/>
    <w:rsid w:val="00CB205A"/>
    <w:rsid w:val="00CB211D"/>
    <w:rsid w:val="00CB36B0"/>
    <w:rsid w:val="00CB6580"/>
    <w:rsid w:val="00CC2F41"/>
    <w:rsid w:val="00CC411F"/>
    <w:rsid w:val="00CC4436"/>
    <w:rsid w:val="00CC454C"/>
    <w:rsid w:val="00CC462A"/>
    <w:rsid w:val="00CC4EC7"/>
    <w:rsid w:val="00CC781A"/>
    <w:rsid w:val="00CD173E"/>
    <w:rsid w:val="00CD1A0E"/>
    <w:rsid w:val="00CD2922"/>
    <w:rsid w:val="00CD3175"/>
    <w:rsid w:val="00CD57B0"/>
    <w:rsid w:val="00CD58FB"/>
    <w:rsid w:val="00CD767E"/>
    <w:rsid w:val="00CE424F"/>
    <w:rsid w:val="00CE4E91"/>
    <w:rsid w:val="00CE4F5A"/>
    <w:rsid w:val="00CE530E"/>
    <w:rsid w:val="00CE58A1"/>
    <w:rsid w:val="00CE5DD8"/>
    <w:rsid w:val="00CE5E67"/>
    <w:rsid w:val="00CE5FCC"/>
    <w:rsid w:val="00CE61ED"/>
    <w:rsid w:val="00CE6AF1"/>
    <w:rsid w:val="00CE7061"/>
    <w:rsid w:val="00CE7644"/>
    <w:rsid w:val="00CF126A"/>
    <w:rsid w:val="00CF154B"/>
    <w:rsid w:val="00CF2881"/>
    <w:rsid w:val="00CF2E11"/>
    <w:rsid w:val="00CF3455"/>
    <w:rsid w:val="00CF4DD4"/>
    <w:rsid w:val="00CF6445"/>
    <w:rsid w:val="00CF6913"/>
    <w:rsid w:val="00D00FC7"/>
    <w:rsid w:val="00D01CDF"/>
    <w:rsid w:val="00D01F74"/>
    <w:rsid w:val="00D02361"/>
    <w:rsid w:val="00D03C4E"/>
    <w:rsid w:val="00D068AF"/>
    <w:rsid w:val="00D0781C"/>
    <w:rsid w:val="00D07CBF"/>
    <w:rsid w:val="00D10210"/>
    <w:rsid w:val="00D12244"/>
    <w:rsid w:val="00D14DDB"/>
    <w:rsid w:val="00D15026"/>
    <w:rsid w:val="00D16A7C"/>
    <w:rsid w:val="00D17DEA"/>
    <w:rsid w:val="00D20828"/>
    <w:rsid w:val="00D20B37"/>
    <w:rsid w:val="00D22503"/>
    <w:rsid w:val="00D249ED"/>
    <w:rsid w:val="00D26CDE"/>
    <w:rsid w:val="00D26F7F"/>
    <w:rsid w:val="00D2718C"/>
    <w:rsid w:val="00D27C75"/>
    <w:rsid w:val="00D30304"/>
    <w:rsid w:val="00D317E9"/>
    <w:rsid w:val="00D33D56"/>
    <w:rsid w:val="00D34DAB"/>
    <w:rsid w:val="00D370A1"/>
    <w:rsid w:val="00D405A6"/>
    <w:rsid w:val="00D40AC6"/>
    <w:rsid w:val="00D4209D"/>
    <w:rsid w:val="00D4411C"/>
    <w:rsid w:val="00D45DDA"/>
    <w:rsid w:val="00D47F60"/>
    <w:rsid w:val="00D50977"/>
    <w:rsid w:val="00D51F36"/>
    <w:rsid w:val="00D52B6D"/>
    <w:rsid w:val="00D536FD"/>
    <w:rsid w:val="00D54407"/>
    <w:rsid w:val="00D54942"/>
    <w:rsid w:val="00D55909"/>
    <w:rsid w:val="00D574A4"/>
    <w:rsid w:val="00D63A7E"/>
    <w:rsid w:val="00D67ACB"/>
    <w:rsid w:val="00D7010C"/>
    <w:rsid w:val="00D723CC"/>
    <w:rsid w:val="00D74318"/>
    <w:rsid w:val="00D7789A"/>
    <w:rsid w:val="00D778ED"/>
    <w:rsid w:val="00D806FF"/>
    <w:rsid w:val="00D8076A"/>
    <w:rsid w:val="00D8098C"/>
    <w:rsid w:val="00D82AF9"/>
    <w:rsid w:val="00D867EB"/>
    <w:rsid w:val="00D86B05"/>
    <w:rsid w:val="00D90251"/>
    <w:rsid w:val="00D91462"/>
    <w:rsid w:val="00D93F43"/>
    <w:rsid w:val="00D97DE6"/>
    <w:rsid w:val="00DA012D"/>
    <w:rsid w:val="00DA1FB9"/>
    <w:rsid w:val="00DA3FD4"/>
    <w:rsid w:val="00DA5159"/>
    <w:rsid w:val="00DA555B"/>
    <w:rsid w:val="00DA5CE4"/>
    <w:rsid w:val="00DA7D92"/>
    <w:rsid w:val="00DB3861"/>
    <w:rsid w:val="00DB480F"/>
    <w:rsid w:val="00DB4CC3"/>
    <w:rsid w:val="00DB4F80"/>
    <w:rsid w:val="00DB6298"/>
    <w:rsid w:val="00DB713F"/>
    <w:rsid w:val="00DC0FD4"/>
    <w:rsid w:val="00DC3179"/>
    <w:rsid w:val="00DC503E"/>
    <w:rsid w:val="00DD14FD"/>
    <w:rsid w:val="00DD1635"/>
    <w:rsid w:val="00DD4399"/>
    <w:rsid w:val="00DD4D0E"/>
    <w:rsid w:val="00DD6767"/>
    <w:rsid w:val="00DD695A"/>
    <w:rsid w:val="00DD6CE6"/>
    <w:rsid w:val="00DE27C1"/>
    <w:rsid w:val="00DE2D34"/>
    <w:rsid w:val="00DE31C3"/>
    <w:rsid w:val="00DF21B8"/>
    <w:rsid w:val="00DF7066"/>
    <w:rsid w:val="00E0027F"/>
    <w:rsid w:val="00E00868"/>
    <w:rsid w:val="00E01F87"/>
    <w:rsid w:val="00E0200B"/>
    <w:rsid w:val="00E025CF"/>
    <w:rsid w:val="00E046F7"/>
    <w:rsid w:val="00E05BD8"/>
    <w:rsid w:val="00E06B6D"/>
    <w:rsid w:val="00E07111"/>
    <w:rsid w:val="00E07238"/>
    <w:rsid w:val="00E1506E"/>
    <w:rsid w:val="00E15BE6"/>
    <w:rsid w:val="00E166C1"/>
    <w:rsid w:val="00E2027A"/>
    <w:rsid w:val="00E20ABB"/>
    <w:rsid w:val="00E20D9D"/>
    <w:rsid w:val="00E2122F"/>
    <w:rsid w:val="00E21250"/>
    <w:rsid w:val="00E21F82"/>
    <w:rsid w:val="00E22E12"/>
    <w:rsid w:val="00E22FDA"/>
    <w:rsid w:val="00E235BB"/>
    <w:rsid w:val="00E24EB6"/>
    <w:rsid w:val="00E252A9"/>
    <w:rsid w:val="00E27BD6"/>
    <w:rsid w:val="00E311F2"/>
    <w:rsid w:val="00E330E9"/>
    <w:rsid w:val="00E3327A"/>
    <w:rsid w:val="00E340B6"/>
    <w:rsid w:val="00E3542B"/>
    <w:rsid w:val="00E3604D"/>
    <w:rsid w:val="00E37851"/>
    <w:rsid w:val="00E44177"/>
    <w:rsid w:val="00E4435A"/>
    <w:rsid w:val="00E4625A"/>
    <w:rsid w:val="00E47DED"/>
    <w:rsid w:val="00E51469"/>
    <w:rsid w:val="00E547FD"/>
    <w:rsid w:val="00E555B7"/>
    <w:rsid w:val="00E564A0"/>
    <w:rsid w:val="00E578B3"/>
    <w:rsid w:val="00E57A79"/>
    <w:rsid w:val="00E57D26"/>
    <w:rsid w:val="00E57F0F"/>
    <w:rsid w:val="00E6229D"/>
    <w:rsid w:val="00E63F81"/>
    <w:rsid w:val="00E6410F"/>
    <w:rsid w:val="00E6486B"/>
    <w:rsid w:val="00E7202A"/>
    <w:rsid w:val="00E757C0"/>
    <w:rsid w:val="00E808D6"/>
    <w:rsid w:val="00E813DE"/>
    <w:rsid w:val="00E81D4A"/>
    <w:rsid w:val="00E83180"/>
    <w:rsid w:val="00E83B47"/>
    <w:rsid w:val="00E8492B"/>
    <w:rsid w:val="00E86193"/>
    <w:rsid w:val="00E86356"/>
    <w:rsid w:val="00E8713D"/>
    <w:rsid w:val="00E90117"/>
    <w:rsid w:val="00E949FF"/>
    <w:rsid w:val="00E95E85"/>
    <w:rsid w:val="00E96A8C"/>
    <w:rsid w:val="00EA0B2D"/>
    <w:rsid w:val="00EA0D8A"/>
    <w:rsid w:val="00EA14FC"/>
    <w:rsid w:val="00EA2BDE"/>
    <w:rsid w:val="00EA468F"/>
    <w:rsid w:val="00EA68F8"/>
    <w:rsid w:val="00EA710E"/>
    <w:rsid w:val="00EA73C5"/>
    <w:rsid w:val="00EA7E9B"/>
    <w:rsid w:val="00EB159C"/>
    <w:rsid w:val="00EB4A18"/>
    <w:rsid w:val="00EB64A1"/>
    <w:rsid w:val="00EB6972"/>
    <w:rsid w:val="00EB6E57"/>
    <w:rsid w:val="00EC0669"/>
    <w:rsid w:val="00EC0DCB"/>
    <w:rsid w:val="00EC1838"/>
    <w:rsid w:val="00EC1A5C"/>
    <w:rsid w:val="00EC25B0"/>
    <w:rsid w:val="00EC3172"/>
    <w:rsid w:val="00EC33EE"/>
    <w:rsid w:val="00EC47C2"/>
    <w:rsid w:val="00EC4AFD"/>
    <w:rsid w:val="00EC68C2"/>
    <w:rsid w:val="00EC71BC"/>
    <w:rsid w:val="00ED0295"/>
    <w:rsid w:val="00ED5136"/>
    <w:rsid w:val="00ED59E5"/>
    <w:rsid w:val="00ED62FE"/>
    <w:rsid w:val="00ED703C"/>
    <w:rsid w:val="00ED76F4"/>
    <w:rsid w:val="00EE0A34"/>
    <w:rsid w:val="00EE1604"/>
    <w:rsid w:val="00EE336C"/>
    <w:rsid w:val="00EE3CB6"/>
    <w:rsid w:val="00EE5D5B"/>
    <w:rsid w:val="00EE78B6"/>
    <w:rsid w:val="00EE7DDB"/>
    <w:rsid w:val="00EF0A5B"/>
    <w:rsid w:val="00EF5898"/>
    <w:rsid w:val="00EF61B8"/>
    <w:rsid w:val="00EF72F5"/>
    <w:rsid w:val="00F01CC8"/>
    <w:rsid w:val="00F0272F"/>
    <w:rsid w:val="00F05331"/>
    <w:rsid w:val="00F069CF"/>
    <w:rsid w:val="00F07671"/>
    <w:rsid w:val="00F10AD8"/>
    <w:rsid w:val="00F11C0E"/>
    <w:rsid w:val="00F1397A"/>
    <w:rsid w:val="00F13A9E"/>
    <w:rsid w:val="00F16F8A"/>
    <w:rsid w:val="00F172BB"/>
    <w:rsid w:val="00F17B75"/>
    <w:rsid w:val="00F17E57"/>
    <w:rsid w:val="00F20EA1"/>
    <w:rsid w:val="00F21E85"/>
    <w:rsid w:val="00F21FBC"/>
    <w:rsid w:val="00F23AD2"/>
    <w:rsid w:val="00F247E9"/>
    <w:rsid w:val="00F31C59"/>
    <w:rsid w:val="00F334B2"/>
    <w:rsid w:val="00F335E0"/>
    <w:rsid w:val="00F35DDB"/>
    <w:rsid w:val="00F37349"/>
    <w:rsid w:val="00F3798E"/>
    <w:rsid w:val="00F4034E"/>
    <w:rsid w:val="00F40DC3"/>
    <w:rsid w:val="00F41A33"/>
    <w:rsid w:val="00F4310C"/>
    <w:rsid w:val="00F43B89"/>
    <w:rsid w:val="00F44A14"/>
    <w:rsid w:val="00F45644"/>
    <w:rsid w:val="00F467C6"/>
    <w:rsid w:val="00F50DEA"/>
    <w:rsid w:val="00F554DA"/>
    <w:rsid w:val="00F564EA"/>
    <w:rsid w:val="00F56D83"/>
    <w:rsid w:val="00F573DC"/>
    <w:rsid w:val="00F603C0"/>
    <w:rsid w:val="00F608EB"/>
    <w:rsid w:val="00F60EBD"/>
    <w:rsid w:val="00F61B82"/>
    <w:rsid w:val="00F63979"/>
    <w:rsid w:val="00F63DD4"/>
    <w:rsid w:val="00F64D95"/>
    <w:rsid w:val="00F65E04"/>
    <w:rsid w:val="00F66994"/>
    <w:rsid w:val="00F66C78"/>
    <w:rsid w:val="00F66DEC"/>
    <w:rsid w:val="00F67EAA"/>
    <w:rsid w:val="00F71803"/>
    <w:rsid w:val="00F71E9B"/>
    <w:rsid w:val="00F72130"/>
    <w:rsid w:val="00F739F2"/>
    <w:rsid w:val="00F73CF4"/>
    <w:rsid w:val="00F75661"/>
    <w:rsid w:val="00F75BBA"/>
    <w:rsid w:val="00F7686E"/>
    <w:rsid w:val="00F806C4"/>
    <w:rsid w:val="00F81B4D"/>
    <w:rsid w:val="00F83C61"/>
    <w:rsid w:val="00F84944"/>
    <w:rsid w:val="00F85727"/>
    <w:rsid w:val="00F85C5C"/>
    <w:rsid w:val="00F86F8A"/>
    <w:rsid w:val="00F8759D"/>
    <w:rsid w:val="00F90E59"/>
    <w:rsid w:val="00F926ED"/>
    <w:rsid w:val="00F93EAE"/>
    <w:rsid w:val="00F95652"/>
    <w:rsid w:val="00F9707D"/>
    <w:rsid w:val="00FA1004"/>
    <w:rsid w:val="00FA1B01"/>
    <w:rsid w:val="00FA239C"/>
    <w:rsid w:val="00FA3FBD"/>
    <w:rsid w:val="00FA6029"/>
    <w:rsid w:val="00FA6B3D"/>
    <w:rsid w:val="00FB0BD6"/>
    <w:rsid w:val="00FB1CF4"/>
    <w:rsid w:val="00FB20FC"/>
    <w:rsid w:val="00FB3A9C"/>
    <w:rsid w:val="00FB439B"/>
    <w:rsid w:val="00FB5A42"/>
    <w:rsid w:val="00FB5C34"/>
    <w:rsid w:val="00FC1265"/>
    <w:rsid w:val="00FC1502"/>
    <w:rsid w:val="00FC2E7D"/>
    <w:rsid w:val="00FC32B7"/>
    <w:rsid w:val="00FC69EA"/>
    <w:rsid w:val="00FD1F72"/>
    <w:rsid w:val="00FD1FDA"/>
    <w:rsid w:val="00FD25F3"/>
    <w:rsid w:val="00FD512F"/>
    <w:rsid w:val="00FE19F0"/>
    <w:rsid w:val="00FE22A8"/>
    <w:rsid w:val="00FE24D5"/>
    <w:rsid w:val="00FE51A0"/>
    <w:rsid w:val="00FE5FF4"/>
    <w:rsid w:val="00FE6D5F"/>
    <w:rsid w:val="00FF1F66"/>
    <w:rsid w:val="00FF6F26"/>
    <w:rsid w:val="093C622D"/>
    <w:rsid w:val="199139EB"/>
    <w:rsid w:val="24B2FBAD"/>
    <w:rsid w:val="560795AF"/>
    <w:rsid w:val="5B4C3D29"/>
    <w:rsid w:val="5B610C6B"/>
    <w:rsid w:val="60B54FDB"/>
    <w:rsid w:val="7E78F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E8323"/>
  <w15:chartTrackingRefBased/>
  <w15:docId w15:val="{4522B508-9435-4CDC-8AFA-BE7443B8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C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62DB"/>
    <w:pPr>
      <w:keepNext/>
      <w:keepLines/>
      <w:spacing w:before="16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55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62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D6CE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562DB"/>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9D6CE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D6CE4"/>
    <w:rPr>
      <w:color w:val="5A5A5A" w:themeColor="text1" w:themeTint="A5"/>
      <w:spacing w:val="15"/>
    </w:rPr>
  </w:style>
  <w:style w:type="paragraph" w:styleId="TOCHeading">
    <w:name w:val="TOC Heading"/>
    <w:basedOn w:val="Heading1"/>
    <w:next w:val="Normal"/>
    <w:uiPriority w:val="39"/>
    <w:unhideWhenUsed/>
    <w:qFormat/>
    <w:rsid w:val="00D0781C"/>
    <w:pPr>
      <w:outlineLvl w:val="9"/>
    </w:pPr>
    <w:rPr>
      <w:lang w:eastAsia="en-US"/>
    </w:rPr>
  </w:style>
  <w:style w:type="paragraph" w:styleId="TOC1">
    <w:name w:val="toc 1"/>
    <w:basedOn w:val="Normal"/>
    <w:next w:val="Normal"/>
    <w:autoRedefine/>
    <w:uiPriority w:val="39"/>
    <w:unhideWhenUsed/>
    <w:rsid w:val="002069FE"/>
    <w:pPr>
      <w:tabs>
        <w:tab w:val="right" w:leader="dot" w:pos="9350"/>
      </w:tabs>
      <w:spacing w:before="240" w:after="0" w:line="240" w:lineRule="auto"/>
    </w:pPr>
  </w:style>
  <w:style w:type="paragraph" w:styleId="TOC2">
    <w:name w:val="toc 2"/>
    <w:basedOn w:val="Normal"/>
    <w:next w:val="Normal"/>
    <w:autoRedefine/>
    <w:uiPriority w:val="39"/>
    <w:unhideWhenUsed/>
    <w:rsid w:val="00D0781C"/>
    <w:pPr>
      <w:spacing w:after="100"/>
      <w:ind w:left="220"/>
    </w:pPr>
  </w:style>
  <w:style w:type="character" w:styleId="Hyperlink">
    <w:name w:val="Hyperlink"/>
    <w:basedOn w:val="DefaultParagraphFont"/>
    <w:uiPriority w:val="99"/>
    <w:unhideWhenUsed/>
    <w:rsid w:val="00D0781C"/>
    <w:rPr>
      <w:color w:val="0563C1" w:themeColor="hyperlink"/>
      <w:u w:val="single"/>
    </w:rPr>
  </w:style>
  <w:style w:type="paragraph" w:styleId="Header">
    <w:name w:val="header"/>
    <w:basedOn w:val="Normal"/>
    <w:link w:val="HeaderChar"/>
    <w:uiPriority w:val="99"/>
    <w:unhideWhenUsed/>
    <w:rsid w:val="00D07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81C"/>
  </w:style>
  <w:style w:type="paragraph" w:styleId="Footer">
    <w:name w:val="footer"/>
    <w:basedOn w:val="Normal"/>
    <w:link w:val="FooterChar"/>
    <w:uiPriority w:val="99"/>
    <w:unhideWhenUsed/>
    <w:rsid w:val="00D07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81C"/>
  </w:style>
  <w:style w:type="paragraph" w:styleId="ListParagraph">
    <w:name w:val="List Paragraph"/>
    <w:basedOn w:val="Normal"/>
    <w:uiPriority w:val="34"/>
    <w:qFormat/>
    <w:rsid w:val="003F3804"/>
    <w:pPr>
      <w:spacing w:after="0" w:line="240" w:lineRule="auto"/>
      <w:ind w:left="720"/>
      <w:contextualSpacing/>
    </w:pPr>
    <w:rPr>
      <w:rFonts w:ascii="Cambria" w:eastAsia="MS Mincho" w:hAnsi="Cambria" w:cs="Times New Roman"/>
      <w:sz w:val="24"/>
      <w:szCs w:val="24"/>
      <w:lang w:eastAsia="en-US"/>
    </w:rPr>
  </w:style>
  <w:style w:type="paragraph" w:styleId="FootnoteText">
    <w:name w:val="footnote text"/>
    <w:basedOn w:val="Normal"/>
    <w:link w:val="FootnoteTextChar"/>
    <w:uiPriority w:val="99"/>
    <w:unhideWhenUsed/>
    <w:rsid w:val="003F3804"/>
    <w:pPr>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rsid w:val="003F3804"/>
    <w:rPr>
      <w:rFonts w:ascii="Calibri" w:eastAsia="Calibri" w:hAnsi="Calibri" w:cs="Times New Roman"/>
      <w:sz w:val="20"/>
      <w:szCs w:val="20"/>
      <w:lang w:eastAsia="en-US"/>
    </w:rPr>
  </w:style>
  <w:style w:type="character" w:styleId="FootnoteReference">
    <w:name w:val="footnote reference"/>
    <w:basedOn w:val="DefaultParagraphFont"/>
    <w:uiPriority w:val="99"/>
    <w:unhideWhenUsed/>
    <w:rsid w:val="003F3804"/>
    <w:rPr>
      <w:vertAlign w:val="superscript"/>
    </w:rPr>
  </w:style>
  <w:style w:type="character" w:styleId="EndnoteReference">
    <w:name w:val="endnote reference"/>
    <w:basedOn w:val="DefaultParagraphFont"/>
    <w:uiPriority w:val="99"/>
    <w:semiHidden/>
    <w:unhideWhenUsed/>
    <w:rsid w:val="006D6741"/>
    <w:rPr>
      <w:vertAlign w:val="superscript"/>
    </w:rPr>
  </w:style>
  <w:style w:type="character" w:customStyle="1" w:styleId="Heading3Char">
    <w:name w:val="Heading 3 Char"/>
    <w:basedOn w:val="DefaultParagraphFont"/>
    <w:link w:val="Heading3"/>
    <w:uiPriority w:val="9"/>
    <w:rsid w:val="0063555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069FE"/>
    <w:pPr>
      <w:tabs>
        <w:tab w:val="left" w:pos="1320"/>
        <w:tab w:val="right" w:leader="dot" w:pos="9350"/>
      </w:tabs>
      <w:spacing w:after="100"/>
      <w:ind w:left="440"/>
    </w:pPr>
    <w:rPr>
      <w:rFonts w:ascii="Times New Roman" w:hAnsi="Times New Roman" w:cs="Times New Roman"/>
      <w:noProof/>
    </w:rPr>
  </w:style>
  <w:style w:type="paragraph" w:customStyle="1" w:styleId="Captions">
    <w:name w:val="Captions"/>
    <w:basedOn w:val="Caption"/>
    <w:link w:val="CaptionsChar"/>
    <w:qFormat/>
    <w:rsid w:val="004360C8"/>
    <w:pPr>
      <w:widowControl w:val="0"/>
      <w:autoSpaceDE w:val="0"/>
      <w:autoSpaceDN w:val="0"/>
      <w:adjustRightInd w:val="0"/>
    </w:pPr>
    <w:rPr>
      <w:rFonts w:ascii="Times New Roman" w:hAnsi="Times New Roman"/>
      <w:b/>
      <w:bCs/>
      <w:i w:val="0"/>
      <w:color w:val="auto"/>
      <w:sz w:val="20"/>
      <w:szCs w:val="20"/>
    </w:rPr>
  </w:style>
  <w:style w:type="paragraph" w:styleId="Caption">
    <w:name w:val="caption"/>
    <w:basedOn w:val="Normal"/>
    <w:next w:val="Normal"/>
    <w:link w:val="CaptionChar"/>
    <w:uiPriority w:val="35"/>
    <w:unhideWhenUsed/>
    <w:qFormat/>
    <w:rsid w:val="009C789D"/>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rsid w:val="009C789D"/>
    <w:rPr>
      <w:i/>
      <w:iCs/>
      <w:color w:val="44546A" w:themeColor="text2"/>
      <w:sz w:val="18"/>
      <w:szCs w:val="18"/>
    </w:rPr>
  </w:style>
  <w:style w:type="character" w:customStyle="1" w:styleId="CaptionsChar">
    <w:name w:val="Captions Char"/>
    <w:basedOn w:val="CaptionChar"/>
    <w:link w:val="Captions"/>
    <w:rsid w:val="004360C8"/>
    <w:rPr>
      <w:rFonts w:ascii="Times New Roman" w:hAnsi="Times New Roman"/>
      <w:b/>
      <w:bCs/>
      <w:i w:val="0"/>
      <w:iCs/>
      <w:color w:val="44546A" w:themeColor="text2"/>
      <w:sz w:val="20"/>
      <w:szCs w:val="20"/>
    </w:rPr>
  </w:style>
  <w:style w:type="table" w:styleId="TableGrid">
    <w:name w:val="Table Grid"/>
    <w:basedOn w:val="TableNormal"/>
    <w:uiPriority w:val="59"/>
    <w:rsid w:val="00574EF2"/>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4BEE"/>
    <w:pPr>
      <w:spacing w:before="100" w:beforeAutospacing="1" w:after="100" w:afterAutospacing="1" w:line="240" w:lineRule="auto"/>
    </w:pPr>
    <w:rPr>
      <w:rFonts w:ascii="宋体" w:eastAsia="宋体" w:hAnsi="宋体" w:cs="宋体"/>
      <w:sz w:val="24"/>
      <w:szCs w:val="24"/>
    </w:rPr>
  </w:style>
  <w:style w:type="paragraph" w:styleId="TableofFigures">
    <w:name w:val="table of figures"/>
    <w:basedOn w:val="Normal"/>
    <w:next w:val="Normal"/>
    <w:autoRedefine/>
    <w:uiPriority w:val="99"/>
    <w:unhideWhenUsed/>
    <w:qFormat/>
    <w:rsid w:val="009B6CC2"/>
    <w:pPr>
      <w:spacing w:after="0"/>
    </w:pPr>
    <w:rPr>
      <w:rFonts w:ascii="Times New Roman" w:hAnsi="Times New Roman"/>
      <w:b/>
      <w:sz w:val="20"/>
    </w:rPr>
  </w:style>
  <w:style w:type="paragraph" w:styleId="BalloonText">
    <w:name w:val="Balloon Text"/>
    <w:basedOn w:val="Normal"/>
    <w:link w:val="BalloonTextChar"/>
    <w:uiPriority w:val="99"/>
    <w:semiHidden/>
    <w:unhideWhenUsed/>
    <w:rsid w:val="00F20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E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5390">
      <w:bodyDiv w:val="1"/>
      <w:marLeft w:val="0"/>
      <w:marRight w:val="0"/>
      <w:marTop w:val="0"/>
      <w:marBottom w:val="0"/>
      <w:divBdr>
        <w:top w:val="none" w:sz="0" w:space="0" w:color="auto"/>
        <w:left w:val="none" w:sz="0" w:space="0" w:color="auto"/>
        <w:bottom w:val="none" w:sz="0" w:space="0" w:color="auto"/>
        <w:right w:val="none" w:sz="0" w:space="0" w:color="auto"/>
      </w:divBdr>
    </w:div>
    <w:div w:id="169758038">
      <w:bodyDiv w:val="1"/>
      <w:marLeft w:val="0"/>
      <w:marRight w:val="0"/>
      <w:marTop w:val="0"/>
      <w:marBottom w:val="0"/>
      <w:divBdr>
        <w:top w:val="none" w:sz="0" w:space="0" w:color="auto"/>
        <w:left w:val="none" w:sz="0" w:space="0" w:color="auto"/>
        <w:bottom w:val="none" w:sz="0" w:space="0" w:color="auto"/>
        <w:right w:val="none" w:sz="0" w:space="0" w:color="auto"/>
      </w:divBdr>
    </w:div>
    <w:div w:id="194196943">
      <w:bodyDiv w:val="1"/>
      <w:marLeft w:val="0"/>
      <w:marRight w:val="0"/>
      <w:marTop w:val="0"/>
      <w:marBottom w:val="0"/>
      <w:divBdr>
        <w:top w:val="none" w:sz="0" w:space="0" w:color="auto"/>
        <w:left w:val="none" w:sz="0" w:space="0" w:color="auto"/>
        <w:bottom w:val="none" w:sz="0" w:space="0" w:color="auto"/>
        <w:right w:val="none" w:sz="0" w:space="0" w:color="auto"/>
      </w:divBdr>
    </w:div>
    <w:div w:id="256598316">
      <w:bodyDiv w:val="1"/>
      <w:marLeft w:val="0"/>
      <w:marRight w:val="0"/>
      <w:marTop w:val="0"/>
      <w:marBottom w:val="0"/>
      <w:divBdr>
        <w:top w:val="none" w:sz="0" w:space="0" w:color="auto"/>
        <w:left w:val="none" w:sz="0" w:space="0" w:color="auto"/>
        <w:bottom w:val="none" w:sz="0" w:space="0" w:color="auto"/>
        <w:right w:val="none" w:sz="0" w:space="0" w:color="auto"/>
      </w:divBdr>
    </w:div>
    <w:div w:id="338385569">
      <w:bodyDiv w:val="1"/>
      <w:marLeft w:val="0"/>
      <w:marRight w:val="0"/>
      <w:marTop w:val="0"/>
      <w:marBottom w:val="0"/>
      <w:divBdr>
        <w:top w:val="none" w:sz="0" w:space="0" w:color="auto"/>
        <w:left w:val="none" w:sz="0" w:space="0" w:color="auto"/>
        <w:bottom w:val="none" w:sz="0" w:space="0" w:color="auto"/>
        <w:right w:val="none" w:sz="0" w:space="0" w:color="auto"/>
      </w:divBdr>
    </w:div>
    <w:div w:id="349796000">
      <w:bodyDiv w:val="1"/>
      <w:marLeft w:val="0"/>
      <w:marRight w:val="0"/>
      <w:marTop w:val="0"/>
      <w:marBottom w:val="0"/>
      <w:divBdr>
        <w:top w:val="none" w:sz="0" w:space="0" w:color="auto"/>
        <w:left w:val="none" w:sz="0" w:space="0" w:color="auto"/>
        <w:bottom w:val="none" w:sz="0" w:space="0" w:color="auto"/>
        <w:right w:val="none" w:sz="0" w:space="0" w:color="auto"/>
      </w:divBdr>
      <w:divsChild>
        <w:div w:id="1942519364">
          <w:marLeft w:val="0"/>
          <w:marRight w:val="0"/>
          <w:marTop w:val="0"/>
          <w:marBottom w:val="100"/>
          <w:divBdr>
            <w:top w:val="none" w:sz="0" w:space="0" w:color="auto"/>
            <w:left w:val="none" w:sz="0" w:space="0" w:color="auto"/>
            <w:bottom w:val="none" w:sz="0" w:space="0" w:color="auto"/>
            <w:right w:val="none" w:sz="0" w:space="0" w:color="auto"/>
          </w:divBdr>
        </w:div>
      </w:divsChild>
    </w:div>
    <w:div w:id="357585174">
      <w:bodyDiv w:val="1"/>
      <w:marLeft w:val="0"/>
      <w:marRight w:val="0"/>
      <w:marTop w:val="0"/>
      <w:marBottom w:val="0"/>
      <w:divBdr>
        <w:top w:val="none" w:sz="0" w:space="0" w:color="auto"/>
        <w:left w:val="none" w:sz="0" w:space="0" w:color="auto"/>
        <w:bottom w:val="none" w:sz="0" w:space="0" w:color="auto"/>
        <w:right w:val="none" w:sz="0" w:space="0" w:color="auto"/>
      </w:divBdr>
    </w:div>
    <w:div w:id="380248914">
      <w:bodyDiv w:val="1"/>
      <w:marLeft w:val="0"/>
      <w:marRight w:val="0"/>
      <w:marTop w:val="0"/>
      <w:marBottom w:val="0"/>
      <w:divBdr>
        <w:top w:val="none" w:sz="0" w:space="0" w:color="auto"/>
        <w:left w:val="none" w:sz="0" w:space="0" w:color="auto"/>
        <w:bottom w:val="none" w:sz="0" w:space="0" w:color="auto"/>
        <w:right w:val="none" w:sz="0" w:space="0" w:color="auto"/>
      </w:divBdr>
    </w:div>
    <w:div w:id="406658558">
      <w:bodyDiv w:val="1"/>
      <w:marLeft w:val="0"/>
      <w:marRight w:val="0"/>
      <w:marTop w:val="0"/>
      <w:marBottom w:val="0"/>
      <w:divBdr>
        <w:top w:val="none" w:sz="0" w:space="0" w:color="auto"/>
        <w:left w:val="none" w:sz="0" w:space="0" w:color="auto"/>
        <w:bottom w:val="none" w:sz="0" w:space="0" w:color="auto"/>
        <w:right w:val="none" w:sz="0" w:space="0" w:color="auto"/>
      </w:divBdr>
    </w:div>
    <w:div w:id="469590683">
      <w:bodyDiv w:val="1"/>
      <w:marLeft w:val="0"/>
      <w:marRight w:val="0"/>
      <w:marTop w:val="0"/>
      <w:marBottom w:val="0"/>
      <w:divBdr>
        <w:top w:val="none" w:sz="0" w:space="0" w:color="auto"/>
        <w:left w:val="none" w:sz="0" w:space="0" w:color="auto"/>
        <w:bottom w:val="none" w:sz="0" w:space="0" w:color="auto"/>
        <w:right w:val="none" w:sz="0" w:space="0" w:color="auto"/>
      </w:divBdr>
    </w:div>
    <w:div w:id="483008714">
      <w:bodyDiv w:val="1"/>
      <w:marLeft w:val="0"/>
      <w:marRight w:val="0"/>
      <w:marTop w:val="0"/>
      <w:marBottom w:val="0"/>
      <w:divBdr>
        <w:top w:val="none" w:sz="0" w:space="0" w:color="auto"/>
        <w:left w:val="none" w:sz="0" w:space="0" w:color="auto"/>
        <w:bottom w:val="none" w:sz="0" w:space="0" w:color="auto"/>
        <w:right w:val="none" w:sz="0" w:space="0" w:color="auto"/>
      </w:divBdr>
    </w:div>
    <w:div w:id="511072564">
      <w:bodyDiv w:val="1"/>
      <w:marLeft w:val="0"/>
      <w:marRight w:val="0"/>
      <w:marTop w:val="0"/>
      <w:marBottom w:val="0"/>
      <w:divBdr>
        <w:top w:val="none" w:sz="0" w:space="0" w:color="auto"/>
        <w:left w:val="none" w:sz="0" w:space="0" w:color="auto"/>
        <w:bottom w:val="none" w:sz="0" w:space="0" w:color="auto"/>
        <w:right w:val="none" w:sz="0" w:space="0" w:color="auto"/>
      </w:divBdr>
      <w:divsChild>
        <w:div w:id="628098018">
          <w:marLeft w:val="0"/>
          <w:marRight w:val="0"/>
          <w:marTop w:val="240"/>
          <w:marBottom w:val="480"/>
          <w:divBdr>
            <w:top w:val="none" w:sz="0" w:space="0" w:color="auto"/>
            <w:left w:val="none" w:sz="0" w:space="0" w:color="auto"/>
            <w:bottom w:val="none" w:sz="0" w:space="0" w:color="auto"/>
            <w:right w:val="none" w:sz="0" w:space="0" w:color="auto"/>
          </w:divBdr>
        </w:div>
        <w:div w:id="1992442171">
          <w:marLeft w:val="0"/>
          <w:marRight w:val="0"/>
          <w:marTop w:val="240"/>
          <w:marBottom w:val="480"/>
          <w:divBdr>
            <w:top w:val="none" w:sz="0" w:space="0" w:color="auto"/>
            <w:left w:val="none" w:sz="0" w:space="0" w:color="auto"/>
            <w:bottom w:val="none" w:sz="0" w:space="0" w:color="auto"/>
            <w:right w:val="none" w:sz="0" w:space="0" w:color="auto"/>
          </w:divBdr>
        </w:div>
        <w:div w:id="163715328">
          <w:marLeft w:val="0"/>
          <w:marRight w:val="0"/>
          <w:marTop w:val="240"/>
          <w:marBottom w:val="480"/>
          <w:divBdr>
            <w:top w:val="none" w:sz="0" w:space="0" w:color="auto"/>
            <w:left w:val="none" w:sz="0" w:space="0" w:color="auto"/>
            <w:bottom w:val="none" w:sz="0" w:space="0" w:color="auto"/>
            <w:right w:val="none" w:sz="0" w:space="0" w:color="auto"/>
          </w:divBdr>
        </w:div>
      </w:divsChild>
    </w:div>
    <w:div w:id="543560094">
      <w:bodyDiv w:val="1"/>
      <w:marLeft w:val="0"/>
      <w:marRight w:val="0"/>
      <w:marTop w:val="0"/>
      <w:marBottom w:val="0"/>
      <w:divBdr>
        <w:top w:val="none" w:sz="0" w:space="0" w:color="auto"/>
        <w:left w:val="none" w:sz="0" w:space="0" w:color="auto"/>
        <w:bottom w:val="none" w:sz="0" w:space="0" w:color="auto"/>
        <w:right w:val="none" w:sz="0" w:space="0" w:color="auto"/>
      </w:divBdr>
    </w:div>
    <w:div w:id="579757315">
      <w:bodyDiv w:val="1"/>
      <w:marLeft w:val="0"/>
      <w:marRight w:val="0"/>
      <w:marTop w:val="0"/>
      <w:marBottom w:val="0"/>
      <w:divBdr>
        <w:top w:val="none" w:sz="0" w:space="0" w:color="auto"/>
        <w:left w:val="none" w:sz="0" w:space="0" w:color="auto"/>
        <w:bottom w:val="none" w:sz="0" w:space="0" w:color="auto"/>
        <w:right w:val="none" w:sz="0" w:space="0" w:color="auto"/>
      </w:divBdr>
    </w:div>
    <w:div w:id="587813669">
      <w:bodyDiv w:val="1"/>
      <w:marLeft w:val="0"/>
      <w:marRight w:val="0"/>
      <w:marTop w:val="0"/>
      <w:marBottom w:val="0"/>
      <w:divBdr>
        <w:top w:val="none" w:sz="0" w:space="0" w:color="auto"/>
        <w:left w:val="none" w:sz="0" w:space="0" w:color="auto"/>
        <w:bottom w:val="none" w:sz="0" w:space="0" w:color="auto"/>
        <w:right w:val="none" w:sz="0" w:space="0" w:color="auto"/>
      </w:divBdr>
    </w:div>
    <w:div w:id="600063654">
      <w:bodyDiv w:val="1"/>
      <w:marLeft w:val="0"/>
      <w:marRight w:val="0"/>
      <w:marTop w:val="0"/>
      <w:marBottom w:val="0"/>
      <w:divBdr>
        <w:top w:val="none" w:sz="0" w:space="0" w:color="auto"/>
        <w:left w:val="none" w:sz="0" w:space="0" w:color="auto"/>
        <w:bottom w:val="none" w:sz="0" w:space="0" w:color="auto"/>
        <w:right w:val="none" w:sz="0" w:space="0" w:color="auto"/>
      </w:divBdr>
    </w:div>
    <w:div w:id="639697559">
      <w:bodyDiv w:val="1"/>
      <w:marLeft w:val="0"/>
      <w:marRight w:val="0"/>
      <w:marTop w:val="0"/>
      <w:marBottom w:val="0"/>
      <w:divBdr>
        <w:top w:val="none" w:sz="0" w:space="0" w:color="auto"/>
        <w:left w:val="none" w:sz="0" w:space="0" w:color="auto"/>
        <w:bottom w:val="none" w:sz="0" w:space="0" w:color="auto"/>
        <w:right w:val="none" w:sz="0" w:space="0" w:color="auto"/>
      </w:divBdr>
    </w:div>
    <w:div w:id="661549476">
      <w:bodyDiv w:val="1"/>
      <w:marLeft w:val="0"/>
      <w:marRight w:val="0"/>
      <w:marTop w:val="0"/>
      <w:marBottom w:val="0"/>
      <w:divBdr>
        <w:top w:val="none" w:sz="0" w:space="0" w:color="auto"/>
        <w:left w:val="none" w:sz="0" w:space="0" w:color="auto"/>
        <w:bottom w:val="none" w:sz="0" w:space="0" w:color="auto"/>
        <w:right w:val="none" w:sz="0" w:space="0" w:color="auto"/>
      </w:divBdr>
    </w:div>
    <w:div w:id="675037968">
      <w:bodyDiv w:val="1"/>
      <w:marLeft w:val="0"/>
      <w:marRight w:val="0"/>
      <w:marTop w:val="0"/>
      <w:marBottom w:val="0"/>
      <w:divBdr>
        <w:top w:val="none" w:sz="0" w:space="0" w:color="auto"/>
        <w:left w:val="none" w:sz="0" w:space="0" w:color="auto"/>
        <w:bottom w:val="none" w:sz="0" w:space="0" w:color="auto"/>
        <w:right w:val="none" w:sz="0" w:space="0" w:color="auto"/>
      </w:divBdr>
    </w:div>
    <w:div w:id="677198146">
      <w:bodyDiv w:val="1"/>
      <w:marLeft w:val="0"/>
      <w:marRight w:val="0"/>
      <w:marTop w:val="0"/>
      <w:marBottom w:val="0"/>
      <w:divBdr>
        <w:top w:val="none" w:sz="0" w:space="0" w:color="auto"/>
        <w:left w:val="none" w:sz="0" w:space="0" w:color="auto"/>
        <w:bottom w:val="none" w:sz="0" w:space="0" w:color="auto"/>
        <w:right w:val="none" w:sz="0" w:space="0" w:color="auto"/>
      </w:divBdr>
    </w:div>
    <w:div w:id="716441420">
      <w:bodyDiv w:val="1"/>
      <w:marLeft w:val="0"/>
      <w:marRight w:val="0"/>
      <w:marTop w:val="0"/>
      <w:marBottom w:val="0"/>
      <w:divBdr>
        <w:top w:val="none" w:sz="0" w:space="0" w:color="auto"/>
        <w:left w:val="none" w:sz="0" w:space="0" w:color="auto"/>
        <w:bottom w:val="none" w:sz="0" w:space="0" w:color="auto"/>
        <w:right w:val="none" w:sz="0" w:space="0" w:color="auto"/>
      </w:divBdr>
    </w:div>
    <w:div w:id="754282645">
      <w:bodyDiv w:val="1"/>
      <w:marLeft w:val="0"/>
      <w:marRight w:val="0"/>
      <w:marTop w:val="0"/>
      <w:marBottom w:val="0"/>
      <w:divBdr>
        <w:top w:val="none" w:sz="0" w:space="0" w:color="auto"/>
        <w:left w:val="none" w:sz="0" w:space="0" w:color="auto"/>
        <w:bottom w:val="none" w:sz="0" w:space="0" w:color="auto"/>
        <w:right w:val="none" w:sz="0" w:space="0" w:color="auto"/>
      </w:divBdr>
    </w:div>
    <w:div w:id="767775225">
      <w:bodyDiv w:val="1"/>
      <w:marLeft w:val="0"/>
      <w:marRight w:val="0"/>
      <w:marTop w:val="0"/>
      <w:marBottom w:val="0"/>
      <w:divBdr>
        <w:top w:val="none" w:sz="0" w:space="0" w:color="auto"/>
        <w:left w:val="none" w:sz="0" w:space="0" w:color="auto"/>
        <w:bottom w:val="none" w:sz="0" w:space="0" w:color="auto"/>
        <w:right w:val="none" w:sz="0" w:space="0" w:color="auto"/>
      </w:divBdr>
      <w:divsChild>
        <w:div w:id="514996683">
          <w:marLeft w:val="0"/>
          <w:marRight w:val="0"/>
          <w:marTop w:val="0"/>
          <w:marBottom w:val="100"/>
          <w:divBdr>
            <w:top w:val="none" w:sz="0" w:space="0" w:color="auto"/>
            <w:left w:val="none" w:sz="0" w:space="0" w:color="auto"/>
            <w:bottom w:val="none" w:sz="0" w:space="0" w:color="auto"/>
            <w:right w:val="none" w:sz="0" w:space="0" w:color="auto"/>
          </w:divBdr>
        </w:div>
      </w:divsChild>
    </w:div>
    <w:div w:id="852453852">
      <w:bodyDiv w:val="1"/>
      <w:marLeft w:val="0"/>
      <w:marRight w:val="0"/>
      <w:marTop w:val="0"/>
      <w:marBottom w:val="0"/>
      <w:divBdr>
        <w:top w:val="none" w:sz="0" w:space="0" w:color="auto"/>
        <w:left w:val="none" w:sz="0" w:space="0" w:color="auto"/>
        <w:bottom w:val="none" w:sz="0" w:space="0" w:color="auto"/>
        <w:right w:val="none" w:sz="0" w:space="0" w:color="auto"/>
      </w:divBdr>
    </w:div>
    <w:div w:id="853305022">
      <w:bodyDiv w:val="1"/>
      <w:marLeft w:val="0"/>
      <w:marRight w:val="0"/>
      <w:marTop w:val="0"/>
      <w:marBottom w:val="0"/>
      <w:divBdr>
        <w:top w:val="none" w:sz="0" w:space="0" w:color="auto"/>
        <w:left w:val="none" w:sz="0" w:space="0" w:color="auto"/>
        <w:bottom w:val="none" w:sz="0" w:space="0" w:color="auto"/>
        <w:right w:val="none" w:sz="0" w:space="0" w:color="auto"/>
      </w:divBdr>
    </w:div>
    <w:div w:id="875049049">
      <w:bodyDiv w:val="1"/>
      <w:marLeft w:val="0"/>
      <w:marRight w:val="0"/>
      <w:marTop w:val="0"/>
      <w:marBottom w:val="0"/>
      <w:divBdr>
        <w:top w:val="none" w:sz="0" w:space="0" w:color="auto"/>
        <w:left w:val="none" w:sz="0" w:space="0" w:color="auto"/>
        <w:bottom w:val="none" w:sz="0" w:space="0" w:color="auto"/>
        <w:right w:val="none" w:sz="0" w:space="0" w:color="auto"/>
      </w:divBdr>
    </w:div>
    <w:div w:id="893929243">
      <w:bodyDiv w:val="1"/>
      <w:marLeft w:val="0"/>
      <w:marRight w:val="0"/>
      <w:marTop w:val="0"/>
      <w:marBottom w:val="0"/>
      <w:divBdr>
        <w:top w:val="none" w:sz="0" w:space="0" w:color="auto"/>
        <w:left w:val="none" w:sz="0" w:space="0" w:color="auto"/>
        <w:bottom w:val="none" w:sz="0" w:space="0" w:color="auto"/>
        <w:right w:val="none" w:sz="0" w:space="0" w:color="auto"/>
      </w:divBdr>
    </w:div>
    <w:div w:id="925579598">
      <w:bodyDiv w:val="1"/>
      <w:marLeft w:val="0"/>
      <w:marRight w:val="0"/>
      <w:marTop w:val="0"/>
      <w:marBottom w:val="0"/>
      <w:divBdr>
        <w:top w:val="none" w:sz="0" w:space="0" w:color="auto"/>
        <w:left w:val="none" w:sz="0" w:space="0" w:color="auto"/>
        <w:bottom w:val="none" w:sz="0" w:space="0" w:color="auto"/>
        <w:right w:val="none" w:sz="0" w:space="0" w:color="auto"/>
      </w:divBdr>
    </w:div>
    <w:div w:id="938757933">
      <w:bodyDiv w:val="1"/>
      <w:marLeft w:val="0"/>
      <w:marRight w:val="0"/>
      <w:marTop w:val="0"/>
      <w:marBottom w:val="0"/>
      <w:divBdr>
        <w:top w:val="none" w:sz="0" w:space="0" w:color="auto"/>
        <w:left w:val="none" w:sz="0" w:space="0" w:color="auto"/>
        <w:bottom w:val="none" w:sz="0" w:space="0" w:color="auto"/>
        <w:right w:val="none" w:sz="0" w:space="0" w:color="auto"/>
      </w:divBdr>
    </w:div>
    <w:div w:id="997264123">
      <w:bodyDiv w:val="1"/>
      <w:marLeft w:val="0"/>
      <w:marRight w:val="0"/>
      <w:marTop w:val="0"/>
      <w:marBottom w:val="0"/>
      <w:divBdr>
        <w:top w:val="none" w:sz="0" w:space="0" w:color="auto"/>
        <w:left w:val="none" w:sz="0" w:space="0" w:color="auto"/>
        <w:bottom w:val="none" w:sz="0" w:space="0" w:color="auto"/>
        <w:right w:val="none" w:sz="0" w:space="0" w:color="auto"/>
      </w:divBdr>
    </w:div>
    <w:div w:id="1090002310">
      <w:bodyDiv w:val="1"/>
      <w:marLeft w:val="0"/>
      <w:marRight w:val="0"/>
      <w:marTop w:val="0"/>
      <w:marBottom w:val="0"/>
      <w:divBdr>
        <w:top w:val="none" w:sz="0" w:space="0" w:color="auto"/>
        <w:left w:val="none" w:sz="0" w:space="0" w:color="auto"/>
        <w:bottom w:val="none" w:sz="0" w:space="0" w:color="auto"/>
        <w:right w:val="none" w:sz="0" w:space="0" w:color="auto"/>
      </w:divBdr>
    </w:div>
    <w:div w:id="1102339451">
      <w:bodyDiv w:val="1"/>
      <w:marLeft w:val="0"/>
      <w:marRight w:val="0"/>
      <w:marTop w:val="0"/>
      <w:marBottom w:val="0"/>
      <w:divBdr>
        <w:top w:val="none" w:sz="0" w:space="0" w:color="auto"/>
        <w:left w:val="none" w:sz="0" w:space="0" w:color="auto"/>
        <w:bottom w:val="none" w:sz="0" w:space="0" w:color="auto"/>
        <w:right w:val="none" w:sz="0" w:space="0" w:color="auto"/>
      </w:divBdr>
    </w:div>
    <w:div w:id="1110200843">
      <w:bodyDiv w:val="1"/>
      <w:marLeft w:val="0"/>
      <w:marRight w:val="0"/>
      <w:marTop w:val="0"/>
      <w:marBottom w:val="0"/>
      <w:divBdr>
        <w:top w:val="none" w:sz="0" w:space="0" w:color="auto"/>
        <w:left w:val="none" w:sz="0" w:space="0" w:color="auto"/>
        <w:bottom w:val="none" w:sz="0" w:space="0" w:color="auto"/>
        <w:right w:val="none" w:sz="0" w:space="0" w:color="auto"/>
      </w:divBdr>
    </w:div>
    <w:div w:id="1136996727">
      <w:bodyDiv w:val="1"/>
      <w:marLeft w:val="0"/>
      <w:marRight w:val="0"/>
      <w:marTop w:val="0"/>
      <w:marBottom w:val="0"/>
      <w:divBdr>
        <w:top w:val="none" w:sz="0" w:space="0" w:color="auto"/>
        <w:left w:val="none" w:sz="0" w:space="0" w:color="auto"/>
        <w:bottom w:val="none" w:sz="0" w:space="0" w:color="auto"/>
        <w:right w:val="none" w:sz="0" w:space="0" w:color="auto"/>
      </w:divBdr>
    </w:div>
    <w:div w:id="1188250104">
      <w:bodyDiv w:val="1"/>
      <w:marLeft w:val="0"/>
      <w:marRight w:val="0"/>
      <w:marTop w:val="0"/>
      <w:marBottom w:val="0"/>
      <w:divBdr>
        <w:top w:val="none" w:sz="0" w:space="0" w:color="auto"/>
        <w:left w:val="none" w:sz="0" w:space="0" w:color="auto"/>
        <w:bottom w:val="none" w:sz="0" w:space="0" w:color="auto"/>
        <w:right w:val="none" w:sz="0" w:space="0" w:color="auto"/>
      </w:divBdr>
    </w:div>
    <w:div w:id="1278373103">
      <w:bodyDiv w:val="1"/>
      <w:marLeft w:val="0"/>
      <w:marRight w:val="0"/>
      <w:marTop w:val="0"/>
      <w:marBottom w:val="0"/>
      <w:divBdr>
        <w:top w:val="none" w:sz="0" w:space="0" w:color="auto"/>
        <w:left w:val="none" w:sz="0" w:space="0" w:color="auto"/>
        <w:bottom w:val="none" w:sz="0" w:space="0" w:color="auto"/>
        <w:right w:val="none" w:sz="0" w:space="0" w:color="auto"/>
      </w:divBdr>
    </w:div>
    <w:div w:id="1332176683">
      <w:bodyDiv w:val="1"/>
      <w:marLeft w:val="0"/>
      <w:marRight w:val="0"/>
      <w:marTop w:val="0"/>
      <w:marBottom w:val="0"/>
      <w:divBdr>
        <w:top w:val="none" w:sz="0" w:space="0" w:color="auto"/>
        <w:left w:val="none" w:sz="0" w:space="0" w:color="auto"/>
        <w:bottom w:val="none" w:sz="0" w:space="0" w:color="auto"/>
        <w:right w:val="none" w:sz="0" w:space="0" w:color="auto"/>
      </w:divBdr>
    </w:div>
    <w:div w:id="1333341485">
      <w:bodyDiv w:val="1"/>
      <w:marLeft w:val="0"/>
      <w:marRight w:val="0"/>
      <w:marTop w:val="0"/>
      <w:marBottom w:val="0"/>
      <w:divBdr>
        <w:top w:val="none" w:sz="0" w:space="0" w:color="auto"/>
        <w:left w:val="none" w:sz="0" w:space="0" w:color="auto"/>
        <w:bottom w:val="none" w:sz="0" w:space="0" w:color="auto"/>
        <w:right w:val="none" w:sz="0" w:space="0" w:color="auto"/>
      </w:divBdr>
    </w:div>
    <w:div w:id="1377392354">
      <w:bodyDiv w:val="1"/>
      <w:marLeft w:val="0"/>
      <w:marRight w:val="0"/>
      <w:marTop w:val="0"/>
      <w:marBottom w:val="0"/>
      <w:divBdr>
        <w:top w:val="none" w:sz="0" w:space="0" w:color="auto"/>
        <w:left w:val="none" w:sz="0" w:space="0" w:color="auto"/>
        <w:bottom w:val="none" w:sz="0" w:space="0" w:color="auto"/>
        <w:right w:val="none" w:sz="0" w:space="0" w:color="auto"/>
      </w:divBdr>
    </w:div>
    <w:div w:id="1441293151">
      <w:bodyDiv w:val="1"/>
      <w:marLeft w:val="0"/>
      <w:marRight w:val="0"/>
      <w:marTop w:val="0"/>
      <w:marBottom w:val="0"/>
      <w:divBdr>
        <w:top w:val="none" w:sz="0" w:space="0" w:color="auto"/>
        <w:left w:val="none" w:sz="0" w:space="0" w:color="auto"/>
        <w:bottom w:val="none" w:sz="0" w:space="0" w:color="auto"/>
        <w:right w:val="none" w:sz="0" w:space="0" w:color="auto"/>
      </w:divBdr>
    </w:div>
    <w:div w:id="1552885659">
      <w:bodyDiv w:val="1"/>
      <w:marLeft w:val="0"/>
      <w:marRight w:val="0"/>
      <w:marTop w:val="0"/>
      <w:marBottom w:val="0"/>
      <w:divBdr>
        <w:top w:val="none" w:sz="0" w:space="0" w:color="auto"/>
        <w:left w:val="none" w:sz="0" w:space="0" w:color="auto"/>
        <w:bottom w:val="none" w:sz="0" w:space="0" w:color="auto"/>
        <w:right w:val="none" w:sz="0" w:space="0" w:color="auto"/>
      </w:divBdr>
    </w:div>
    <w:div w:id="1599944372">
      <w:bodyDiv w:val="1"/>
      <w:marLeft w:val="0"/>
      <w:marRight w:val="0"/>
      <w:marTop w:val="0"/>
      <w:marBottom w:val="0"/>
      <w:divBdr>
        <w:top w:val="none" w:sz="0" w:space="0" w:color="auto"/>
        <w:left w:val="none" w:sz="0" w:space="0" w:color="auto"/>
        <w:bottom w:val="none" w:sz="0" w:space="0" w:color="auto"/>
        <w:right w:val="none" w:sz="0" w:space="0" w:color="auto"/>
      </w:divBdr>
    </w:div>
    <w:div w:id="1609703428">
      <w:bodyDiv w:val="1"/>
      <w:marLeft w:val="0"/>
      <w:marRight w:val="0"/>
      <w:marTop w:val="0"/>
      <w:marBottom w:val="0"/>
      <w:divBdr>
        <w:top w:val="none" w:sz="0" w:space="0" w:color="auto"/>
        <w:left w:val="none" w:sz="0" w:space="0" w:color="auto"/>
        <w:bottom w:val="none" w:sz="0" w:space="0" w:color="auto"/>
        <w:right w:val="none" w:sz="0" w:space="0" w:color="auto"/>
      </w:divBdr>
    </w:div>
    <w:div w:id="1651134939">
      <w:bodyDiv w:val="1"/>
      <w:marLeft w:val="0"/>
      <w:marRight w:val="0"/>
      <w:marTop w:val="0"/>
      <w:marBottom w:val="0"/>
      <w:divBdr>
        <w:top w:val="none" w:sz="0" w:space="0" w:color="auto"/>
        <w:left w:val="none" w:sz="0" w:space="0" w:color="auto"/>
        <w:bottom w:val="none" w:sz="0" w:space="0" w:color="auto"/>
        <w:right w:val="none" w:sz="0" w:space="0" w:color="auto"/>
      </w:divBdr>
    </w:div>
    <w:div w:id="1789008869">
      <w:bodyDiv w:val="1"/>
      <w:marLeft w:val="0"/>
      <w:marRight w:val="0"/>
      <w:marTop w:val="0"/>
      <w:marBottom w:val="0"/>
      <w:divBdr>
        <w:top w:val="none" w:sz="0" w:space="0" w:color="auto"/>
        <w:left w:val="none" w:sz="0" w:space="0" w:color="auto"/>
        <w:bottom w:val="none" w:sz="0" w:space="0" w:color="auto"/>
        <w:right w:val="none" w:sz="0" w:space="0" w:color="auto"/>
      </w:divBdr>
    </w:div>
    <w:div w:id="1803764017">
      <w:bodyDiv w:val="1"/>
      <w:marLeft w:val="0"/>
      <w:marRight w:val="0"/>
      <w:marTop w:val="0"/>
      <w:marBottom w:val="0"/>
      <w:divBdr>
        <w:top w:val="none" w:sz="0" w:space="0" w:color="auto"/>
        <w:left w:val="none" w:sz="0" w:space="0" w:color="auto"/>
        <w:bottom w:val="none" w:sz="0" w:space="0" w:color="auto"/>
        <w:right w:val="none" w:sz="0" w:space="0" w:color="auto"/>
      </w:divBdr>
    </w:div>
    <w:div w:id="1860728624">
      <w:bodyDiv w:val="1"/>
      <w:marLeft w:val="0"/>
      <w:marRight w:val="0"/>
      <w:marTop w:val="0"/>
      <w:marBottom w:val="0"/>
      <w:divBdr>
        <w:top w:val="none" w:sz="0" w:space="0" w:color="auto"/>
        <w:left w:val="none" w:sz="0" w:space="0" w:color="auto"/>
        <w:bottom w:val="none" w:sz="0" w:space="0" w:color="auto"/>
        <w:right w:val="none" w:sz="0" w:space="0" w:color="auto"/>
      </w:divBdr>
    </w:div>
    <w:div w:id="1870413839">
      <w:bodyDiv w:val="1"/>
      <w:marLeft w:val="0"/>
      <w:marRight w:val="0"/>
      <w:marTop w:val="0"/>
      <w:marBottom w:val="0"/>
      <w:divBdr>
        <w:top w:val="none" w:sz="0" w:space="0" w:color="auto"/>
        <w:left w:val="none" w:sz="0" w:space="0" w:color="auto"/>
        <w:bottom w:val="none" w:sz="0" w:space="0" w:color="auto"/>
        <w:right w:val="none" w:sz="0" w:space="0" w:color="auto"/>
      </w:divBdr>
    </w:div>
    <w:div w:id="1870602159">
      <w:bodyDiv w:val="1"/>
      <w:marLeft w:val="0"/>
      <w:marRight w:val="0"/>
      <w:marTop w:val="0"/>
      <w:marBottom w:val="0"/>
      <w:divBdr>
        <w:top w:val="none" w:sz="0" w:space="0" w:color="auto"/>
        <w:left w:val="none" w:sz="0" w:space="0" w:color="auto"/>
        <w:bottom w:val="none" w:sz="0" w:space="0" w:color="auto"/>
        <w:right w:val="none" w:sz="0" w:space="0" w:color="auto"/>
      </w:divBdr>
    </w:div>
    <w:div w:id="1908686660">
      <w:bodyDiv w:val="1"/>
      <w:marLeft w:val="0"/>
      <w:marRight w:val="0"/>
      <w:marTop w:val="0"/>
      <w:marBottom w:val="0"/>
      <w:divBdr>
        <w:top w:val="none" w:sz="0" w:space="0" w:color="auto"/>
        <w:left w:val="none" w:sz="0" w:space="0" w:color="auto"/>
        <w:bottom w:val="none" w:sz="0" w:space="0" w:color="auto"/>
        <w:right w:val="none" w:sz="0" w:space="0" w:color="auto"/>
      </w:divBdr>
    </w:div>
    <w:div w:id="1936742764">
      <w:bodyDiv w:val="1"/>
      <w:marLeft w:val="0"/>
      <w:marRight w:val="0"/>
      <w:marTop w:val="0"/>
      <w:marBottom w:val="0"/>
      <w:divBdr>
        <w:top w:val="none" w:sz="0" w:space="0" w:color="auto"/>
        <w:left w:val="none" w:sz="0" w:space="0" w:color="auto"/>
        <w:bottom w:val="none" w:sz="0" w:space="0" w:color="auto"/>
        <w:right w:val="none" w:sz="0" w:space="0" w:color="auto"/>
      </w:divBdr>
      <w:divsChild>
        <w:div w:id="787549078">
          <w:marLeft w:val="0"/>
          <w:marRight w:val="0"/>
          <w:marTop w:val="0"/>
          <w:marBottom w:val="100"/>
          <w:divBdr>
            <w:top w:val="none" w:sz="0" w:space="0" w:color="auto"/>
            <w:left w:val="none" w:sz="0" w:space="0" w:color="auto"/>
            <w:bottom w:val="none" w:sz="0" w:space="0" w:color="auto"/>
            <w:right w:val="none" w:sz="0" w:space="0" w:color="auto"/>
          </w:divBdr>
        </w:div>
      </w:divsChild>
    </w:div>
    <w:div w:id="1948152346">
      <w:bodyDiv w:val="1"/>
      <w:marLeft w:val="0"/>
      <w:marRight w:val="0"/>
      <w:marTop w:val="0"/>
      <w:marBottom w:val="0"/>
      <w:divBdr>
        <w:top w:val="none" w:sz="0" w:space="0" w:color="auto"/>
        <w:left w:val="none" w:sz="0" w:space="0" w:color="auto"/>
        <w:bottom w:val="none" w:sz="0" w:space="0" w:color="auto"/>
        <w:right w:val="none" w:sz="0" w:space="0" w:color="auto"/>
      </w:divBdr>
    </w:div>
    <w:div w:id="1960523712">
      <w:bodyDiv w:val="1"/>
      <w:marLeft w:val="0"/>
      <w:marRight w:val="0"/>
      <w:marTop w:val="0"/>
      <w:marBottom w:val="0"/>
      <w:divBdr>
        <w:top w:val="none" w:sz="0" w:space="0" w:color="auto"/>
        <w:left w:val="none" w:sz="0" w:space="0" w:color="auto"/>
        <w:bottom w:val="none" w:sz="0" w:space="0" w:color="auto"/>
        <w:right w:val="none" w:sz="0" w:space="0" w:color="auto"/>
      </w:divBdr>
    </w:div>
    <w:div w:id="2050104260">
      <w:bodyDiv w:val="1"/>
      <w:marLeft w:val="0"/>
      <w:marRight w:val="0"/>
      <w:marTop w:val="0"/>
      <w:marBottom w:val="0"/>
      <w:divBdr>
        <w:top w:val="none" w:sz="0" w:space="0" w:color="auto"/>
        <w:left w:val="none" w:sz="0" w:space="0" w:color="auto"/>
        <w:bottom w:val="none" w:sz="0" w:space="0" w:color="auto"/>
        <w:right w:val="none" w:sz="0" w:space="0" w:color="auto"/>
      </w:divBdr>
    </w:div>
    <w:div w:id="2107189190">
      <w:bodyDiv w:val="1"/>
      <w:marLeft w:val="0"/>
      <w:marRight w:val="0"/>
      <w:marTop w:val="0"/>
      <w:marBottom w:val="0"/>
      <w:divBdr>
        <w:top w:val="none" w:sz="0" w:space="0" w:color="auto"/>
        <w:left w:val="none" w:sz="0" w:space="0" w:color="auto"/>
        <w:bottom w:val="none" w:sz="0" w:space="0" w:color="auto"/>
        <w:right w:val="none" w:sz="0" w:space="0" w:color="auto"/>
      </w:divBdr>
    </w:div>
    <w:div w:id="214388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D7801-CB65-4FC1-84E1-F599AB781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Pages>
  <Words>150521</Words>
  <Characters>857972</Characters>
  <Application>Microsoft Office Word</Application>
  <DocSecurity>0</DocSecurity>
  <Lines>7149</Lines>
  <Paragraphs>2012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Xu</dc:creator>
  <cp:keywords/>
  <dc:description/>
  <cp:lastModifiedBy>Lu, Xu</cp:lastModifiedBy>
  <cp:revision>471</cp:revision>
  <cp:lastPrinted>2019-11-27T05:41:00Z</cp:lastPrinted>
  <dcterms:created xsi:type="dcterms:W3CDTF">2019-10-01T19:34:00Z</dcterms:created>
  <dcterms:modified xsi:type="dcterms:W3CDTF">2019-11-27T05:44:00Z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http://csl.mendeley.com/styles/28763971/american-meteorological-society</vt:lpwstr>
  </property>
  <property fmtid="{D5CDD505-2E9C-101B-9397-08002B2CF9AE}" pid="5" name="Mendeley Recent Style Name 1_1">
    <vt:lpwstr>American Meteorological Society - Larissa Reames</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6a5f2ca1-3172-31c0-b278-12fbfc126b3b</vt:lpwstr>
  </property>
  <property fmtid="{D5CDD505-2E9C-101B-9397-08002B2CF9AE}" pid="24" name="Mendeley Citation Style_1">
    <vt:lpwstr>http://csl.mendeley.com/styles/28763971/american-meteorological-society</vt:lpwstr>
  </property>
</Properties>
</file>