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6C30E"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UNIVERSITY OF OKLAHOMA</w:t>
      </w:r>
    </w:p>
    <w:p w14:paraId="40B5AC67"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GRADUATE COLLEGE</w:t>
      </w:r>
    </w:p>
    <w:p w14:paraId="14A3CDBA" w14:textId="77777777" w:rsidR="0054635B" w:rsidRPr="0017180A" w:rsidRDefault="0054635B" w:rsidP="0054635B">
      <w:pPr>
        <w:jc w:val="center"/>
        <w:rPr>
          <w:rFonts w:ascii="Arial" w:hAnsi="Arial" w:cs="Arial"/>
          <w:sz w:val="24"/>
          <w:szCs w:val="24"/>
        </w:rPr>
      </w:pPr>
    </w:p>
    <w:p w14:paraId="6B181808" w14:textId="77777777" w:rsidR="0054635B" w:rsidRPr="0017180A" w:rsidRDefault="0054635B" w:rsidP="0054635B">
      <w:pPr>
        <w:jc w:val="center"/>
        <w:rPr>
          <w:rFonts w:ascii="Arial" w:hAnsi="Arial" w:cs="Arial"/>
          <w:sz w:val="24"/>
          <w:szCs w:val="24"/>
        </w:rPr>
      </w:pPr>
    </w:p>
    <w:p w14:paraId="51910CF3" w14:textId="2E9BCCBB" w:rsidR="0054635B" w:rsidRPr="0017180A" w:rsidRDefault="00BF0635" w:rsidP="0054635B">
      <w:pPr>
        <w:jc w:val="center"/>
        <w:rPr>
          <w:rFonts w:ascii="Arial" w:hAnsi="Arial" w:cs="Arial"/>
          <w:sz w:val="24"/>
          <w:szCs w:val="24"/>
        </w:rPr>
      </w:pPr>
      <w:r w:rsidRPr="008C387C">
        <w:rPr>
          <w:rFonts w:ascii="Arial" w:hAnsi="Arial" w:cs="Arial"/>
          <w:sz w:val="24"/>
          <w:szCs w:val="24"/>
        </w:rPr>
        <w:t>ESTABLISHING THREE-DIMENSIONAL SUPER-RESOLUTION MICROSCOPY METHODS FOR QUANTIFYING INTRACELLULAR NANOPARTICLE DISTRIBUTION</w:t>
      </w:r>
    </w:p>
    <w:p w14:paraId="44AAB805" w14:textId="77777777" w:rsidR="0054635B" w:rsidRPr="0017180A" w:rsidRDefault="0054635B" w:rsidP="0054635B">
      <w:pPr>
        <w:jc w:val="center"/>
        <w:rPr>
          <w:rFonts w:ascii="Arial" w:hAnsi="Arial" w:cs="Arial"/>
          <w:sz w:val="24"/>
          <w:szCs w:val="24"/>
        </w:rPr>
      </w:pPr>
    </w:p>
    <w:p w14:paraId="64626750"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 xml:space="preserve">A DISSERTATION </w:t>
      </w:r>
    </w:p>
    <w:p w14:paraId="2E225D8D"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SUBMITTED TO THE GRADUATE FACULTY</w:t>
      </w:r>
    </w:p>
    <w:p w14:paraId="776BBCDE"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 xml:space="preserve">in partial fulfillment of the requirements for the </w:t>
      </w:r>
    </w:p>
    <w:p w14:paraId="7B3977E5"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Degree of</w:t>
      </w:r>
    </w:p>
    <w:p w14:paraId="66B99815"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DOCTOR OF PHILOSOPHY</w:t>
      </w:r>
    </w:p>
    <w:p w14:paraId="790C3C43" w14:textId="77777777" w:rsidR="0054635B" w:rsidRPr="0017180A" w:rsidRDefault="0054635B" w:rsidP="0054635B">
      <w:pPr>
        <w:jc w:val="center"/>
        <w:rPr>
          <w:rFonts w:ascii="Arial" w:hAnsi="Arial" w:cs="Arial"/>
          <w:sz w:val="24"/>
          <w:szCs w:val="24"/>
        </w:rPr>
      </w:pPr>
    </w:p>
    <w:p w14:paraId="6570BFFD" w14:textId="77777777" w:rsidR="0054635B" w:rsidRPr="0017180A" w:rsidRDefault="0054635B" w:rsidP="0054635B">
      <w:pPr>
        <w:jc w:val="center"/>
        <w:rPr>
          <w:rFonts w:ascii="Arial" w:hAnsi="Arial" w:cs="Arial"/>
          <w:sz w:val="24"/>
          <w:szCs w:val="24"/>
        </w:rPr>
      </w:pPr>
    </w:p>
    <w:p w14:paraId="31822B3F"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By</w:t>
      </w:r>
    </w:p>
    <w:p w14:paraId="69C1DDA9" w14:textId="1F7AA32C" w:rsidR="0054635B" w:rsidRPr="0017180A" w:rsidRDefault="0054635B" w:rsidP="0054635B">
      <w:pPr>
        <w:jc w:val="center"/>
        <w:rPr>
          <w:rFonts w:ascii="Arial" w:hAnsi="Arial" w:cs="Arial"/>
          <w:sz w:val="24"/>
          <w:szCs w:val="24"/>
        </w:rPr>
      </w:pPr>
      <w:r>
        <w:rPr>
          <w:rFonts w:ascii="Arial" w:hAnsi="Arial" w:cs="Arial"/>
          <w:sz w:val="24"/>
          <w:szCs w:val="24"/>
        </w:rPr>
        <w:t>VINIT SHETH</w:t>
      </w:r>
    </w:p>
    <w:p w14:paraId="4D618B10"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Norman, Oklahoma</w:t>
      </w:r>
    </w:p>
    <w:p w14:paraId="2EDFAB97" w14:textId="12BCC015" w:rsidR="0054635B" w:rsidRPr="0017180A" w:rsidRDefault="0054635B" w:rsidP="0054635B">
      <w:pPr>
        <w:jc w:val="center"/>
        <w:rPr>
          <w:rFonts w:ascii="Arial" w:hAnsi="Arial" w:cs="Arial"/>
          <w:sz w:val="24"/>
          <w:szCs w:val="24"/>
        </w:rPr>
      </w:pPr>
      <w:r w:rsidRPr="0017180A">
        <w:rPr>
          <w:rFonts w:ascii="Arial" w:hAnsi="Arial" w:cs="Arial"/>
          <w:sz w:val="24"/>
          <w:szCs w:val="24"/>
        </w:rPr>
        <w:t>2023</w:t>
      </w:r>
    </w:p>
    <w:p w14:paraId="55C68324" w14:textId="52E9D596" w:rsidR="003F4032" w:rsidRDefault="003F4032">
      <w:pPr>
        <w:rPr>
          <w:rFonts w:ascii="Arial" w:hAnsi="Arial" w:cs="Arial"/>
          <w:sz w:val="24"/>
          <w:szCs w:val="24"/>
        </w:rPr>
      </w:pPr>
      <w:r>
        <w:rPr>
          <w:rFonts w:ascii="Arial" w:hAnsi="Arial" w:cs="Arial"/>
          <w:sz w:val="24"/>
          <w:szCs w:val="24"/>
        </w:rPr>
        <w:br w:type="page"/>
      </w:r>
    </w:p>
    <w:p w14:paraId="42930D9D" w14:textId="77777777" w:rsidR="00085BFA" w:rsidRPr="0017180A" w:rsidRDefault="00085BFA" w:rsidP="00085BFA">
      <w:pPr>
        <w:jc w:val="center"/>
        <w:rPr>
          <w:rFonts w:ascii="Arial" w:hAnsi="Arial" w:cs="Arial"/>
          <w:sz w:val="24"/>
          <w:szCs w:val="24"/>
        </w:rPr>
      </w:pPr>
      <w:r w:rsidRPr="008C387C">
        <w:rPr>
          <w:rFonts w:ascii="Arial" w:hAnsi="Arial" w:cs="Arial"/>
          <w:sz w:val="24"/>
          <w:szCs w:val="24"/>
        </w:rPr>
        <w:lastRenderedPageBreak/>
        <w:t>ESTABLISHING THREE-DIMENSIONAL SUPER-RESOLUTION MICROSCOPY METHODS FOR QUANTIFYING INTRACELLULAR NANOPARTICLE DISTRIBUTION</w:t>
      </w:r>
    </w:p>
    <w:p w14:paraId="4B3F228B" w14:textId="77777777" w:rsidR="0054635B" w:rsidRPr="0017180A" w:rsidRDefault="0054635B" w:rsidP="0054635B">
      <w:pPr>
        <w:jc w:val="center"/>
        <w:rPr>
          <w:rFonts w:ascii="Arial" w:hAnsi="Arial" w:cs="Arial"/>
          <w:sz w:val="24"/>
          <w:szCs w:val="24"/>
        </w:rPr>
      </w:pPr>
    </w:p>
    <w:p w14:paraId="501CFF0B" w14:textId="4CEE47B1" w:rsidR="0054635B" w:rsidRPr="0017180A" w:rsidRDefault="0054635B" w:rsidP="009032F0">
      <w:pPr>
        <w:spacing w:after="0"/>
        <w:jc w:val="center"/>
        <w:rPr>
          <w:rFonts w:ascii="Arial" w:hAnsi="Arial" w:cs="Arial"/>
          <w:sz w:val="24"/>
          <w:szCs w:val="24"/>
        </w:rPr>
      </w:pPr>
      <w:r w:rsidRPr="0017180A">
        <w:rPr>
          <w:rFonts w:ascii="Arial" w:hAnsi="Arial" w:cs="Arial"/>
          <w:sz w:val="24"/>
          <w:szCs w:val="24"/>
        </w:rPr>
        <w:t>A DISSERTATION APPROVED FOR THE</w:t>
      </w:r>
    </w:p>
    <w:p w14:paraId="03712CF4" w14:textId="77777777" w:rsidR="0054635B" w:rsidRPr="0017180A" w:rsidRDefault="0054635B" w:rsidP="009032F0">
      <w:pPr>
        <w:spacing w:after="0"/>
        <w:jc w:val="center"/>
        <w:rPr>
          <w:rFonts w:ascii="Arial" w:hAnsi="Arial" w:cs="Arial"/>
          <w:sz w:val="24"/>
          <w:szCs w:val="24"/>
        </w:rPr>
      </w:pPr>
      <w:r w:rsidRPr="0017180A">
        <w:rPr>
          <w:rFonts w:ascii="Arial" w:hAnsi="Arial" w:cs="Arial"/>
          <w:sz w:val="24"/>
          <w:szCs w:val="24"/>
        </w:rPr>
        <w:t>STEPHENSON SCHOOL OF BIOMEDICAL ENGINEERING</w:t>
      </w:r>
    </w:p>
    <w:p w14:paraId="27D64BF5" w14:textId="77777777" w:rsidR="0054635B" w:rsidRPr="0017180A" w:rsidRDefault="0054635B" w:rsidP="0054635B">
      <w:pPr>
        <w:jc w:val="center"/>
        <w:rPr>
          <w:rFonts w:ascii="Arial" w:hAnsi="Arial" w:cs="Arial"/>
          <w:sz w:val="24"/>
          <w:szCs w:val="24"/>
        </w:rPr>
      </w:pPr>
    </w:p>
    <w:p w14:paraId="632CBC23" w14:textId="77777777" w:rsidR="0054635B" w:rsidRPr="0017180A" w:rsidRDefault="0054635B" w:rsidP="0054635B">
      <w:pPr>
        <w:jc w:val="center"/>
        <w:rPr>
          <w:rFonts w:ascii="Arial" w:hAnsi="Arial" w:cs="Arial"/>
          <w:sz w:val="24"/>
          <w:szCs w:val="24"/>
        </w:rPr>
      </w:pPr>
    </w:p>
    <w:p w14:paraId="463A6527" w14:textId="77777777" w:rsidR="0054635B" w:rsidRPr="0017180A" w:rsidRDefault="0054635B" w:rsidP="0054635B">
      <w:pPr>
        <w:jc w:val="center"/>
        <w:rPr>
          <w:rFonts w:ascii="Arial" w:hAnsi="Arial" w:cs="Arial"/>
          <w:sz w:val="24"/>
          <w:szCs w:val="24"/>
        </w:rPr>
      </w:pPr>
    </w:p>
    <w:p w14:paraId="49476C39" w14:textId="77777777" w:rsidR="0054635B" w:rsidRPr="0017180A" w:rsidRDefault="0054635B" w:rsidP="0054635B">
      <w:pPr>
        <w:jc w:val="center"/>
        <w:rPr>
          <w:rFonts w:ascii="Arial" w:hAnsi="Arial" w:cs="Arial"/>
          <w:sz w:val="24"/>
          <w:szCs w:val="24"/>
        </w:rPr>
      </w:pPr>
      <w:r w:rsidRPr="0017180A">
        <w:rPr>
          <w:rFonts w:ascii="Arial" w:hAnsi="Arial" w:cs="Arial"/>
          <w:sz w:val="24"/>
          <w:szCs w:val="24"/>
        </w:rPr>
        <w:t>BY THE COMMITTEE CONSISTING OF</w:t>
      </w:r>
    </w:p>
    <w:p w14:paraId="540FA57E" w14:textId="77777777" w:rsidR="0054635B" w:rsidRPr="0017180A" w:rsidRDefault="0054635B" w:rsidP="0054635B">
      <w:pPr>
        <w:jc w:val="center"/>
        <w:rPr>
          <w:rFonts w:ascii="Arial" w:hAnsi="Arial" w:cs="Arial"/>
          <w:sz w:val="24"/>
          <w:szCs w:val="24"/>
        </w:rPr>
      </w:pPr>
    </w:p>
    <w:p w14:paraId="774CA3FE" w14:textId="77777777" w:rsidR="0054635B" w:rsidRPr="0017180A" w:rsidRDefault="0054635B" w:rsidP="0054635B">
      <w:pPr>
        <w:jc w:val="center"/>
        <w:rPr>
          <w:rFonts w:ascii="Arial" w:hAnsi="Arial" w:cs="Arial"/>
          <w:sz w:val="24"/>
          <w:szCs w:val="24"/>
        </w:rPr>
      </w:pPr>
    </w:p>
    <w:p w14:paraId="523C4394" w14:textId="77777777" w:rsidR="0054635B" w:rsidRPr="0017180A" w:rsidRDefault="0054635B" w:rsidP="0054635B">
      <w:pPr>
        <w:jc w:val="center"/>
        <w:rPr>
          <w:rFonts w:ascii="Arial" w:hAnsi="Arial" w:cs="Arial"/>
          <w:sz w:val="24"/>
          <w:szCs w:val="24"/>
        </w:rPr>
      </w:pPr>
    </w:p>
    <w:p w14:paraId="6CF96BCA" w14:textId="77777777" w:rsidR="0054635B" w:rsidRPr="0017180A" w:rsidRDefault="0054635B" w:rsidP="0054635B">
      <w:pPr>
        <w:jc w:val="right"/>
        <w:rPr>
          <w:rFonts w:ascii="Arial" w:hAnsi="Arial" w:cs="Arial"/>
          <w:sz w:val="24"/>
          <w:szCs w:val="24"/>
        </w:rPr>
      </w:pPr>
    </w:p>
    <w:p w14:paraId="37A91B38" w14:textId="77777777" w:rsidR="0054635B" w:rsidRPr="0017180A" w:rsidRDefault="0054635B" w:rsidP="0054635B">
      <w:pPr>
        <w:jc w:val="right"/>
        <w:rPr>
          <w:rFonts w:ascii="Arial" w:hAnsi="Arial" w:cs="Arial"/>
          <w:sz w:val="24"/>
          <w:szCs w:val="24"/>
        </w:rPr>
      </w:pPr>
    </w:p>
    <w:p w14:paraId="6D86107A" w14:textId="77777777" w:rsidR="0054635B" w:rsidRPr="0007170C" w:rsidRDefault="0054635B" w:rsidP="0054635B">
      <w:pPr>
        <w:spacing w:line="480" w:lineRule="auto"/>
        <w:jc w:val="right"/>
        <w:rPr>
          <w:rFonts w:ascii="Arial" w:hAnsi="Arial" w:cs="Arial"/>
          <w:sz w:val="24"/>
          <w:szCs w:val="24"/>
        </w:rPr>
      </w:pPr>
      <w:r w:rsidRPr="0007170C">
        <w:rPr>
          <w:rFonts w:ascii="Arial" w:hAnsi="Arial" w:cs="Arial"/>
          <w:sz w:val="24"/>
          <w:szCs w:val="24"/>
        </w:rPr>
        <w:t>Dr. Stefan Wilhelm, Chair</w:t>
      </w:r>
    </w:p>
    <w:p w14:paraId="4B33100E" w14:textId="426F6463" w:rsidR="0054635B" w:rsidRPr="008C387C" w:rsidRDefault="0054635B" w:rsidP="0054635B">
      <w:pPr>
        <w:spacing w:line="480" w:lineRule="auto"/>
        <w:jc w:val="right"/>
        <w:rPr>
          <w:rFonts w:ascii="Arial" w:hAnsi="Arial" w:cs="Arial"/>
          <w:sz w:val="24"/>
          <w:szCs w:val="24"/>
          <w:lang w:val="de-DE"/>
        </w:rPr>
      </w:pPr>
      <w:r w:rsidRPr="008C387C">
        <w:rPr>
          <w:rFonts w:ascii="Arial" w:hAnsi="Arial" w:cs="Arial"/>
          <w:sz w:val="24"/>
          <w:szCs w:val="24"/>
          <w:lang w:val="de-DE"/>
        </w:rPr>
        <w:t>Dr. Wei R. Chen</w:t>
      </w:r>
    </w:p>
    <w:p w14:paraId="00FBCD1F" w14:textId="3DE4AB5A" w:rsidR="0054635B" w:rsidRPr="0007170C" w:rsidRDefault="0054635B" w:rsidP="0054635B">
      <w:pPr>
        <w:spacing w:line="480" w:lineRule="auto"/>
        <w:jc w:val="right"/>
        <w:rPr>
          <w:rFonts w:ascii="Arial" w:hAnsi="Arial" w:cs="Arial"/>
          <w:sz w:val="24"/>
          <w:szCs w:val="24"/>
          <w:lang w:val="de-DE"/>
        </w:rPr>
      </w:pPr>
      <w:r w:rsidRPr="0007170C">
        <w:rPr>
          <w:rFonts w:ascii="Arial" w:hAnsi="Arial" w:cs="Arial"/>
          <w:sz w:val="24"/>
          <w:szCs w:val="24"/>
          <w:lang w:val="de-DE"/>
        </w:rPr>
        <w:t>Dr. Qinggong Tang</w:t>
      </w:r>
    </w:p>
    <w:p w14:paraId="32144AF7" w14:textId="4FBC3086" w:rsidR="0054635B" w:rsidRPr="0017180A" w:rsidRDefault="0054635B" w:rsidP="003F4032">
      <w:pPr>
        <w:spacing w:line="480" w:lineRule="auto"/>
        <w:jc w:val="right"/>
        <w:rPr>
          <w:rFonts w:ascii="Arial" w:hAnsi="Arial" w:cs="Arial"/>
          <w:sz w:val="24"/>
          <w:szCs w:val="24"/>
        </w:rPr>
      </w:pPr>
      <w:r w:rsidRPr="0017180A">
        <w:rPr>
          <w:rFonts w:ascii="Arial" w:hAnsi="Arial" w:cs="Arial"/>
          <w:sz w:val="24"/>
          <w:szCs w:val="24"/>
        </w:rPr>
        <w:t xml:space="preserve">Dr. </w:t>
      </w:r>
      <w:r>
        <w:rPr>
          <w:rFonts w:ascii="Arial" w:hAnsi="Arial" w:cs="Arial"/>
          <w:sz w:val="24"/>
          <w:szCs w:val="24"/>
        </w:rPr>
        <w:t>John P. Masly</w:t>
      </w:r>
    </w:p>
    <w:p w14:paraId="484F27CD" w14:textId="77777777" w:rsidR="0054635B" w:rsidRPr="0017180A" w:rsidRDefault="0054635B" w:rsidP="0054635B">
      <w:pPr>
        <w:jc w:val="center"/>
        <w:rPr>
          <w:rFonts w:ascii="Arial" w:hAnsi="Arial" w:cs="Arial"/>
          <w:sz w:val="24"/>
          <w:szCs w:val="24"/>
        </w:rPr>
      </w:pPr>
    </w:p>
    <w:p w14:paraId="5012257E" w14:textId="77777777" w:rsidR="0054635B" w:rsidRPr="0017180A" w:rsidRDefault="0054635B" w:rsidP="0054635B">
      <w:pPr>
        <w:jc w:val="center"/>
        <w:rPr>
          <w:rFonts w:ascii="Arial" w:hAnsi="Arial" w:cs="Arial"/>
          <w:sz w:val="24"/>
          <w:szCs w:val="24"/>
        </w:rPr>
      </w:pPr>
    </w:p>
    <w:p w14:paraId="63353ED1" w14:textId="77777777" w:rsidR="0054635B" w:rsidRPr="0017180A" w:rsidRDefault="0054635B" w:rsidP="0054635B">
      <w:pPr>
        <w:jc w:val="center"/>
        <w:rPr>
          <w:rFonts w:ascii="Arial" w:hAnsi="Arial" w:cs="Arial"/>
          <w:sz w:val="24"/>
          <w:szCs w:val="24"/>
        </w:rPr>
      </w:pPr>
    </w:p>
    <w:p w14:paraId="0CB7D549" w14:textId="77777777" w:rsidR="0054635B" w:rsidRPr="0017180A" w:rsidRDefault="0054635B" w:rsidP="0054635B">
      <w:pPr>
        <w:jc w:val="center"/>
        <w:rPr>
          <w:rFonts w:ascii="Arial" w:hAnsi="Arial" w:cs="Arial"/>
          <w:sz w:val="24"/>
          <w:szCs w:val="24"/>
        </w:rPr>
      </w:pPr>
    </w:p>
    <w:p w14:paraId="037E0094" w14:textId="77777777" w:rsidR="0054635B" w:rsidRPr="0017180A" w:rsidRDefault="0054635B" w:rsidP="0054635B">
      <w:pPr>
        <w:jc w:val="center"/>
        <w:rPr>
          <w:rFonts w:ascii="Arial" w:hAnsi="Arial" w:cs="Arial"/>
          <w:sz w:val="24"/>
          <w:szCs w:val="24"/>
        </w:rPr>
      </w:pPr>
    </w:p>
    <w:p w14:paraId="13E8E3F1" w14:textId="77777777" w:rsidR="0054635B" w:rsidRPr="0017180A" w:rsidRDefault="0054635B" w:rsidP="0054635B">
      <w:pPr>
        <w:jc w:val="center"/>
        <w:rPr>
          <w:rFonts w:ascii="Arial" w:hAnsi="Arial" w:cs="Arial"/>
          <w:sz w:val="24"/>
          <w:szCs w:val="24"/>
        </w:rPr>
      </w:pPr>
    </w:p>
    <w:p w14:paraId="687D548A" w14:textId="77777777" w:rsidR="0054635B" w:rsidRPr="0017180A" w:rsidRDefault="0054635B" w:rsidP="0054635B">
      <w:pPr>
        <w:jc w:val="center"/>
        <w:rPr>
          <w:rFonts w:ascii="Arial" w:hAnsi="Arial" w:cs="Arial"/>
          <w:sz w:val="24"/>
          <w:szCs w:val="24"/>
        </w:rPr>
      </w:pPr>
    </w:p>
    <w:p w14:paraId="2B21109E" w14:textId="77777777" w:rsidR="0054635B" w:rsidRPr="0017180A" w:rsidRDefault="0054635B" w:rsidP="0054635B">
      <w:pPr>
        <w:jc w:val="center"/>
        <w:rPr>
          <w:rFonts w:ascii="Arial" w:hAnsi="Arial" w:cs="Arial"/>
          <w:sz w:val="24"/>
          <w:szCs w:val="24"/>
        </w:rPr>
      </w:pPr>
    </w:p>
    <w:p w14:paraId="19726D9A" w14:textId="77777777" w:rsidR="0054635B" w:rsidRDefault="0054635B" w:rsidP="0054635B">
      <w:pPr>
        <w:jc w:val="center"/>
        <w:rPr>
          <w:rFonts w:ascii="Arial" w:hAnsi="Arial" w:cs="Arial"/>
          <w:sz w:val="24"/>
          <w:szCs w:val="24"/>
        </w:rPr>
      </w:pPr>
    </w:p>
    <w:p w14:paraId="02A65F90" w14:textId="77777777" w:rsidR="003F4032" w:rsidRDefault="003F4032" w:rsidP="0054635B">
      <w:pPr>
        <w:jc w:val="center"/>
        <w:rPr>
          <w:rFonts w:ascii="Arial" w:hAnsi="Arial" w:cs="Arial"/>
          <w:sz w:val="24"/>
          <w:szCs w:val="24"/>
        </w:rPr>
      </w:pPr>
    </w:p>
    <w:p w14:paraId="540F7A09" w14:textId="77777777" w:rsidR="003F4032" w:rsidRDefault="003F4032" w:rsidP="0054635B">
      <w:pPr>
        <w:jc w:val="center"/>
        <w:rPr>
          <w:rFonts w:ascii="Arial" w:hAnsi="Arial" w:cs="Arial"/>
          <w:sz w:val="24"/>
          <w:szCs w:val="24"/>
        </w:rPr>
      </w:pPr>
    </w:p>
    <w:p w14:paraId="7DE79622" w14:textId="77777777" w:rsidR="003F4032" w:rsidRDefault="003F4032" w:rsidP="0054635B">
      <w:pPr>
        <w:jc w:val="center"/>
        <w:rPr>
          <w:rFonts w:ascii="Arial" w:hAnsi="Arial" w:cs="Arial"/>
          <w:sz w:val="24"/>
          <w:szCs w:val="24"/>
        </w:rPr>
      </w:pPr>
    </w:p>
    <w:p w14:paraId="5F339331" w14:textId="77777777" w:rsidR="003F4032" w:rsidRDefault="003F4032" w:rsidP="0054635B">
      <w:pPr>
        <w:jc w:val="center"/>
        <w:rPr>
          <w:rFonts w:ascii="Arial" w:hAnsi="Arial" w:cs="Arial"/>
          <w:sz w:val="24"/>
          <w:szCs w:val="24"/>
        </w:rPr>
      </w:pPr>
    </w:p>
    <w:p w14:paraId="74FC8CC0" w14:textId="77777777" w:rsidR="003F4032" w:rsidRDefault="003F4032" w:rsidP="0054635B">
      <w:pPr>
        <w:jc w:val="center"/>
        <w:rPr>
          <w:rFonts w:ascii="Arial" w:hAnsi="Arial" w:cs="Arial"/>
          <w:sz w:val="24"/>
          <w:szCs w:val="24"/>
        </w:rPr>
      </w:pPr>
    </w:p>
    <w:p w14:paraId="6C8FD2D7" w14:textId="77777777" w:rsidR="003F4032" w:rsidRDefault="003F4032" w:rsidP="0054635B">
      <w:pPr>
        <w:jc w:val="center"/>
        <w:rPr>
          <w:rFonts w:ascii="Arial" w:hAnsi="Arial" w:cs="Arial"/>
          <w:sz w:val="24"/>
          <w:szCs w:val="24"/>
        </w:rPr>
      </w:pPr>
    </w:p>
    <w:p w14:paraId="453FB6E6" w14:textId="77777777" w:rsidR="003F4032" w:rsidRDefault="003F4032" w:rsidP="0054635B">
      <w:pPr>
        <w:jc w:val="center"/>
        <w:rPr>
          <w:rFonts w:ascii="Arial" w:hAnsi="Arial" w:cs="Arial"/>
          <w:sz w:val="24"/>
          <w:szCs w:val="24"/>
        </w:rPr>
      </w:pPr>
    </w:p>
    <w:p w14:paraId="32E470CE" w14:textId="77777777" w:rsidR="003F4032" w:rsidRDefault="003F4032" w:rsidP="0054635B">
      <w:pPr>
        <w:jc w:val="center"/>
        <w:rPr>
          <w:rFonts w:ascii="Arial" w:hAnsi="Arial" w:cs="Arial"/>
          <w:sz w:val="24"/>
          <w:szCs w:val="24"/>
        </w:rPr>
      </w:pPr>
    </w:p>
    <w:p w14:paraId="226A71C6" w14:textId="77777777" w:rsidR="003F4032" w:rsidRDefault="003F4032" w:rsidP="0054635B">
      <w:pPr>
        <w:jc w:val="center"/>
        <w:rPr>
          <w:rFonts w:ascii="Arial" w:hAnsi="Arial" w:cs="Arial"/>
          <w:sz w:val="24"/>
          <w:szCs w:val="24"/>
        </w:rPr>
      </w:pPr>
    </w:p>
    <w:p w14:paraId="2F8638D7" w14:textId="77777777" w:rsidR="003F4032" w:rsidRDefault="003F4032" w:rsidP="0054635B">
      <w:pPr>
        <w:jc w:val="center"/>
        <w:rPr>
          <w:rFonts w:ascii="Arial" w:hAnsi="Arial" w:cs="Arial"/>
          <w:sz w:val="24"/>
          <w:szCs w:val="24"/>
        </w:rPr>
      </w:pPr>
    </w:p>
    <w:p w14:paraId="5AD31A75" w14:textId="77777777" w:rsidR="003F4032" w:rsidRDefault="003F4032" w:rsidP="0054635B">
      <w:pPr>
        <w:jc w:val="center"/>
        <w:rPr>
          <w:rFonts w:ascii="Arial" w:hAnsi="Arial" w:cs="Arial"/>
          <w:sz w:val="24"/>
          <w:szCs w:val="24"/>
        </w:rPr>
      </w:pPr>
    </w:p>
    <w:p w14:paraId="06F1AD89" w14:textId="77777777" w:rsidR="003F4032" w:rsidRDefault="003F4032" w:rsidP="0054635B">
      <w:pPr>
        <w:jc w:val="center"/>
        <w:rPr>
          <w:rFonts w:ascii="Arial" w:hAnsi="Arial" w:cs="Arial"/>
          <w:sz w:val="24"/>
          <w:szCs w:val="24"/>
        </w:rPr>
      </w:pPr>
    </w:p>
    <w:p w14:paraId="55C3E4D2" w14:textId="77777777" w:rsidR="003F4032" w:rsidRDefault="003F4032" w:rsidP="0054635B">
      <w:pPr>
        <w:jc w:val="center"/>
        <w:rPr>
          <w:rFonts w:ascii="Arial" w:hAnsi="Arial" w:cs="Arial"/>
          <w:sz w:val="24"/>
          <w:szCs w:val="24"/>
        </w:rPr>
      </w:pPr>
    </w:p>
    <w:p w14:paraId="213194D9" w14:textId="77777777" w:rsidR="003F4032" w:rsidRDefault="003F4032" w:rsidP="0054635B">
      <w:pPr>
        <w:jc w:val="center"/>
        <w:rPr>
          <w:rFonts w:ascii="Arial" w:hAnsi="Arial" w:cs="Arial"/>
          <w:sz w:val="24"/>
          <w:szCs w:val="24"/>
        </w:rPr>
      </w:pPr>
    </w:p>
    <w:p w14:paraId="4C3A187E" w14:textId="77777777" w:rsidR="003F4032" w:rsidRDefault="003F4032" w:rsidP="0054635B">
      <w:pPr>
        <w:jc w:val="center"/>
        <w:rPr>
          <w:rFonts w:ascii="Arial" w:hAnsi="Arial" w:cs="Arial"/>
          <w:sz w:val="24"/>
          <w:szCs w:val="24"/>
        </w:rPr>
      </w:pPr>
    </w:p>
    <w:p w14:paraId="5234EF06" w14:textId="77777777" w:rsidR="003F4032" w:rsidRDefault="003F4032" w:rsidP="0054635B">
      <w:pPr>
        <w:jc w:val="center"/>
        <w:rPr>
          <w:rFonts w:ascii="Arial" w:hAnsi="Arial" w:cs="Arial"/>
          <w:sz w:val="24"/>
          <w:szCs w:val="24"/>
        </w:rPr>
      </w:pPr>
    </w:p>
    <w:p w14:paraId="6B526FB1" w14:textId="77777777" w:rsidR="003F4032" w:rsidRDefault="003F4032" w:rsidP="0054635B">
      <w:pPr>
        <w:jc w:val="center"/>
        <w:rPr>
          <w:rFonts w:ascii="Arial" w:hAnsi="Arial" w:cs="Arial"/>
          <w:sz w:val="24"/>
          <w:szCs w:val="24"/>
        </w:rPr>
      </w:pPr>
    </w:p>
    <w:p w14:paraId="453A5090" w14:textId="77777777" w:rsidR="003F4032" w:rsidRDefault="003F4032" w:rsidP="0054635B">
      <w:pPr>
        <w:jc w:val="center"/>
        <w:rPr>
          <w:rFonts w:ascii="Arial" w:hAnsi="Arial" w:cs="Arial"/>
          <w:sz w:val="24"/>
          <w:szCs w:val="24"/>
        </w:rPr>
      </w:pPr>
    </w:p>
    <w:p w14:paraId="284BEC2A" w14:textId="77777777" w:rsidR="003F4032" w:rsidRDefault="003F4032" w:rsidP="0054635B">
      <w:pPr>
        <w:jc w:val="center"/>
        <w:rPr>
          <w:rFonts w:ascii="Arial" w:hAnsi="Arial" w:cs="Arial"/>
          <w:sz w:val="24"/>
          <w:szCs w:val="24"/>
        </w:rPr>
      </w:pPr>
    </w:p>
    <w:p w14:paraId="0A8F8DF6" w14:textId="77777777" w:rsidR="003F4032" w:rsidRDefault="003F4032" w:rsidP="0054635B">
      <w:pPr>
        <w:jc w:val="center"/>
        <w:rPr>
          <w:rFonts w:ascii="Arial" w:hAnsi="Arial" w:cs="Arial"/>
          <w:sz w:val="24"/>
          <w:szCs w:val="24"/>
        </w:rPr>
      </w:pPr>
    </w:p>
    <w:p w14:paraId="4ED92699" w14:textId="77777777" w:rsidR="003F4032" w:rsidRDefault="003F4032" w:rsidP="0054635B">
      <w:pPr>
        <w:jc w:val="center"/>
        <w:rPr>
          <w:rFonts w:ascii="Arial" w:hAnsi="Arial" w:cs="Arial"/>
          <w:sz w:val="24"/>
          <w:szCs w:val="24"/>
        </w:rPr>
      </w:pPr>
    </w:p>
    <w:p w14:paraId="5D04A172" w14:textId="77777777" w:rsidR="003F4032" w:rsidRDefault="003F4032" w:rsidP="0054635B">
      <w:pPr>
        <w:jc w:val="center"/>
        <w:rPr>
          <w:rFonts w:ascii="Arial" w:hAnsi="Arial" w:cs="Arial"/>
          <w:sz w:val="24"/>
          <w:szCs w:val="24"/>
        </w:rPr>
      </w:pPr>
    </w:p>
    <w:p w14:paraId="79180979" w14:textId="77777777" w:rsidR="003F4032" w:rsidRDefault="003F4032" w:rsidP="0054635B">
      <w:pPr>
        <w:jc w:val="center"/>
        <w:rPr>
          <w:rFonts w:ascii="Arial" w:hAnsi="Arial" w:cs="Arial"/>
          <w:sz w:val="24"/>
          <w:szCs w:val="24"/>
        </w:rPr>
      </w:pPr>
    </w:p>
    <w:p w14:paraId="1AFB83C9" w14:textId="77777777" w:rsidR="003F4032" w:rsidRDefault="003F4032" w:rsidP="0054635B">
      <w:pPr>
        <w:jc w:val="center"/>
        <w:rPr>
          <w:rFonts w:ascii="Arial" w:hAnsi="Arial" w:cs="Arial"/>
          <w:sz w:val="24"/>
          <w:szCs w:val="24"/>
        </w:rPr>
      </w:pPr>
    </w:p>
    <w:p w14:paraId="7415FBC2" w14:textId="77777777" w:rsidR="003F4032" w:rsidRPr="0017180A" w:rsidRDefault="003F4032" w:rsidP="0054635B">
      <w:pPr>
        <w:jc w:val="center"/>
        <w:rPr>
          <w:rFonts w:ascii="Arial" w:hAnsi="Arial" w:cs="Arial"/>
          <w:sz w:val="24"/>
          <w:szCs w:val="24"/>
        </w:rPr>
      </w:pPr>
    </w:p>
    <w:p w14:paraId="55E36C09" w14:textId="774D5B90" w:rsidR="0054635B" w:rsidRPr="0017180A" w:rsidRDefault="0054635B" w:rsidP="0054635B">
      <w:pPr>
        <w:jc w:val="center"/>
        <w:rPr>
          <w:rFonts w:ascii="Arial" w:hAnsi="Arial" w:cs="Arial"/>
          <w:sz w:val="24"/>
          <w:szCs w:val="24"/>
        </w:rPr>
      </w:pPr>
      <w:r w:rsidRPr="0017180A">
        <w:rPr>
          <w:rFonts w:ascii="Arial" w:hAnsi="Arial" w:cs="Arial"/>
          <w:sz w:val="24"/>
          <w:szCs w:val="24"/>
        </w:rPr>
        <w:t xml:space="preserve">© Copyright by </w:t>
      </w:r>
      <w:r>
        <w:rPr>
          <w:rFonts w:ascii="Arial" w:hAnsi="Arial" w:cs="Arial"/>
          <w:sz w:val="24"/>
          <w:szCs w:val="24"/>
        </w:rPr>
        <w:t>VINIT SHETH</w:t>
      </w:r>
      <w:r w:rsidRPr="0017180A">
        <w:rPr>
          <w:rFonts w:ascii="Arial" w:hAnsi="Arial" w:cs="Arial"/>
          <w:sz w:val="24"/>
          <w:szCs w:val="24"/>
        </w:rPr>
        <w:t xml:space="preserve"> 2023</w:t>
      </w:r>
    </w:p>
    <w:p w14:paraId="4E1336A7" w14:textId="508F20B2" w:rsidR="0060760A" w:rsidRDefault="0054635B" w:rsidP="0054635B">
      <w:pPr>
        <w:jc w:val="center"/>
        <w:rPr>
          <w:rFonts w:ascii="Arial" w:hAnsi="Arial" w:cs="Arial"/>
          <w:sz w:val="24"/>
          <w:szCs w:val="24"/>
        </w:rPr>
        <w:sectPr w:rsidR="0060760A" w:rsidSect="0060760A">
          <w:footerReference w:type="default" r:id="rId8"/>
          <w:pgSz w:w="12240" w:h="15840"/>
          <w:pgMar w:top="1440" w:right="1440" w:bottom="1440" w:left="1440" w:header="720" w:footer="720" w:gutter="0"/>
          <w:pgNumType w:start="1" w:chapStyle="1"/>
          <w:cols w:space="720"/>
          <w:docGrid w:linePitch="360"/>
        </w:sectPr>
      </w:pPr>
      <w:r w:rsidRPr="0017180A">
        <w:rPr>
          <w:rFonts w:ascii="Arial" w:hAnsi="Arial" w:cs="Arial"/>
          <w:sz w:val="24"/>
          <w:szCs w:val="24"/>
        </w:rPr>
        <w:t>All Rights Reserved</w:t>
      </w:r>
      <w:r w:rsidR="00E6727D">
        <w:rPr>
          <w:rFonts w:ascii="Arial" w:hAnsi="Arial" w:cs="Arial"/>
          <w:sz w:val="24"/>
          <w:szCs w:val="24"/>
        </w:rPr>
        <w:t>.</w:t>
      </w:r>
    </w:p>
    <w:p w14:paraId="52E946D9" w14:textId="032D003E" w:rsidR="00C06183" w:rsidRPr="00F31A3A" w:rsidRDefault="00F31A3A" w:rsidP="00721691">
      <w:pPr>
        <w:pStyle w:val="Heading1"/>
        <w:rPr>
          <w:rFonts w:cs="Arial"/>
          <w:szCs w:val="24"/>
        </w:rPr>
      </w:pPr>
      <w:bookmarkStart w:id="0" w:name="_Toc151032399"/>
      <w:r>
        <w:rPr>
          <w:rFonts w:cs="Arial"/>
          <w:szCs w:val="24"/>
        </w:rPr>
        <w:lastRenderedPageBreak/>
        <w:t>Acknowledgments</w:t>
      </w:r>
      <w:bookmarkEnd w:id="0"/>
    </w:p>
    <w:p w14:paraId="0D532058" w14:textId="77777777" w:rsidR="005335B7" w:rsidRPr="005335B7" w:rsidRDefault="005335B7" w:rsidP="005335B7">
      <w:pPr>
        <w:rPr>
          <w:highlight w:val="yellow"/>
        </w:rPr>
      </w:pPr>
    </w:p>
    <w:p w14:paraId="74BE75F5" w14:textId="3E02D235" w:rsidR="00F07EB1" w:rsidRDefault="00BD0333" w:rsidP="00BD0333">
      <w:pPr>
        <w:spacing w:line="480" w:lineRule="auto"/>
        <w:ind w:firstLine="720"/>
        <w:jc w:val="both"/>
        <w:rPr>
          <w:rFonts w:ascii="Arial" w:hAnsi="Arial" w:cs="Arial"/>
          <w:sz w:val="24"/>
          <w:szCs w:val="24"/>
        </w:rPr>
      </w:pPr>
      <w:r w:rsidRPr="00BD0333">
        <w:rPr>
          <w:rFonts w:ascii="Arial" w:hAnsi="Arial" w:cs="Arial"/>
          <w:sz w:val="24"/>
          <w:szCs w:val="24"/>
        </w:rPr>
        <w:t xml:space="preserve">First, I would like to thank my PhD advisor, Dr. Stefan Wilhelm, </w:t>
      </w:r>
      <w:r>
        <w:rPr>
          <w:rFonts w:ascii="Arial" w:hAnsi="Arial" w:cs="Arial"/>
          <w:sz w:val="24"/>
          <w:szCs w:val="24"/>
        </w:rPr>
        <w:t>to whom I owe a tremendous debt of gratitude for your never-ending mentorship and support. Thank you for giving me the opportunity to join your lab and for helping me grow into the researcher I am today. I greatly appreciate</w:t>
      </w:r>
      <w:r w:rsidR="00F07EB1">
        <w:rPr>
          <w:rFonts w:ascii="Arial" w:hAnsi="Arial" w:cs="Arial"/>
          <w:sz w:val="24"/>
          <w:szCs w:val="24"/>
        </w:rPr>
        <w:t xml:space="preserve"> the independence you allowed me to have while always being open to discussing the scientific directions we are taking.  </w:t>
      </w:r>
    </w:p>
    <w:p w14:paraId="3A00B7FE" w14:textId="5AE07E45" w:rsidR="00F7038B" w:rsidRDefault="00F07EB1" w:rsidP="00F07EB1">
      <w:pPr>
        <w:spacing w:line="480" w:lineRule="auto"/>
        <w:ind w:firstLine="720"/>
        <w:jc w:val="both"/>
        <w:rPr>
          <w:rFonts w:ascii="Arial" w:hAnsi="Arial" w:cs="Arial"/>
          <w:sz w:val="24"/>
          <w:szCs w:val="24"/>
        </w:rPr>
      </w:pPr>
      <w:r>
        <w:rPr>
          <w:rFonts w:ascii="Arial" w:hAnsi="Arial" w:cs="Arial"/>
          <w:sz w:val="24"/>
          <w:szCs w:val="24"/>
        </w:rPr>
        <w:t xml:space="preserve">Next, I would like to thank my PhD committee members, Dr. Wei R. Chen, </w:t>
      </w:r>
      <w:r w:rsidRPr="0017180A">
        <w:rPr>
          <w:rFonts w:ascii="Arial" w:hAnsi="Arial" w:cs="Arial"/>
          <w:sz w:val="24"/>
          <w:szCs w:val="24"/>
        </w:rPr>
        <w:t xml:space="preserve">Dr. </w:t>
      </w:r>
      <w:proofErr w:type="spellStart"/>
      <w:r>
        <w:rPr>
          <w:rFonts w:ascii="Arial" w:hAnsi="Arial" w:cs="Arial"/>
          <w:sz w:val="24"/>
          <w:szCs w:val="24"/>
        </w:rPr>
        <w:t>Qinggong</w:t>
      </w:r>
      <w:proofErr w:type="spellEnd"/>
      <w:r>
        <w:rPr>
          <w:rFonts w:ascii="Arial" w:hAnsi="Arial" w:cs="Arial"/>
          <w:sz w:val="24"/>
          <w:szCs w:val="24"/>
        </w:rPr>
        <w:t xml:space="preserve"> Tang, and </w:t>
      </w:r>
      <w:r w:rsidRPr="0017180A">
        <w:rPr>
          <w:rFonts w:ascii="Arial" w:hAnsi="Arial" w:cs="Arial"/>
          <w:sz w:val="24"/>
          <w:szCs w:val="24"/>
        </w:rPr>
        <w:t xml:space="preserve">Dr. </w:t>
      </w:r>
      <w:r>
        <w:rPr>
          <w:rFonts w:ascii="Arial" w:hAnsi="Arial" w:cs="Arial"/>
          <w:sz w:val="24"/>
          <w:szCs w:val="24"/>
        </w:rPr>
        <w:t>John P. Masly</w:t>
      </w:r>
      <w:r w:rsidR="00F7038B">
        <w:rPr>
          <w:rFonts w:ascii="Arial" w:hAnsi="Arial" w:cs="Arial"/>
          <w:sz w:val="24"/>
          <w:szCs w:val="24"/>
        </w:rPr>
        <w:t xml:space="preserve"> for your continuous support and advice throughout my PhD journey.</w:t>
      </w:r>
      <w:r w:rsidR="006443FB">
        <w:rPr>
          <w:rFonts w:ascii="Arial" w:hAnsi="Arial" w:cs="Arial"/>
          <w:sz w:val="24"/>
          <w:szCs w:val="24"/>
        </w:rPr>
        <w:t xml:space="preserve"> </w:t>
      </w:r>
    </w:p>
    <w:p w14:paraId="1B99DDDA" w14:textId="5207FE44" w:rsidR="006443FB" w:rsidRDefault="00F7038B" w:rsidP="00EE74E2">
      <w:pPr>
        <w:spacing w:line="480" w:lineRule="auto"/>
        <w:ind w:firstLine="720"/>
        <w:jc w:val="both"/>
        <w:rPr>
          <w:rFonts w:ascii="Arial" w:hAnsi="Arial" w:cs="Arial"/>
          <w:sz w:val="24"/>
          <w:szCs w:val="24"/>
        </w:rPr>
      </w:pPr>
      <w:r>
        <w:rPr>
          <w:rFonts w:ascii="Arial" w:hAnsi="Arial" w:cs="Arial"/>
          <w:sz w:val="24"/>
          <w:szCs w:val="24"/>
        </w:rPr>
        <w:t xml:space="preserve">Thanks to Dr. Nathan Donahue, Dr. Wen Yang, Dr. Lin Wang, </w:t>
      </w:r>
      <w:r w:rsidR="004D54D0">
        <w:rPr>
          <w:rFonts w:ascii="Arial" w:hAnsi="Arial" w:cs="Arial"/>
          <w:sz w:val="24"/>
          <w:szCs w:val="24"/>
        </w:rPr>
        <w:t xml:space="preserve">Dr. Alex </w:t>
      </w:r>
      <w:proofErr w:type="spellStart"/>
      <w:r w:rsidR="004D54D0">
        <w:rPr>
          <w:rFonts w:ascii="Arial" w:hAnsi="Arial" w:cs="Arial"/>
          <w:sz w:val="24"/>
          <w:szCs w:val="24"/>
        </w:rPr>
        <w:t>Frickenstein</w:t>
      </w:r>
      <w:proofErr w:type="spellEnd"/>
      <w:r w:rsidR="004D54D0">
        <w:rPr>
          <w:rFonts w:ascii="Arial" w:hAnsi="Arial" w:cs="Arial"/>
          <w:sz w:val="24"/>
          <w:szCs w:val="24"/>
        </w:rPr>
        <w:t xml:space="preserve">, Dr. Seren </w:t>
      </w:r>
      <w:proofErr w:type="spellStart"/>
      <w:r w:rsidR="004D54D0">
        <w:rPr>
          <w:rFonts w:ascii="Arial" w:hAnsi="Arial" w:cs="Arial"/>
          <w:sz w:val="24"/>
          <w:szCs w:val="24"/>
        </w:rPr>
        <w:t>Hamsici</w:t>
      </w:r>
      <w:proofErr w:type="spellEnd"/>
      <w:r w:rsidR="004D54D0">
        <w:rPr>
          <w:rFonts w:ascii="Arial" w:hAnsi="Arial" w:cs="Arial"/>
          <w:sz w:val="24"/>
          <w:szCs w:val="24"/>
        </w:rPr>
        <w:t>, Dr. Gokhan Gunay</w:t>
      </w:r>
      <w:r w:rsidR="006443FB">
        <w:rPr>
          <w:rFonts w:ascii="Arial" w:hAnsi="Arial" w:cs="Arial"/>
          <w:sz w:val="24"/>
          <w:szCs w:val="24"/>
        </w:rPr>
        <w:t xml:space="preserve"> and</w:t>
      </w:r>
      <w:r w:rsidR="004D54D0">
        <w:rPr>
          <w:rFonts w:ascii="Arial" w:hAnsi="Arial" w:cs="Arial"/>
          <w:sz w:val="24"/>
          <w:szCs w:val="24"/>
        </w:rPr>
        <w:t xml:space="preserve"> Dr. Emi Kiyotake for all of your help and friendship over the years, I have learned so much from all of you. I would further like to thank Dr. Tingting Gu </w:t>
      </w:r>
      <w:r w:rsidR="006443FB">
        <w:rPr>
          <w:rFonts w:ascii="Arial" w:hAnsi="Arial" w:cs="Arial"/>
          <w:sz w:val="24"/>
          <w:szCs w:val="24"/>
        </w:rPr>
        <w:t xml:space="preserve">and the staff of the </w:t>
      </w:r>
      <w:r w:rsidR="006443FB" w:rsidRPr="006443FB">
        <w:rPr>
          <w:rFonts w:ascii="Arial" w:hAnsi="Arial" w:cs="Arial"/>
          <w:sz w:val="24"/>
          <w:szCs w:val="24"/>
        </w:rPr>
        <w:t>Samuel Roberts Noble Microscopy Laboratory</w:t>
      </w:r>
      <w:r w:rsidR="006443FB">
        <w:rPr>
          <w:rFonts w:ascii="Arial" w:hAnsi="Arial" w:cs="Arial"/>
          <w:sz w:val="24"/>
          <w:szCs w:val="24"/>
        </w:rPr>
        <w:t xml:space="preserve">, as well as Ben Fowler and the staff of the </w:t>
      </w:r>
      <w:r w:rsidR="006443FB" w:rsidRPr="006443FB">
        <w:rPr>
          <w:rFonts w:ascii="Arial" w:hAnsi="Arial" w:cs="Arial"/>
          <w:sz w:val="24"/>
          <w:szCs w:val="24"/>
        </w:rPr>
        <w:t>Oklahoma Medical Research Foundation Imaging Core Facility,</w:t>
      </w:r>
      <w:r w:rsidR="006443FB">
        <w:rPr>
          <w:rFonts w:ascii="Arial" w:hAnsi="Arial" w:cs="Arial"/>
          <w:sz w:val="24"/>
          <w:szCs w:val="24"/>
        </w:rPr>
        <w:t xml:space="preserve"> the training and mentorship you have given me in the use of light microscopes has been essential to the research described in this dissertation. Thanks to Dr. Paul DeAngelis, Dixy Green, Dr. Joerg Bewersdorf, Dr. Ons M’Saad</w:t>
      </w:r>
      <w:r w:rsidR="00EE74E2">
        <w:rPr>
          <w:rFonts w:ascii="Arial" w:hAnsi="Arial" w:cs="Arial"/>
          <w:sz w:val="24"/>
          <w:szCs w:val="24"/>
        </w:rPr>
        <w:t xml:space="preserve">, </w:t>
      </w:r>
      <w:r w:rsidR="006443FB">
        <w:rPr>
          <w:rFonts w:ascii="Arial" w:hAnsi="Arial" w:cs="Arial"/>
          <w:sz w:val="24"/>
          <w:szCs w:val="24"/>
        </w:rPr>
        <w:t>Dr. Xuxin Chen,</w:t>
      </w:r>
      <w:r w:rsidR="00EE74E2">
        <w:rPr>
          <w:rFonts w:ascii="Arial" w:hAnsi="Arial" w:cs="Arial"/>
          <w:sz w:val="24"/>
          <w:szCs w:val="24"/>
        </w:rPr>
        <w:t xml:space="preserve"> and</w:t>
      </w:r>
      <w:r w:rsidR="006443FB">
        <w:rPr>
          <w:rFonts w:ascii="Arial" w:hAnsi="Arial" w:cs="Arial"/>
          <w:sz w:val="24"/>
          <w:szCs w:val="24"/>
        </w:rPr>
        <w:t xml:space="preserve"> Meredith Jones</w:t>
      </w:r>
      <w:r w:rsidR="00EE74E2">
        <w:rPr>
          <w:rFonts w:ascii="Arial" w:hAnsi="Arial" w:cs="Arial"/>
          <w:sz w:val="24"/>
          <w:szCs w:val="24"/>
        </w:rPr>
        <w:t xml:space="preserve"> for your assistance in getting our collaborated manuscript to the height of being published in ACS Nano.</w:t>
      </w:r>
    </w:p>
    <w:p w14:paraId="30D0FEC3" w14:textId="6F63BC77" w:rsidR="00EE74E2" w:rsidRDefault="00EE74E2" w:rsidP="00EE74E2">
      <w:pPr>
        <w:spacing w:line="480" w:lineRule="auto"/>
        <w:ind w:firstLine="720"/>
        <w:jc w:val="both"/>
        <w:rPr>
          <w:rFonts w:ascii="Arial" w:hAnsi="Arial" w:cs="Arial"/>
          <w:sz w:val="24"/>
          <w:szCs w:val="24"/>
        </w:rPr>
      </w:pPr>
      <w:r>
        <w:rPr>
          <w:rFonts w:ascii="Arial" w:hAnsi="Arial" w:cs="Arial"/>
          <w:sz w:val="24"/>
          <w:szCs w:val="24"/>
        </w:rPr>
        <w:t xml:space="preserve">I would also like to thank Hamilton Young, Amberlynn Demko, James Lowe, </w:t>
      </w:r>
      <w:r w:rsidR="00C0067B">
        <w:rPr>
          <w:rFonts w:ascii="Arial" w:hAnsi="Arial" w:cs="Arial"/>
          <w:sz w:val="24"/>
          <w:szCs w:val="24"/>
        </w:rPr>
        <w:t xml:space="preserve">Yuxin He, </w:t>
      </w:r>
      <w:proofErr w:type="spellStart"/>
      <w:r>
        <w:rPr>
          <w:rFonts w:ascii="Arial" w:hAnsi="Arial" w:cs="Arial"/>
          <w:sz w:val="24"/>
          <w:szCs w:val="24"/>
        </w:rPr>
        <w:t>Majood</w:t>
      </w:r>
      <w:proofErr w:type="spellEnd"/>
      <w:r>
        <w:rPr>
          <w:rFonts w:ascii="Arial" w:hAnsi="Arial" w:cs="Arial"/>
          <w:sz w:val="24"/>
          <w:szCs w:val="24"/>
        </w:rPr>
        <w:t xml:space="preserve"> Haddad, Alyssa Holden, Sarah Butterfield, and Emmy Francek for your help with experiments over the years. </w:t>
      </w:r>
      <w:r w:rsidR="0022550B">
        <w:rPr>
          <w:rFonts w:ascii="Arial" w:hAnsi="Arial" w:cs="Arial"/>
          <w:sz w:val="24"/>
          <w:szCs w:val="24"/>
        </w:rPr>
        <w:t xml:space="preserve">I also thank Mohammad Jamei and </w:t>
      </w:r>
      <w:proofErr w:type="spellStart"/>
      <w:r w:rsidR="0022550B">
        <w:rPr>
          <w:rFonts w:ascii="Arial" w:hAnsi="Arial" w:cs="Arial"/>
          <w:sz w:val="24"/>
          <w:szCs w:val="24"/>
        </w:rPr>
        <w:t>Jeesoo</w:t>
      </w:r>
      <w:proofErr w:type="spellEnd"/>
      <w:r w:rsidR="0022550B">
        <w:rPr>
          <w:rFonts w:ascii="Arial" w:hAnsi="Arial" w:cs="Arial"/>
          <w:sz w:val="24"/>
          <w:szCs w:val="24"/>
        </w:rPr>
        <w:t xml:space="preserve"> Park, who </w:t>
      </w:r>
      <w:r w:rsidR="0022550B">
        <w:rPr>
          <w:rFonts w:ascii="Arial" w:hAnsi="Arial" w:cs="Arial"/>
          <w:sz w:val="24"/>
          <w:szCs w:val="24"/>
        </w:rPr>
        <w:lastRenderedPageBreak/>
        <w:t xml:space="preserve">will be continuing on my work on applying super-resolution microscopy to study nanoparticle intracellular distribution. </w:t>
      </w:r>
    </w:p>
    <w:p w14:paraId="407553CC" w14:textId="23910EAD" w:rsidR="0022550B" w:rsidRDefault="0022550B" w:rsidP="00EE74E2">
      <w:pPr>
        <w:spacing w:line="480" w:lineRule="auto"/>
        <w:ind w:firstLine="720"/>
        <w:jc w:val="both"/>
        <w:rPr>
          <w:rFonts w:ascii="Arial" w:hAnsi="Arial" w:cs="Arial"/>
          <w:sz w:val="24"/>
          <w:szCs w:val="24"/>
        </w:rPr>
      </w:pPr>
      <w:r>
        <w:rPr>
          <w:rFonts w:ascii="Arial" w:hAnsi="Arial" w:cs="Arial"/>
          <w:sz w:val="24"/>
          <w:szCs w:val="24"/>
        </w:rPr>
        <w:t xml:space="preserve">I would like to give a special thanks to my undergraduate mentees, Abbie </w:t>
      </w:r>
      <w:proofErr w:type="gramStart"/>
      <w:r>
        <w:rPr>
          <w:rFonts w:ascii="Arial" w:hAnsi="Arial" w:cs="Arial"/>
          <w:sz w:val="24"/>
          <w:szCs w:val="24"/>
        </w:rPr>
        <w:t>Thomas</w:t>
      </w:r>
      <w:proofErr w:type="gramEnd"/>
      <w:r>
        <w:rPr>
          <w:rFonts w:ascii="Arial" w:hAnsi="Arial" w:cs="Arial"/>
          <w:sz w:val="24"/>
          <w:szCs w:val="24"/>
        </w:rPr>
        <w:t xml:space="preserve"> and Rylee Newport. Thank you for your never-ending help and support throughout all the highs and lows of our research. I have learned as much from</w:t>
      </w:r>
      <w:r w:rsidR="00822363">
        <w:rPr>
          <w:rFonts w:ascii="Arial" w:hAnsi="Arial" w:cs="Arial"/>
          <w:sz w:val="24"/>
          <w:szCs w:val="24"/>
        </w:rPr>
        <w:t xml:space="preserve"> the both of</w:t>
      </w:r>
      <w:r>
        <w:rPr>
          <w:rFonts w:ascii="Arial" w:hAnsi="Arial" w:cs="Arial"/>
          <w:sz w:val="24"/>
          <w:szCs w:val="24"/>
        </w:rPr>
        <w:t xml:space="preserve"> you as I hope you have learned from me. You are amazing scientists, and I wish you all the best in your own graduate studies</w:t>
      </w:r>
      <w:r w:rsidR="00822363">
        <w:rPr>
          <w:rFonts w:ascii="Arial" w:hAnsi="Arial" w:cs="Arial"/>
          <w:sz w:val="24"/>
          <w:szCs w:val="24"/>
        </w:rPr>
        <w:t>. The future is bright, and I look forward to seeing all the great results you will produce!</w:t>
      </w:r>
    </w:p>
    <w:p w14:paraId="2C6E650E" w14:textId="77A1A6E0" w:rsidR="00822363" w:rsidRPr="0017180A" w:rsidRDefault="00822363" w:rsidP="00EE74E2">
      <w:pPr>
        <w:spacing w:line="480" w:lineRule="auto"/>
        <w:ind w:firstLine="720"/>
        <w:jc w:val="both"/>
        <w:rPr>
          <w:rFonts w:ascii="Arial" w:hAnsi="Arial" w:cs="Arial"/>
          <w:sz w:val="24"/>
          <w:szCs w:val="24"/>
        </w:rPr>
      </w:pPr>
      <w:r>
        <w:rPr>
          <w:rFonts w:ascii="Arial" w:hAnsi="Arial" w:cs="Arial"/>
          <w:sz w:val="24"/>
          <w:szCs w:val="24"/>
        </w:rPr>
        <w:t xml:space="preserve">Finally, I would like to thank my family and friends, whose support and encouragement have greatly helped me get through this long journey. No matter how far apart we </w:t>
      </w:r>
      <w:r w:rsidR="00B42066">
        <w:rPr>
          <w:rFonts w:ascii="Arial" w:hAnsi="Arial" w:cs="Arial"/>
          <w:sz w:val="24"/>
          <w:szCs w:val="24"/>
        </w:rPr>
        <w:t>may be</w:t>
      </w:r>
      <w:r>
        <w:rPr>
          <w:rFonts w:ascii="Arial" w:hAnsi="Arial" w:cs="Arial"/>
          <w:sz w:val="24"/>
          <w:szCs w:val="24"/>
        </w:rPr>
        <w:t xml:space="preserve"> physically, we have always been and always will be together. </w:t>
      </w:r>
    </w:p>
    <w:p w14:paraId="44E137D5" w14:textId="451C9B5E" w:rsidR="00C06183" w:rsidRPr="00BD0333" w:rsidRDefault="00F07EB1" w:rsidP="00BD0333">
      <w:pPr>
        <w:spacing w:line="480" w:lineRule="auto"/>
        <w:ind w:firstLine="720"/>
        <w:jc w:val="both"/>
        <w:rPr>
          <w:rFonts w:ascii="Arial" w:hAnsi="Arial" w:cs="Arial"/>
          <w:sz w:val="24"/>
          <w:szCs w:val="24"/>
        </w:rPr>
      </w:pPr>
      <w:r>
        <w:rPr>
          <w:rFonts w:ascii="Arial" w:hAnsi="Arial" w:cs="Arial"/>
          <w:sz w:val="24"/>
          <w:szCs w:val="24"/>
        </w:rPr>
        <w:tab/>
      </w:r>
      <w:r w:rsidR="00C06183" w:rsidRPr="00BD0333">
        <w:rPr>
          <w:rFonts w:ascii="Arial" w:hAnsi="Arial" w:cs="Arial"/>
          <w:sz w:val="24"/>
          <w:szCs w:val="24"/>
        </w:rPr>
        <w:br w:type="page"/>
      </w:r>
    </w:p>
    <w:p w14:paraId="5139215A" w14:textId="77777777" w:rsidR="00C06183" w:rsidRPr="007D08B7" w:rsidRDefault="00C06183" w:rsidP="00721691">
      <w:pPr>
        <w:pStyle w:val="Heading1"/>
      </w:pPr>
      <w:bookmarkStart w:id="1" w:name="_Toc151032400"/>
      <w:r w:rsidRPr="007D08B7">
        <w:lastRenderedPageBreak/>
        <w:t>Table of Contents</w:t>
      </w:r>
      <w:bookmarkEnd w:id="1"/>
    </w:p>
    <w:sdt>
      <w:sdtPr>
        <w:rPr>
          <w:rFonts w:asciiTheme="minorHAnsi" w:eastAsiaTheme="minorHAnsi" w:hAnsiTheme="minorHAnsi" w:cstheme="minorBidi"/>
          <w:color w:val="auto"/>
          <w:sz w:val="22"/>
          <w:szCs w:val="22"/>
        </w:rPr>
        <w:id w:val="-587841100"/>
        <w:docPartObj>
          <w:docPartGallery w:val="Table of Contents"/>
          <w:docPartUnique/>
        </w:docPartObj>
      </w:sdtPr>
      <w:sdtEndPr>
        <w:rPr>
          <w:b/>
          <w:bCs/>
          <w:noProof/>
        </w:rPr>
      </w:sdtEndPr>
      <w:sdtContent>
        <w:p w14:paraId="1494B7C9" w14:textId="01F696B9" w:rsidR="007D08B7" w:rsidRDefault="007D08B7">
          <w:pPr>
            <w:pStyle w:val="TOCHeading"/>
          </w:pPr>
        </w:p>
        <w:p w14:paraId="3D3BA0B2" w14:textId="7B8CBFD6" w:rsidR="000B3F0C" w:rsidRDefault="007D08B7">
          <w:pPr>
            <w:pStyle w:val="TOC1"/>
            <w:rPr>
              <w:rFonts w:eastAsiaTheme="minorEastAsia"/>
              <w:noProof/>
              <w:kern w:val="2"/>
              <w14:ligatures w14:val="standardContextual"/>
            </w:rPr>
          </w:pPr>
          <w:r>
            <w:fldChar w:fldCharType="begin"/>
          </w:r>
          <w:r>
            <w:instrText xml:space="preserve"> TOC \o "1-3" \h \z \u </w:instrText>
          </w:r>
          <w:r>
            <w:fldChar w:fldCharType="separate"/>
          </w:r>
          <w:hyperlink w:anchor="_Toc151032399" w:history="1">
            <w:r w:rsidR="000B3F0C" w:rsidRPr="007E53E1">
              <w:rPr>
                <w:rStyle w:val="Hyperlink"/>
                <w:rFonts w:cs="Arial"/>
                <w:noProof/>
              </w:rPr>
              <w:t>Acknowledgments</w:t>
            </w:r>
            <w:r w:rsidR="000B3F0C">
              <w:rPr>
                <w:noProof/>
                <w:webHidden/>
              </w:rPr>
              <w:tab/>
            </w:r>
            <w:r w:rsidR="000B3F0C">
              <w:rPr>
                <w:noProof/>
                <w:webHidden/>
              </w:rPr>
              <w:fldChar w:fldCharType="begin"/>
            </w:r>
            <w:r w:rsidR="000B3F0C">
              <w:rPr>
                <w:noProof/>
                <w:webHidden/>
              </w:rPr>
              <w:instrText xml:space="preserve"> PAGEREF _Toc151032399 \h </w:instrText>
            </w:r>
            <w:r w:rsidR="000B3F0C">
              <w:rPr>
                <w:noProof/>
                <w:webHidden/>
              </w:rPr>
            </w:r>
            <w:r w:rsidR="000B3F0C">
              <w:rPr>
                <w:noProof/>
                <w:webHidden/>
              </w:rPr>
              <w:fldChar w:fldCharType="separate"/>
            </w:r>
            <w:r w:rsidR="00E47903">
              <w:rPr>
                <w:noProof/>
                <w:webHidden/>
              </w:rPr>
              <w:t>iv</w:t>
            </w:r>
            <w:r w:rsidR="000B3F0C">
              <w:rPr>
                <w:noProof/>
                <w:webHidden/>
              </w:rPr>
              <w:fldChar w:fldCharType="end"/>
            </w:r>
          </w:hyperlink>
        </w:p>
        <w:p w14:paraId="3390ACE0" w14:textId="68556E7E" w:rsidR="000B3F0C" w:rsidRDefault="00000000">
          <w:pPr>
            <w:pStyle w:val="TOC1"/>
            <w:rPr>
              <w:rFonts w:eastAsiaTheme="minorEastAsia"/>
              <w:noProof/>
              <w:kern w:val="2"/>
              <w14:ligatures w14:val="standardContextual"/>
            </w:rPr>
          </w:pPr>
          <w:hyperlink w:anchor="_Toc151032400" w:history="1">
            <w:r w:rsidR="000B3F0C" w:rsidRPr="007E53E1">
              <w:rPr>
                <w:rStyle w:val="Hyperlink"/>
                <w:noProof/>
              </w:rPr>
              <w:t>Table of Contents</w:t>
            </w:r>
            <w:r w:rsidR="000B3F0C">
              <w:rPr>
                <w:noProof/>
                <w:webHidden/>
              </w:rPr>
              <w:tab/>
            </w:r>
            <w:r w:rsidR="000B3F0C">
              <w:rPr>
                <w:noProof/>
                <w:webHidden/>
              </w:rPr>
              <w:fldChar w:fldCharType="begin"/>
            </w:r>
            <w:r w:rsidR="000B3F0C">
              <w:rPr>
                <w:noProof/>
                <w:webHidden/>
              </w:rPr>
              <w:instrText xml:space="preserve"> PAGEREF _Toc151032400 \h </w:instrText>
            </w:r>
            <w:r w:rsidR="000B3F0C">
              <w:rPr>
                <w:noProof/>
                <w:webHidden/>
              </w:rPr>
            </w:r>
            <w:r w:rsidR="000B3F0C">
              <w:rPr>
                <w:noProof/>
                <w:webHidden/>
              </w:rPr>
              <w:fldChar w:fldCharType="separate"/>
            </w:r>
            <w:r w:rsidR="00E47903">
              <w:rPr>
                <w:noProof/>
                <w:webHidden/>
              </w:rPr>
              <w:t>vi</w:t>
            </w:r>
            <w:r w:rsidR="000B3F0C">
              <w:rPr>
                <w:noProof/>
                <w:webHidden/>
              </w:rPr>
              <w:fldChar w:fldCharType="end"/>
            </w:r>
          </w:hyperlink>
        </w:p>
        <w:p w14:paraId="5044C98B" w14:textId="3B7FE81E" w:rsidR="000B3F0C" w:rsidRDefault="00000000">
          <w:pPr>
            <w:pStyle w:val="TOC1"/>
            <w:rPr>
              <w:rFonts w:eastAsiaTheme="minorEastAsia"/>
              <w:noProof/>
              <w:kern w:val="2"/>
              <w14:ligatures w14:val="standardContextual"/>
            </w:rPr>
          </w:pPr>
          <w:hyperlink w:anchor="_Toc151032401" w:history="1">
            <w:r w:rsidR="000B3F0C" w:rsidRPr="007E53E1">
              <w:rPr>
                <w:rStyle w:val="Hyperlink"/>
                <w:noProof/>
              </w:rPr>
              <w:t>List of Figures</w:t>
            </w:r>
            <w:r w:rsidR="000B3F0C">
              <w:rPr>
                <w:noProof/>
                <w:webHidden/>
              </w:rPr>
              <w:tab/>
            </w:r>
            <w:r w:rsidR="000B3F0C">
              <w:rPr>
                <w:noProof/>
                <w:webHidden/>
              </w:rPr>
              <w:fldChar w:fldCharType="begin"/>
            </w:r>
            <w:r w:rsidR="000B3F0C">
              <w:rPr>
                <w:noProof/>
                <w:webHidden/>
              </w:rPr>
              <w:instrText xml:space="preserve"> PAGEREF _Toc151032401 \h </w:instrText>
            </w:r>
            <w:r w:rsidR="000B3F0C">
              <w:rPr>
                <w:noProof/>
                <w:webHidden/>
              </w:rPr>
            </w:r>
            <w:r w:rsidR="000B3F0C">
              <w:rPr>
                <w:noProof/>
                <w:webHidden/>
              </w:rPr>
              <w:fldChar w:fldCharType="separate"/>
            </w:r>
            <w:r w:rsidR="00E47903">
              <w:rPr>
                <w:noProof/>
                <w:webHidden/>
              </w:rPr>
              <w:t>viii</w:t>
            </w:r>
            <w:r w:rsidR="000B3F0C">
              <w:rPr>
                <w:noProof/>
                <w:webHidden/>
              </w:rPr>
              <w:fldChar w:fldCharType="end"/>
            </w:r>
          </w:hyperlink>
        </w:p>
        <w:p w14:paraId="79F4ADDD" w14:textId="42B99322" w:rsidR="000B3F0C" w:rsidRDefault="00000000">
          <w:pPr>
            <w:pStyle w:val="TOC1"/>
            <w:rPr>
              <w:rFonts w:eastAsiaTheme="minorEastAsia"/>
              <w:noProof/>
              <w:kern w:val="2"/>
              <w14:ligatures w14:val="standardContextual"/>
            </w:rPr>
          </w:pPr>
          <w:hyperlink w:anchor="_Toc151032402" w:history="1">
            <w:r w:rsidR="000B3F0C" w:rsidRPr="007E53E1">
              <w:rPr>
                <w:rStyle w:val="Hyperlink"/>
                <w:noProof/>
              </w:rPr>
              <w:t>List of Tables</w:t>
            </w:r>
            <w:r w:rsidR="000B3F0C">
              <w:rPr>
                <w:noProof/>
                <w:webHidden/>
              </w:rPr>
              <w:tab/>
            </w:r>
            <w:r w:rsidR="000B3F0C">
              <w:rPr>
                <w:noProof/>
                <w:webHidden/>
              </w:rPr>
              <w:fldChar w:fldCharType="begin"/>
            </w:r>
            <w:r w:rsidR="000B3F0C">
              <w:rPr>
                <w:noProof/>
                <w:webHidden/>
              </w:rPr>
              <w:instrText xml:space="preserve"> PAGEREF _Toc151032402 \h </w:instrText>
            </w:r>
            <w:r w:rsidR="000B3F0C">
              <w:rPr>
                <w:noProof/>
                <w:webHidden/>
              </w:rPr>
            </w:r>
            <w:r w:rsidR="000B3F0C">
              <w:rPr>
                <w:noProof/>
                <w:webHidden/>
              </w:rPr>
              <w:fldChar w:fldCharType="separate"/>
            </w:r>
            <w:r w:rsidR="00E47903">
              <w:rPr>
                <w:noProof/>
                <w:webHidden/>
              </w:rPr>
              <w:t>xi</w:t>
            </w:r>
            <w:r w:rsidR="000B3F0C">
              <w:rPr>
                <w:noProof/>
                <w:webHidden/>
              </w:rPr>
              <w:fldChar w:fldCharType="end"/>
            </w:r>
          </w:hyperlink>
        </w:p>
        <w:p w14:paraId="3ABEE55B" w14:textId="2B08B243" w:rsidR="000B3F0C" w:rsidRDefault="00000000">
          <w:pPr>
            <w:pStyle w:val="TOC1"/>
            <w:rPr>
              <w:rFonts w:eastAsiaTheme="minorEastAsia"/>
              <w:noProof/>
              <w:kern w:val="2"/>
              <w14:ligatures w14:val="standardContextual"/>
            </w:rPr>
          </w:pPr>
          <w:hyperlink w:anchor="_Toc151032403" w:history="1">
            <w:r w:rsidR="000B3F0C" w:rsidRPr="007E53E1">
              <w:rPr>
                <w:rStyle w:val="Hyperlink"/>
                <w:noProof/>
              </w:rPr>
              <w:t>Abstract</w:t>
            </w:r>
            <w:r w:rsidR="000B3F0C">
              <w:rPr>
                <w:noProof/>
                <w:webHidden/>
              </w:rPr>
              <w:tab/>
            </w:r>
            <w:r w:rsidR="000B3F0C">
              <w:rPr>
                <w:noProof/>
                <w:webHidden/>
              </w:rPr>
              <w:fldChar w:fldCharType="begin"/>
            </w:r>
            <w:r w:rsidR="000B3F0C">
              <w:rPr>
                <w:noProof/>
                <w:webHidden/>
              </w:rPr>
              <w:instrText xml:space="preserve"> PAGEREF _Toc151032403 \h </w:instrText>
            </w:r>
            <w:r w:rsidR="000B3F0C">
              <w:rPr>
                <w:noProof/>
                <w:webHidden/>
              </w:rPr>
            </w:r>
            <w:r w:rsidR="000B3F0C">
              <w:rPr>
                <w:noProof/>
                <w:webHidden/>
              </w:rPr>
              <w:fldChar w:fldCharType="separate"/>
            </w:r>
            <w:r w:rsidR="00E47903">
              <w:rPr>
                <w:noProof/>
                <w:webHidden/>
              </w:rPr>
              <w:t>xii</w:t>
            </w:r>
            <w:r w:rsidR="000B3F0C">
              <w:rPr>
                <w:noProof/>
                <w:webHidden/>
              </w:rPr>
              <w:fldChar w:fldCharType="end"/>
            </w:r>
          </w:hyperlink>
        </w:p>
        <w:p w14:paraId="4871A774" w14:textId="582A5288" w:rsidR="000B3F0C" w:rsidRDefault="00000000">
          <w:pPr>
            <w:pStyle w:val="TOC1"/>
            <w:rPr>
              <w:rFonts w:eastAsiaTheme="minorEastAsia"/>
              <w:noProof/>
              <w:kern w:val="2"/>
              <w14:ligatures w14:val="standardContextual"/>
            </w:rPr>
          </w:pPr>
          <w:hyperlink w:anchor="_Toc151032404" w:history="1">
            <w:r w:rsidR="000B3F0C" w:rsidRPr="007E53E1">
              <w:rPr>
                <w:rStyle w:val="Hyperlink"/>
                <w:noProof/>
              </w:rPr>
              <w:t>Objectives and Aims</w:t>
            </w:r>
            <w:r w:rsidR="000B3F0C">
              <w:rPr>
                <w:noProof/>
                <w:webHidden/>
              </w:rPr>
              <w:tab/>
            </w:r>
            <w:r w:rsidR="000B3F0C">
              <w:rPr>
                <w:noProof/>
                <w:webHidden/>
              </w:rPr>
              <w:fldChar w:fldCharType="begin"/>
            </w:r>
            <w:r w:rsidR="000B3F0C">
              <w:rPr>
                <w:noProof/>
                <w:webHidden/>
              </w:rPr>
              <w:instrText xml:space="preserve"> PAGEREF _Toc151032404 \h </w:instrText>
            </w:r>
            <w:r w:rsidR="000B3F0C">
              <w:rPr>
                <w:noProof/>
                <w:webHidden/>
              </w:rPr>
            </w:r>
            <w:r w:rsidR="000B3F0C">
              <w:rPr>
                <w:noProof/>
                <w:webHidden/>
              </w:rPr>
              <w:fldChar w:fldCharType="separate"/>
            </w:r>
            <w:r w:rsidR="00E47903">
              <w:rPr>
                <w:noProof/>
                <w:webHidden/>
              </w:rPr>
              <w:t>1</w:t>
            </w:r>
            <w:r w:rsidR="000B3F0C">
              <w:rPr>
                <w:noProof/>
                <w:webHidden/>
              </w:rPr>
              <w:fldChar w:fldCharType="end"/>
            </w:r>
          </w:hyperlink>
        </w:p>
        <w:p w14:paraId="4B31ED59" w14:textId="0E9486B0" w:rsidR="000B3F0C" w:rsidRDefault="00000000">
          <w:pPr>
            <w:pStyle w:val="TOC1"/>
            <w:rPr>
              <w:rFonts w:eastAsiaTheme="minorEastAsia"/>
              <w:noProof/>
              <w:kern w:val="2"/>
              <w14:ligatures w14:val="standardContextual"/>
            </w:rPr>
          </w:pPr>
          <w:hyperlink w:anchor="_Toc151032405" w:history="1">
            <w:r w:rsidR="000B3F0C" w:rsidRPr="007E53E1">
              <w:rPr>
                <w:rStyle w:val="Hyperlink"/>
                <w:noProof/>
              </w:rPr>
              <w:t>Chapter 1: Strategies for Delivering Nanoparticles across Tumor Blood Vessels</w:t>
            </w:r>
            <w:r w:rsidR="000B3F0C">
              <w:rPr>
                <w:noProof/>
                <w:webHidden/>
              </w:rPr>
              <w:tab/>
            </w:r>
            <w:r w:rsidR="000B3F0C">
              <w:rPr>
                <w:noProof/>
                <w:webHidden/>
              </w:rPr>
              <w:fldChar w:fldCharType="begin"/>
            </w:r>
            <w:r w:rsidR="000B3F0C">
              <w:rPr>
                <w:noProof/>
                <w:webHidden/>
              </w:rPr>
              <w:instrText xml:space="preserve"> PAGEREF _Toc151032405 \h </w:instrText>
            </w:r>
            <w:r w:rsidR="000B3F0C">
              <w:rPr>
                <w:noProof/>
                <w:webHidden/>
              </w:rPr>
            </w:r>
            <w:r w:rsidR="000B3F0C">
              <w:rPr>
                <w:noProof/>
                <w:webHidden/>
              </w:rPr>
              <w:fldChar w:fldCharType="separate"/>
            </w:r>
            <w:r w:rsidR="00E47903">
              <w:rPr>
                <w:noProof/>
                <w:webHidden/>
              </w:rPr>
              <w:t>4</w:t>
            </w:r>
            <w:r w:rsidR="000B3F0C">
              <w:rPr>
                <w:noProof/>
                <w:webHidden/>
              </w:rPr>
              <w:fldChar w:fldCharType="end"/>
            </w:r>
          </w:hyperlink>
        </w:p>
        <w:p w14:paraId="556B51DD" w14:textId="57054431" w:rsidR="000B3F0C" w:rsidRDefault="00000000">
          <w:pPr>
            <w:pStyle w:val="TOC2"/>
            <w:tabs>
              <w:tab w:val="left" w:pos="880"/>
              <w:tab w:val="right" w:leader="dot" w:pos="9350"/>
            </w:tabs>
            <w:rPr>
              <w:rFonts w:eastAsiaTheme="minorEastAsia"/>
              <w:noProof/>
              <w:kern w:val="2"/>
              <w14:ligatures w14:val="standardContextual"/>
            </w:rPr>
          </w:pPr>
          <w:hyperlink w:anchor="_Toc151032406" w:history="1">
            <w:r w:rsidR="000B3F0C" w:rsidRPr="007E53E1">
              <w:rPr>
                <w:rStyle w:val="Hyperlink"/>
                <w:noProof/>
              </w:rPr>
              <w:t>1.1.</w:t>
            </w:r>
            <w:r w:rsidR="000B3F0C">
              <w:rPr>
                <w:rFonts w:eastAsiaTheme="minorEastAsia"/>
                <w:noProof/>
                <w:kern w:val="2"/>
                <w14:ligatures w14:val="standardContextual"/>
              </w:rPr>
              <w:tab/>
            </w:r>
            <w:r w:rsidR="000B3F0C" w:rsidRPr="007E53E1">
              <w:rPr>
                <w:rStyle w:val="Hyperlink"/>
                <w:noProof/>
              </w:rPr>
              <w:t>Introduction</w:t>
            </w:r>
            <w:r w:rsidR="000B3F0C">
              <w:rPr>
                <w:noProof/>
                <w:webHidden/>
              </w:rPr>
              <w:tab/>
            </w:r>
            <w:r w:rsidR="000B3F0C">
              <w:rPr>
                <w:noProof/>
                <w:webHidden/>
              </w:rPr>
              <w:fldChar w:fldCharType="begin"/>
            </w:r>
            <w:r w:rsidR="000B3F0C">
              <w:rPr>
                <w:noProof/>
                <w:webHidden/>
              </w:rPr>
              <w:instrText xml:space="preserve"> PAGEREF _Toc151032406 \h </w:instrText>
            </w:r>
            <w:r w:rsidR="000B3F0C">
              <w:rPr>
                <w:noProof/>
                <w:webHidden/>
              </w:rPr>
            </w:r>
            <w:r w:rsidR="000B3F0C">
              <w:rPr>
                <w:noProof/>
                <w:webHidden/>
              </w:rPr>
              <w:fldChar w:fldCharType="separate"/>
            </w:r>
            <w:r w:rsidR="00E47903">
              <w:rPr>
                <w:noProof/>
                <w:webHidden/>
              </w:rPr>
              <w:t>4</w:t>
            </w:r>
            <w:r w:rsidR="000B3F0C">
              <w:rPr>
                <w:noProof/>
                <w:webHidden/>
              </w:rPr>
              <w:fldChar w:fldCharType="end"/>
            </w:r>
          </w:hyperlink>
        </w:p>
        <w:p w14:paraId="11305FA8" w14:textId="61D5A4BC" w:rsidR="000B3F0C" w:rsidRDefault="00000000">
          <w:pPr>
            <w:pStyle w:val="TOC2"/>
            <w:tabs>
              <w:tab w:val="left" w:pos="880"/>
              <w:tab w:val="right" w:leader="dot" w:pos="9350"/>
            </w:tabs>
            <w:rPr>
              <w:rFonts w:eastAsiaTheme="minorEastAsia"/>
              <w:noProof/>
              <w:kern w:val="2"/>
              <w14:ligatures w14:val="standardContextual"/>
            </w:rPr>
          </w:pPr>
          <w:hyperlink w:anchor="_Toc151032407" w:history="1">
            <w:r w:rsidR="000B3F0C" w:rsidRPr="007E53E1">
              <w:rPr>
                <w:rStyle w:val="Hyperlink"/>
                <w:rFonts w:cs="Arial"/>
                <w:bCs/>
                <w:noProof/>
              </w:rPr>
              <w:t>1.2.</w:t>
            </w:r>
            <w:r w:rsidR="000B3F0C">
              <w:rPr>
                <w:rFonts w:eastAsiaTheme="minorEastAsia"/>
                <w:noProof/>
                <w:kern w:val="2"/>
                <w14:ligatures w14:val="standardContextual"/>
              </w:rPr>
              <w:tab/>
            </w:r>
            <w:r w:rsidR="000B3F0C" w:rsidRPr="007E53E1">
              <w:rPr>
                <w:rStyle w:val="Hyperlink"/>
                <w:rFonts w:cs="Arial"/>
                <w:bCs/>
                <w:noProof/>
              </w:rPr>
              <w:t>The tumor microenvironment and vasculature</w:t>
            </w:r>
            <w:r w:rsidR="000B3F0C">
              <w:rPr>
                <w:noProof/>
                <w:webHidden/>
              </w:rPr>
              <w:tab/>
            </w:r>
            <w:r w:rsidR="000B3F0C">
              <w:rPr>
                <w:noProof/>
                <w:webHidden/>
              </w:rPr>
              <w:fldChar w:fldCharType="begin"/>
            </w:r>
            <w:r w:rsidR="000B3F0C">
              <w:rPr>
                <w:noProof/>
                <w:webHidden/>
              </w:rPr>
              <w:instrText xml:space="preserve"> PAGEREF _Toc151032407 \h </w:instrText>
            </w:r>
            <w:r w:rsidR="000B3F0C">
              <w:rPr>
                <w:noProof/>
                <w:webHidden/>
              </w:rPr>
            </w:r>
            <w:r w:rsidR="000B3F0C">
              <w:rPr>
                <w:noProof/>
                <w:webHidden/>
              </w:rPr>
              <w:fldChar w:fldCharType="separate"/>
            </w:r>
            <w:r w:rsidR="00E47903">
              <w:rPr>
                <w:noProof/>
                <w:webHidden/>
              </w:rPr>
              <w:t>9</w:t>
            </w:r>
            <w:r w:rsidR="000B3F0C">
              <w:rPr>
                <w:noProof/>
                <w:webHidden/>
              </w:rPr>
              <w:fldChar w:fldCharType="end"/>
            </w:r>
          </w:hyperlink>
        </w:p>
        <w:p w14:paraId="07D277BE" w14:textId="76CBCEBA" w:rsidR="000B3F0C" w:rsidRDefault="00000000">
          <w:pPr>
            <w:pStyle w:val="TOC3"/>
            <w:tabs>
              <w:tab w:val="left" w:pos="1320"/>
              <w:tab w:val="right" w:leader="dot" w:pos="9350"/>
            </w:tabs>
            <w:rPr>
              <w:rFonts w:eastAsiaTheme="minorEastAsia"/>
              <w:noProof/>
              <w:kern w:val="2"/>
              <w14:ligatures w14:val="standardContextual"/>
            </w:rPr>
          </w:pPr>
          <w:hyperlink w:anchor="_Toc151032408" w:history="1">
            <w:r w:rsidR="000B3F0C" w:rsidRPr="007E53E1">
              <w:rPr>
                <w:rStyle w:val="Hyperlink"/>
                <w:rFonts w:cs="Arial"/>
                <w:bCs/>
                <w:noProof/>
              </w:rPr>
              <w:t xml:space="preserve">1.2.1 </w:t>
            </w:r>
            <w:r w:rsidR="000B3F0C">
              <w:rPr>
                <w:rFonts w:eastAsiaTheme="minorEastAsia"/>
                <w:noProof/>
                <w:kern w:val="2"/>
                <w14:ligatures w14:val="standardContextual"/>
              </w:rPr>
              <w:tab/>
            </w:r>
            <w:r w:rsidR="000B3F0C" w:rsidRPr="007E53E1">
              <w:rPr>
                <w:rStyle w:val="Hyperlink"/>
                <w:rFonts w:cs="Arial"/>
                <w:bCs/>
                <w:noProof/>
              </w:rPr>
              <w:t>The tumor microenvironment</w:t>
            </w:r>
            <w:r w:rsidR="000B3F0C">
              <w:rPr>
                <w:noProof/>
                <w:webHidden/>
              </w:rPr>
              <w:tab/>
            </w:r>
            <w:r w:rsidR="000B3F0C">
              <w:rPr>
                <w:noProof/>
                <w:webHidden/>
              </w:rPr>
              <w:fldChar w:fldCharType="begin"/>
            </w:r>
            <w:r w:rsidR="000B3F0C">
              <w:rPr>
                <w:noProof/>
                <w:webHidden/>
              </w:rPr>
              <w:instrText xml:space="preserve"> PAGEREF _Toc151032408 \h </w:instrText>
            </w:r>
            <w:r w:rsidR="000B3F0C">
              <w:rPr>
                <w:noProof/>
                <w:webHidden/>
              </w:rPr>
            </w:r>
            <w:r w:rsidR="000B3F0C">
              <w:rPr>
                <w:noProof/>
                <w:webHidden/>
              </w:rPr>
              <w:fldChar w:fldCharType="separate"/>
            </w:r>
            <w:r w:rsidR="00E47903">
              <w:rPr>
                <w:noProof/>
                <w:webHidden/>
              </w:rPr>
              <w:t>9</w:t>
            </w:r>
            <w:r w:rsidR="000B3F0C">
              <w:rPr>
                <w:noProof/>
                <w:webHidden/>
              </w:rPr>
              <w:fldChar w:fldCharType="end"/>
            </w:r>
          </w:hyperlink>
        </w:p>
        <w:p w14:paraId="304860FB" w14:textId="7910007C" w:rsidR="000B3F0C" w:rsidRDefault="00000000">
          <w:pPr>
            <w:pStyle w:val="TOC3"/>
            <w:tabs>
              <w:tab w:val="left" w:pos="1320"/>
              <w:tab w:val="right" w:leader="dot" w:pos="9350"/>
            </w:tabs>
            <w:rPr>
              <w:rFonts w:eastAsiaTheme="minorEastAsia"/>
              <w:noProof/>
              <w:kern w:val="2"/>
              <w14:ligatures w14:val="standardContextual"/>
            </w:rPr>
          </w:pPr>
          <w:hyperlink w:anchor="_Toc151032409" w:history="1">
            <w:r w:rsidR="000B3F0C" w:rsidRPr="007E53E1">
              <w:rPr>
                <w:rStyle w:val="Hyperlink"/>
                <w:rFonts w:cs="Arial"/>
                <w:bCs/>
                <w:noProof/>
              </w:rPr>
              <w:t xml:space="preserve">1.2.2 </w:t>
            </w:r>
            <w:r w:rsidR="000B3F0C">
              <w:rPr>
                <w:rFonts w:eastAsiaTheme="minorEastAsia"/>
                <w:noProof/>
                <w:kern w:val="2"/>
                <w14:ligatures w14:val="standardContextual"/>
              </w:rPr>
              <w:tab/>
            </w:r>
            <w:r w:rsidR="000B3F0C" w:rsidRPr="007E53E1">
              <w:rPr>
                <w:rStyle w:val="Hyperlink"/>
                <w:rFonts w:cs="Arial"/>
                <w:bCs/>
                <w:noProof/>
              </w:rPr>
              <w:t>Angiogenesis and tumor vasculature</w:t>
            </w:r>
            <w:r w:rsidR="000B3F0C">
              <w:rPr>
                <w:noProof/>
                <w:webHidden/>
              </w:rPr>
              <w:tab/>
            </w:r>
            <w:r w:rsidR="000B3F0C">
              <w:rPr>
                <w:noProof/>
                <w:webHidden/>
              </w:rPr>
              <w:fldChar w:fldCharType="begin"/>
            </w:r>
            <w:r w:rsidR="000B3F0C">
              <w:rPr>
                <w:noProof/>
                <w:webHidden/>
              </w:rPr>
              <w:instrText xml:space="preserve"> PAGEREF _Toc151032409 \h </w:instrText>
            </w:r>
            <w:r w:rsidR="000B3F0C">
              <w:rPr>
                <w:noProof/>
                <w:webHidden/>
              </w:rPr>
            </w:r>
            <w:r w:rsidR="000B3F0C">
              <w:rPr>
                <w:noProof/>
                <w:webHidden/>
              </w:rPr>
              <w:fldChar w:fldCharType="separate"/>
            </w:r>
            <w:r w:rsidR="00E47903">
              <w:rPr>
                <w:noProof/>
                <w:webHidden/>
              </w:rPr>
              <w:t>13</w:t>
            </w:r>
            <w:r w:rsidR="000B3F0C">
              <w:rPr>
                <w:noProof/>
                <w:webHidden/>
              </w:rPr>
              <w:fldChar w:fldCharType="end"/>
            </w:r>
          </w:hyperlink>
        </w:p>
        <w:p w14:paraId="63BD566C" w14:textId="015D7F86" w:rsidR="000B3F0C" w:rsidRDefault="00000000">
          <w:pPr>
            <w:pStyle w:val="TOC2"/>
            <w:tabs>
              <w:tab w:val="left" w:pos="880"/>
              <w:tab w:val="right" w:leader="dot" w:pos="9350"/>
            </w:tabs>
            <w:rPr>
              <w:rFonts w:eastAsiaTheme="minorEastAsia"/>
              <w:noProof/>
              <w:kern w:val="2"/>
              <w14:ligatures w14:val="standardContextual"/>
            </w:rPr>
          </w:pPr>
          <w:hyperlink w:anchor="_Toc151032410" w:history="1">
            <w:r w:rsidR="000B3F0C" w:rsidRPr="007E53E1">
              <w:rPr>
                <w:rStyle w:val="Hyperlink"/>
                <w:noProof/>
              </w:rPr>
              <w:t>1.3.</w:t>
            </w:r>
            <w:r w:rsidR="000B3F0C">
              <w:rPr>
                <w:rFonts w:eastAsiaTheme="minorEastAsia"/>
                <w:noProof/>
                <w:kern w:val="2"/>
                <w14:ligatures w14:val="standardContextual"/>
              </w:rPr>
              <w:tab/>
            </w:r>
            <w:r w:rsidR="000B3F0C" w:rsidRPr="007E53E1">
              <w:rPr>
                <w:rStyle w:val="Hyperlink"/>
                <w:noProof/>
              </w:rPr>
              <w:t>The entry of nanoparticles into the tumor microenvironment</w:t>
            </w:r>
            <w:r w:rsidR="000B3F0C">
              <w:rPr>
                <w:noProof/>
                <w:webHidden/>
              </w:rPr>
              <w:tab/>
            </w:r>
            <w:r w:rsidR="000B3F0C">
              <w:rPr>
                <w:noProof/>
                <w:webHidden/>
              </w:rPr>
              <w:fldChar w:fldCharType="begin"/>
            </w:r>
            <w:r w:rsidR="000B3F0C">
              <w:rPr>
                <w:noProof/>
                <w:webHidden/>
              </w:rPr>
              <w:instrText xml:space="preserve"> PAGEREF _Toc151032410 \h </w:instrText>
            </w:r>
            <w:r w:rsidR="000B3F0C">
              <w:rPr>
                <w:noProof/>
                <w:webHidden/>
              </w:rPr>
            </w:r>
            <w:r w:rsidR="000B3F0C">
              <w:rPr>
                <w:noProof/>
                <w:webHidden/>
              </w:rPr>
              <w:fldChar w:fldCharType="separate"/>
            </w:r>
            <w:r w:rsidR="00E47903">
              <w:rPr>
                <w:noProof/>
                <w:webHidden/>
              </w:rPr>
              <w:t>18</w:t>
            </w:r>
            <w:r w:rsidR="000B3F0C">
              <w:rPr>
                <w:noProof/>
                <w:webHidden/>
              </w:rPr>
              <w:fldChar w:fldCharType="end"/>
            </w:r>
          </w:hyperlink>
        </w:p>
        <w:p w14:paraId="71A953E2" w14:textId="2D6FB3DD" w:rsidR="000B3F0C" w:rsidRDefault="00000000">
          <w:pPr>
            <w:pStyle w:val="TOC3"/>
            <w:tabs>
              <w:tab w:val="left" w:pos="1320"/>
              <w:tab w:val="right" w:leader="dot" w:pos="9350"/>
            </w:tabs>
            <w:rPr>
              <w:rFonts w:eastAsiaTheme="minorEastAsia"/>
              <w:noProof/>
              <w:kern w:val="2"/>
              <w14:ligatures w14:val="standardContextual"/>
            </w:rPr>
          </w:pPr>
          <w:hyperlink w:anchor="_Toc151032411" w:history="1">
            <w:r w:rsidR="000B3F0C" w:rsidRPr="007E53E1">
              <w:rPr>
                <w:rStyle w:val="Hyperlink"/>
                <w:noProof/>
              </w:rPr>
              <w:t>1.3.1</w:t>
            </w:r>
            <w:r w:rsidR="000B3F0C">
              <w:rPr>
                <w:rFonts w:eastAsiaTheme="minorEastAsia"/>
                <w:noProof/>
                <w:kern w:val="2"/>
                <w14:ligatures w14:val="standardContextual"/>
              </w:rPr>
              <w:tab/>
            </w:r>
            <w:r w:rsidR="000B3F0C" w:rsidRPr="007E53E1">
              <w:rPr>
                <w:rStyle w:val="Hyperlink"/>
                <w:noProof/>
              </w:rPr>
              <w:t>Overview of existing paradigms</w:t>
            </w:r>
            <w:r w:rsidR="000B3F0C">
              <w:rPr>
                <w:noProof/>
                <w:webHidden/>
              </w:rPr>
              <w:tab/>
            </w:r>
            <w:r w:rsidR="000B3F0C">
              <w:rPr>
                <w:noProof/>
                <w:webHidden/>
              </w:rPr>
              <w:fldChar w:fldCharType="begin"/>
            </w:r>
            <w:r w:rsidR="000B3F0C">
              <w:rPr>
                <w:noProof/>
                <w:webHidden/>
              </w:rPr>
              <w:instrText xml:space="preserve"> PAGEREF _Toc151032411 \h </w:instrText>
            </w:r>
            <w:r w:rsidR="000B3F0C">
              <w:rPr>
                <w:noProof/>
                <w:webHidden/>
              </w:rPr>
            </w:r>
            <w:r w:rsidR="000B3F0C">
              <w:rPr>
                <w:noProof/>
                <w:webHidden/>
              </w:rPr>
              <w:fldChar w:fldCharType="separate"/>
            </w:r>
            <w:r w:rsidR="00E47903">
              <w:rPr>
                <w:noProof/>
                <w:webHidden/>
              </w:rPr>
              <w:t>18</w:t>
            </w:r>
            <w:r w:rsidR="000B3F0C">
              <w:rPr>
                <w:noProof/>
                <w:webHidden/>
              </w:rPr>
              <w:fldChar w:fldCharType="end"/>
            </w:r>
          </w:hyperlink>
        </w:p>
        <w:p w14:paraId="0803FF77" w14:textId="7995782A" w:rsidR="000B3F0C" w:rsidRDefault="00000000">
          <w:pPr>
            <w:pStyle w:val="TOC3"/>
            <w:tabs>
              <w:tab w:val="left" w:pos="1320"/>
              <w:tab w:val="right" w:leader="dot" w:pos="9350"/>
            </w:tabs>
            <w:rPr>
              <w:rFonts w:eastAsiaTheme="minorEastAsia"/>
              <w:noProof/>
              <w:kern w:val="2"/>
              <w14:ligatures w14:val="standardContextual"/>
            </w:rPr>
          </w:pPr>
          <w:hyperlink w:anchor="_Toc151032412" w:history="1">
            <w:r w:rsidR="000B3F0C" w:rsidRPr="007E53E1">
              <w:rPr>
                <w:rStyle w:val="Hyperlink"/>
                <w:noProof/>
              </w:rPr>
              <w:t xml:space="preserve">1.3.2 </w:t>
            </w:r>
            <w:r w:rsidR="000B3F0C">
              <w:rPr>
                <w:rFonts w:eastAsiaTheme="minorEastAsia"/>
                <w:noProof/>
                <w:kern w:val="2"/>
                <w14:ligatures w14:val="standardContextual"/>
              </w:rPr>
              <w:tab/>
            </w:r>
            <w:r w:rsidR="000B3F0C" w:rsidRPr="007E53E1">
              <w:rPr>
                <w:rStyle w:val="Hyperlink"/>
                <w:noProof/>
              </w:rPr>
              <w:t>Endocytosis mechanisms of tumor endothelial cells</w:t>
            </w:r>
            <w:r w:rsidR="000B3F0C">
              <w:rPr>
                <w:noProof/>
                <w:webHidden/>
              </w:rPr>
              <w:tab/>
            </w:r>
            <w:r w:rsidR="000B3F0C">
              <w:rPr>
                <w:noProof/>
                <w:webHidden/>
              </w:rPr>
              <w:fldChar w:fldCharType="begin"/>
            </w:r>
            <w:r w:rsidR="000B3F0C">
              <w:rPr>
                <w:noProof/>
                <w:webHidden/>
              </w:rPr>
              <w:instrText xml:space="preserve"> PAGEREF _Toc151032412 \h </w:instrText>
            </w:r>
            <w:r w:rsidR="000B3F0C">
              <w:rPr>
                <w:noProof/>
                <w:webHidden/>
              </w:rPr>
            </w:r>
            <w:r w:rsidR="000B3F0C">
              <w:rPr>
                <w:noProof/>
                <w:webHidden/>
              </w:rPr>
              <w:fldChar w:fldCharType="separate"/>
            </w:r>
            <w:r w:rsidR="00E47903">
              <w:rPr>
                <w:noProof/>
                <w:webHidden/>
              </w:rPr>
              <w:t>25</w:t>
            </w:r>
            <w:r w:rsidR="000B3F0C">
              <w:rPr>
                <w:noProof/>
                <w:webHidden/>
              </w:rPr>
              <w:fldChar w:fldCharType="end"/>
            </w:r>
          </w:hyperlink>
        </w:p>
        <w:p w14:paraId="1C6C1D2C" w14:textId="22BADFB5" w:rsidR="000B3F0C" w:rsidRDefault="00000000">
          <w:pPr>
            <w:pStyle w:val="TOC2"/>
            <w:tabs>
              <w:tab w:val="left" w:pos="880"/>
              <w:tab w:val="right" w:leader="dot" w:pos="9350"/>
            </w:tabs>
            <w:rPr>
              <w:rFonts w:eastAsiaTheme="minorEastAsia"/>
              <w:noProof/>
              <w:kern w:val="2"/>
              <w14:ligatures w14:val="standardContextual"/>
            </w:rPr>
          </w:pPr>
          <w:hyperlink w:anchor="_Toc151032413" w:history="1">
            <w:r w:rsidR="000B3F0C" w:rsidRPr="007E53E1">
              <w:rPr>
                <w:rStyle w:val="Hyperlink"/>
                <w:noProof/>
              </w:rPr>
              <w:t>1.4.</w:t>
            </w:r>
            <w:r w:rsidR="000B3F0C">
              <w:rPr>
                <w:rFonts w:eastAsiaTheme="minorEastAsia"/>
                <w:noProof/>
                <w:kern w:val="2"/>
                <w14:ligatures w14:val="standardContextual"/>
              </w:rPr>
              <w:tab/>
            </w:r>
            <w:r w:rsidR="000B3F0C" w:rsidRPr="007E53E1">
              <w:rPr>
                <w:rStyle w:val="Hyperlink"/>
                <w:noProof/>
              </w:rPr>
              <w:t>Tools and techniques to investigate nanoparticle transport pathways across tumor endothelial cells</w:t>
            </w:r>
            <w:r w:rsidR="000B3F0C">
              <w:rPr>
                <w:noProof/>
                <w:webHidden/>
              </w:rPr>
              <w:tab/>
            </w:r>
            <w:r w:rsidR="000B3F0C">
              <w:rPr>
                <w:noProof/>
                <w:webHidden/>
              </w:rPr>
              <w:fldChar w:fldCharType="begin"/>
            </w:r>
            <w:r w:rsidR="000B3F0C">
              <w:rPr>
                <w:noProof/>
                <w:webHidden/>
              </w:rPr>
              <w:instrText xml:space="preserve"> PAGEREF _Toc151032413 \h </w:instrText>
            </w:r>
            <w:r w:rsidR="000B3F0C">
              <w:rPr>
                <w:noProof/>
                <w:webHidden/>
              </w:rPr>
            </w:r>
            <w:r w:rsidR="000B3F0C">
              <w:rPr>
                <w:noProof/>
                <w:webHidden/>
              </w:rPr>
              <w:fldChar w:fldCharType="separate"/>
            </w:r>
            <w:r w:rsidR="00E47903">
              <w:rPr>
                <w:noProof/>
                <w:webHidden/>
              </w:rPr>
              <w:t>33</w:t>
            </w:r>
            <w:r w:rsidR="000B3F0C">
              <w:rPr>
                <w:noProof/>
                <w:webHidden/>
              </w:rPr>
              <w:fldChar w:fldCharType="end"/>
            </w:r>
          </w:hyperlink>
        </w:p>
        <w:p w14:paraId="7AA7E983" w14:textId="00F307D0" w:rsidR="000B3F0C" w:rsidRDefault="00000000">
          <w:pPr>
            <w:pStyle w:val="TOC3"/>
            <w:tabs>
              <w:tab w:val="left" w:pos="1320"/>
              <w:tab w:val="right" w:leader="dot" w:pos="9350"/>
            </w:tabs>
            <w:rPr>
              <w:rFonts w:eastAsiaTheme="minorEastAsia"/>
              <w:noProof/>
              <w:kern w:val="2"/>
              <w14:ligatures w14:val="standardContextual"/>
            </w:rPr>
          </w:pPr>
          <w:hyperlink w:anchor="_Toc151032414" w:history="1">
            <w:r w:rsidR="000B3F0C" w:rsidRPr="007E53E1">
              <w:rPr>
                <w:rStyle w:val="Hyperlink"/>
                <w:noProof/>
              </w:rPr>
              <w:t>1.4.1</w:t>
            </w:r>
            <w:r w:rsidR="000B3F0C">
              <w:rPr>
                <w:rFonts w:eastAsiaTheme="minorEastAsia"/>
                <w:noProof/>
                <w:kern w:val="2"/>
                <w14:ligatures w14:val="standardContextual"/>
              </w:rPr>
              <w:tab/>
            </w:r>
            <w:r w:rsidR="000B3F0C" w:rsidRPr="007E53E1">
              <w:rPr>
                <w:rStyle w:val="Hyperlink"/>
                <w:noProof/>
              </w:rPr>
              <w:t>Inhibiting endocytic pathways</w:t>
            </w:r>
            <w:r w:rsidR="000B3F0C">
              <w:rPr>
                <w:noProof/>
                <w:webHidden/>
              </w:rPr>
              <w:tab/>
            </w:r>
            <w:r w:rsidR="000B3F0C">
              <w:rPr>
                <w:noProof/>
                <w:webHidden/>
              </w:rPr>
              <w:fldChar w:fldCharType="begin"/>
            </w:r>
            <w:r w:rsidR="000B3F0C">
              <w:rPr>
                <w:noProof/>
                <w:webHidden/>
              </w:rPr>
              <w:instrText xml:space="preserve"> PAGEREF _Toc151032414 \h </w:instrText>
            </w:r>
            <w:r w:rsidR="000B3F0C">
              <w:rPr>
                <w:noProof/>
                <w:webHidden/>
              </w:rPr>
            </w:r>
            <w:r w:rsidR="000B3F0C">
              <w:rPr>
                <w:noProof/>
                <w:webHidden/>
              </w:rPr>
              <w:fldChar w:fldCharType="separate"/>
            </w:r>
            <w:r w:rsidR="00E47903">
              <w:rPr>
                <w:noProof/>
                <w:webHidden/>
              </w:rPr>
              <w:t>39</w:t>
            </w:r>
            <w:r w:rsidR="000B3F0C">
              <w:rPr>
                <w:noProof/>
                <w:webHidden/>
              </w:rPr>
              <w:fldChar w:fldCharType="end"/>
            </w:r>
          </w:hyperlink>
        </w:p>
        <w:p w14:paraId="16B64034" w14:textId="610853D2" w:rsidR="000B3F0C" w:rsidRDefault="00000000">
          <w:pPr>
            <w:pStyle w:val="TOC3"/>
            <w:tabs>
              <w:tab w:val="left" w:pos="1320"/>
              <w:tab w:val="right" w:leader="dot" w:pos="9350"/>
            </w:tabs>
            <w:rPr>
              <w:rFonts w:eastAsiaTheme="minorEastAsia"/>
              <w:noProof/>
              <w:kern w:val="2"/>
              <w14:ligatures w14:val="standardContextual"/>
            </w:rPr>
          </w:pPr>
          <w:hyperlink w:anchor="_Toc151032415" w:history="1">
            <w:r w:rsidR="000B3F0C" w:rsidRPr="007E53E1">
              <w:rPr>
                <w:rStyle w:val="Hyperlink"/>
                <w:noProof/>
              </w:rPr>
              <w:t>1.4.2</w:t>
            </w:r>
            <w:r w:rsidR="000B3F0C">
              <w:rPr>
                <w:rFonts w:eastAsiaTheme="minorEastAsia"/>
                <w:noProof/>
                <w:kern w:val="2"/>
                <w14:ligatures w14:val="standardContextual"/>
              </w:rPr>
              <w:tab/>
            </w:r>
            <w:r w:rsidR="000B3F0C" w:rsidRPr="007E53E1">
              <w:rPr>
                <w:rStyle w:val="Hyperlink"/>
                <w:noProof/>
              </w:rPr>
              <w:t>Methods for visualizing and studying endocytic pathways</w:t>
            </w:r>
            <w:r w:rsidR="000B3F0C">
              <w:rPr>
                <w:noProof/>
                <w:webHidden/>
              </w:rPr>
              <w:tab/>
            </w:r>
            <w:r w:rsidR="000B3F0C">
              <w:rPr>
                <w:noProof/>
                <w:webHidden/>
              </w:rPr>
              <w:fldChar w:fldCharType="begin"/>
            </w:r>
            <w:r w:rsidR="000B3F0C">
              <w:rPr>
                <w:noProof/>
                <w:webHidden/>
              </w:rPr>
              <w:instrText xml:space="preserve"> PAGEREF _Toc151032415 \h </w:instrText>
            </w:r>
            <w:r w:rsidR="000B3F0C">
              <w:rPr>
                <w:noProof/>
                <w:webHidden/>
              </w:rPr>
            </w:r>
            <w:r w:rsidR="000B3F0C">
              <w:rPr>
                <w:noProof/>
                <w:webHidden/>
              </w:rPr>
              <w:fldChar w:fldCharType="separate"/>
            </w:r>
            <w:r w:rsidR="00E47903">
              <w:rPr>
                <w:noProof/>
                <w:webHidden/>
              </w:rPr>
              <w:t>48</w:t>
            </w:r>
            <w:r w:rsidR="000B3F0C">
              <w:rPr>
                <w:noProof/>
                <w:webHidden/>
              </w:rPr>
              <w:fldChar w:fldCharType="end"/>
            </w:r>
          </w:hyperlink>
        </w:p>
        <w:p w14:paraId="68C9B6DF" w14:textId="5447EB2A" w:rsidR="000B3F0C" w:rsidRDefault="00000000">
          <w:pPr>
            <w:pStyle w:val="TOC2"/>
            <w:tabs>
              <w:tab w:val="left" w:pos="880"/>
              <w:tab w:val="right" w:leader="dot" w:pos="9350"/>
            </w:tabs>
            <w:rPr>
              <w:rFonts w:eastAsiaTheme="minorEastAsia"/>
              <w:noProof/>
              <w:kern w:val="2"/>
              <w14:ligatures w14:val="standardContextual"/>
            </w:rPr>
          </w:pPr>
          <w:hyperlink w:anchor="_Toc151032416" w:history="1">
            <w:r w:rsidR="000B3F0C" w:rsidRPr="007E53E1">
              <w:rPr>
                <w:rStyle w:val="Hyperlink"/>
                <w:noProof/>
              </w:rPr>
              <w:t>1.5.</w:t>
            </w:r>
            <w:r w:rsidR="000B3F0C">
              <w:rPr>
                <w:rFonts w:eastAsiaTheme="minorEastAsia"/>
                <w:noProof/>
                <w:kern w:val="2"/>
                <w14:ligatures w14:val="standardContextual"/>
              </w:rPr>
              <w:tab/>
            </w:r>
            <w:r w:rsidR="000B3F0C" w:rsidRPr="007E53E1">
              <w:rPr>
                <w:rStyle w:val="Hyperlink"/>
                <w:noProof/>
              </w:rPr>
              <w:t>Conclusions</w:t>
            </w:r>
            <w:r w:rsidR="000B3F0C">
              <w:rPr>
                <w:noProof/>
                <w:webHidden/>
              </w:rPr>
              <w:tab/>
            </w:r>
            <w:r w:rsidR="000B3F0C">
              <w:rPr>
                <w:noProof/>
                <w:webHidden/>
              </w:rPr>
              <w:fldChar w:fldCharType="begin"/>
            </w:r>
            <w:r w:rsidR="000B3F0C">
              <w:rPr>
                <w:noProof/>
                <w:webHidden/>
              </w:rPr>
              <w:instrText xml:space="preserve"> PAGEREF _Toc151032416 \h </w:instrText>
            </w:r>
            <w:r w:rsidR="000B3F0C">
              <w:rPr>
                <w:noProof/>
                <w:webHidden/>
              </w:rPr>
            </w:r>
            <w:r w:rsidR="000B3F0C">
              <w:rPr>
                <w:noProof/>
                <w:webHidden/>
              </w:rPr>
              <w:fldChar w:fldCharType="separate"/>
            </w:r>
            <w:r w:rsidR="00E47903">
              <w:rPr>
                <w:noProof/>
                <w:webHidden/>
              </w:rPr>
              <w:t>52</w:t>
            </w:r>
            <w:r w:rsidR="000B3F0C">
              <w:rPr>
                <w:noProof/>
                <w:webHidden/>
              </w:rPr>
              <w:fldChar w:fldCharType="end"/>
            </w:r>
          </w:hyperlink>
        </w:p>
        <w:p w14:paraId="1D797AC1" w14:textId="62E6BFD6" w:rsidR="000B3F0C" w:rsidRDefault="00000000">
          <w:pPr>
            <w:pStyle w:val="TOC1"/>
            <w:rPr>
              <w:rFonts w:eastAsiaTheme="minorEastAsia"/>
              <w:noProof/>
              <w:kern w:val="2"/>
              <w14:ligatures w14:val="standardContextual"/>
            </w:rPr>
          </w:pPr>
          <w:hyperlink w:anchor="_Toc151032417" w:history="1">
            <w:r w:rsidR="000B3F0C" w:rsidRPr="007E53E1">
              <w:rPr>
                <w:rStyle w:val="Hyperlink"/>
                <w:noProof/>
              </w:rPr>
              <w:t>Chapter 2: Three-Dimensional Super-Resolution Microscopy for Visualizing Metallic Nanoparticle Localization Within Cells</w:t>
            </w:r>
            <w:r w:rsidR="000B3F0C">
              <w:rPr>
                <w:noProof/>
                <w:webHidden/>
              </w:rPr>
              <w:tab/>
            </w:r>
            <w:r w:rsidR="000B3F0C">
              <w:rPr>
                <w:noProof/>
                <w:webHidden/>
              </w:rPr>
              <w:fldChar w:fldCharType="begin"/>
            </w:r>
            <w:r w:rsidR="000B3F0C">
              <w:rPr>
                <w:noProof/>
                <w:webHidden/>
              </w:rPr>
              <w:instrText xml:space="preserve"> PAGEREF _Toc151032417 \h </w:instrText>
            </w:r>
            <w:r w:rsidR="000B3F0C">
              <w:rPr>
                <w:noProof/>
                <w:webHidden/>
              </w:rPr>
            </w:r>
            <w:r w:rsidR="000B3F0C">
              <w:rPr>
                <w:noProof/>
                <w:webHidden/>
              </w:rPr>
              <w:fldChar w:fldCharType="separate"/>
            </w:r>
            <w:r w:rsidR="00E47903">
              <w:rPr>
                <w:noProof/>
                <w:webHidden/>
              </w:rPr>
              <w:t>53</w:t>
            </w:r>
            <w:r w:rsidR="000B3F0C">
              <w:rPr>
                <w:noProof/>
                <w:webHidden/>
              </w:rPr>
              <w:fldChar w:fldCharType="end"/>
            </w:r>
          </w:hyperlink>
        </w:p>
        <w:p w14:paraId="58670D9C" w14:textId="2DBB3FCC" w:rsidR="000B3F0C" w:rsidRDefault="00000000">
          <w:pPr>
            <w:pStyle w:val="TOC2"/>
            <w:tabs>
              <w:tab w:val="right" w:leader="dot" w:pos="9350"/>
            </w:tabs>
            <w:rPr>
              <w:rFonts w:eastAsiaTheme="minorEastAsia"/>
              <w:noProof/>
              <w:kern w:val="2"/>
              <w14:ligatures w14:val="standardContextual"/>
            </w:rPr>
          </w:pPr>
          <w:hyperlink w:anchor="_Toc151032418" w:history="1">
            <w:r w:rsidR="000B3F0C" w:rsidRPr="007E53E1">
              <w:rPr>
                <w:rStyle w:val="Hyperlink"/>
                <w:noProof/>
              </w:rPr>
              <w:t>2.1 Introduction</w:t>
            </w:r>
            <w:r w:rsidR="000B3F0C">
              <w:rPr>
                <w:noProof/>
                <w:webHidden/>
              </w:rPr>
              <w:tab/>
            </w:r>
            <w:r w:rsidR="000B3F0C">
              <w:rPr>
                <w:noProof/>
                <w:webHidden/>
              </w:rPr>
              <w:fldChar w:fldCharType="begin"/>
            </w:r>
            <w:r w:rsidR="000B3F0C">
              <w:rPr>
                <w:noProof/>
                <w:webHidden/>
              </w:rPr>
              <w:instrText xml:space="preserve"> PAGEREF _Toc151032418 \h </w:instrText>
            </w:r>
            <w:r w:rsidR="000B3F0C">
              <w:rPr>
                <w:noProof/>
                <w:webHidden/>
              </w:rPr>
            </w:r>
            <w:r w:rsidR="000B3F0C">
              <w:rPr>
                <w:noProof/>
                <w:webHidden/>
              </w:rPr>
              <w:fldChar w:fldCharType="separate"/>
            </w:r>
            <w:r w:rsidR="00E47903">
              <w:rPr>
                <w:noProof/>
                <w:webHidden/>
              </w:rPr>
              <w:t>53</w:t>
            </w:r>
            <w:r w:rsidR="000B3F0C">
              <w:rPr>
                <w:noProof/>
                <w:webHidden/>
              </w:rPr>
              <w:fldChar w:fldCharType="end"/>
            </w:r>
          </w:hyperlink>
        </w:p>
        <w:p w14:paraId="04820F2A" w14:textId="0D758A99" w:rsidR="000B3F0C" w:rsidRDefault="00000000">
          <w:pPr>
            <w:pStyle w:val="TOC2"/>
            <w:tabs>
              <w:tab w:val="right" w:leader="dot" w:pos="9350"/>
            </w:tabs>
            <w:rPr>
              <w:rFonts w:eastAsiaTheme="minorEastAsia"/>
              <w:noProof/>
              <w:kern w:val="2"/>
              <w14:ligatures w14:val="standardContextual"/>
            </w:rPr>
          </w:pPr>
          <w:hyperlink w:anchor="_Toc151032419" w:history="1">
            <w:r w:rsidR="000B3F0C" w:rsidRPr="007E53E1">
              <w:rPr>
                <w:rStyle w:val="Hyperlink"/>
                <w:noProof/>
              </w:rPr>
              <w:t>2.2 Results and Discussion</w:t>
            </w:r>
            <w:r w:rsidR="000B3F0C">
              <w:rPr>
                <w:noProof/>
                <w:webHidden/>
              </w:rPr>
              <w:tab/>
            </w:r>
            <w:r w:rsidR="000B3F0C">
              <w:rPr>
                <w:noProof/>
                <w:webHidden/>
              </w:rPr>
              <w:fldChar w:fldCharType="begin"/>
            </w:r>
            <w:r w:rsidR="000B3F0C">
              <w:rPr>
                <w:noProof/>
                <w:webHidden/>
              </w:rPr>
              <w:instrText xml:space="preserve"> PAGEREF _Toc151032419 \h </w:instrText>
            </w:r>
            <w:r w:rsidR="000B3F0C">
              <w:rPr>
                <w:noProof/>
                <w:webHidden/>
              </w:rPr>
            </w:r>
            <w:r w:rsidR="000B3F0C">
              <w:rPr>
                <w:noProof/>
                <w:webHidden/>
              </w:rPr>
              <w:fldChar w:fldCharType="separate"/>
            </w:r>
            <w:r w:rsidR="00E47903">
              <w:rPr>
                <w:noProof/>
                <w:webHidden/>
              </w:rPr>
              <w:t>56</w:t>
            </w:r>
            <w:r w:rsidR="000B3F0C">
              <w:rPr>
                <w:noProof/>
                <w:webHidden/>
              </w:rPr>
              <w:fldChar w:fldCharType="end"/>
            </w:r>
          </w:hyperlink>
        </w:p>
        <w:p w14:paraId="0C8C6A8B" w14:textId="0F4B658A" w:rsidR="000B3F0C" w:rsidRDefault="00000000">
          <w:pPr>
            <w:pStyle w:val="TOC3"/>
            <w:tabs>
              <w:tab w:val="right" w:leader="dot" w:pos="9350"/>
            </w:tabs>
            <w:rPr>
              <w:rFonts w:eastAsiaTheme="minorEastAsia"/>
              <w:noProof/>
              <w:kern w:val="2"/>
              <w14:ligatures w14:val="standardContextual"/>
            </w:rPr>
          </w:pPr>
          <w:hyperlink w:anchor="_Toc151032420" w:history="1">
            <w:r w:rsidR="000B3F0C" w:rsidRPr="007E53E1">
              <w:rPr>
                <w:rStyle w:val="Hyperlink"/>
                <w:noProof/>
              </w:rPr>
              <w:t>2.2.1 Achieving super-resolution imaging with expansion microscopy</w:t>
            </w:r>
            <w:r w:rsidR="000B3F0C">
              <w:rPr>
                <w:noProof/>
                <w:webHidden/>
              </w:rPr>
              <w:tab/>
            </w:r>
            <w:r w:rsidR="000B3F0C">
              <w:rPr>
                <w:noProof/>
                <w:webHidden/>
              </w:rPr>
              <w:fldChar w:fldCharType="begin"/>
            </w:r>
            <w:r w:rsidR="000B3F0C">
              <w:rPr>
                <w:noProof/>
                <w:webHidden/>
              </w:rPr>
              <w:instrText xml:space="preserve"> PAGEREF _Toc151032420 \h </w:instrText>
            </w:r>
            <w:r w:rsidR="000B3F0C">
              <w:rPr>
                <w:noProof/>
                <w:webHidden/>
              </w:rPr>
            </w:r>
            <w:r w:rsidR="000B3F0C">
              <w:rPr>
                <w:noProof/>
                <w:webHidden/>
              </w:rPr>
              <w:fldChar w:fldCharType="separate"/>
            </w:r>
            <w:r w:rsidR="00E47903">
              <w:rPr>
                <w:noProof/>
                <w:webHidden/>
              </w:rPr>
              <w:t>56</w:t>
            </w:r>
            <w:r w:rsidR="000B3F0C">
              <w:rPr>
                <w:noProof/>
                <w:webHidden/>
              </w:rPr>
              <w:fldChar w:fldCharType="end"/>
            </w:r>
          </w:hyperlink>
        </w:p>
        <w:p w14:paraId="01E01763" w14:textId="7087C6B0" w:rsidR="000B3F0C" w:rsidRDefault="00000000">
          <w:pPr>
            <w:pStyle w:val="TOC3"/>
            <w:tabs>
              <w:tab w:val="right" w:leader="dot" w:pos="9350"/>
            </w:tabs>
            <w:rPr>
              <w:rFonts w:eastAsiaTheme="minorEastAsia"/>
              <w:noProof/>
              <w:kern w:val="2"/>
              <w14:ligatures w14:val="standardContextual"/>
            </w:rPr>
          </w:pPr>
          <w:hyperlink w:anchor="_Toc151032421" w:history="1">
            <w:r w:rsidR="000B3F0C" w:rsidRPr="007E53E1">
              <w:rPr>
                <w:rStyle w:val="Hyperlink"/>
                <w:noProof/>
              </w:rPr>
              <w:t>2.2.2 Imaging intracellular features through bulk staining</w:t>
            </w:r>
            <w:r w:rsidR="000B3F0C">
              <w:rPr>
                <w:noProof/>
                <w:webHidden/>
              </w:rPr>
              <w:tab/>
            </w:r>
            <w:r w:rsidR="000B3F0C">
              <w:rPr>
                <w:noProof/>
                <w:webHidden/>
              </w:rPr>
              <w:fldChar w:fldCharType="begin"/>
            </w:r>
            <w:r w:rsidR="000B3F0C">
              <w:rPr>
                <w:noProof/>
                <w:webHidden/>
              </w:rPr>
              <w:instrText xml:space="preserve"> PAGEREF _Toc151032421 \h </w:instrText>
            </w:r>
            <w:r w:rsidR="000B3F0C">
              <w:rPr>
                <w:noProof/>
                <w:webHidden/>
              </w:rPr>
            </w:r>
            <w:r w:rsidR="000B3F0C">
              <w:rPr>
                <w:noProof/>
                <w:webHidden/>
              </w:rPr>
              <w:fldChar w:fldCharType="separate"/>
            </w:r>
            <w:r w:rsidR="00E47903">
              <w:rPr>
                <w:noProof/>
                <w:webHidden/>
              </w:rPr>
              <w:t>58</w:t>
            </w:r>
            <w:r w:rsidR="000B3F0C">
              <w:rPr>
                <w:noProof/>
                <w:webHidden/>
              </w:rPr>
              <w:fldChar w:fldCharType="end"/>
            </w:r>
          </w:hyperlink>
        </w:p>
        <w:p w14:paraId="0CEDEFFC" w14:textId="20016881" w:rsidR="000B3F0C" w:rsidRDefault="00000000">
          <w:pPr>
            <w:pStyle w:val="TOC3"/>
            <w:tabs>
              <w:tab w:val="right" w:leader="dot" w:pos="9350"/>
            </w:tabs>
            <w:rPr>
              <w:rFonts w:eastAsiaTheme="minorEastAsia"/>
              <w:noProof/>
              <w:kern w:val="2"/>
              <w14:ligatures w14:val="standardContextual"/>
            </w:rPr>
          </w:pPr>
          <w:hyperlink w:anchor="_Toc151032422" w:history="1">
            <w:r w:rsidR="000B3F0C" w:rsidRPr="007E53E1">
              <w:rPr>
                <w:rStyle w:val="Hyperlink"/>
                <w:noProof/>
              </w:rPr>
              <w:t>2.2.3 Label-free nanoparticle imaging in cells through light scattering</w:t>
            </w:r>
            <w:r w:rsidR="000B3F0C">
              <w:rPr>
                <w:noProof/>
                <w:webHidden/>
              </w:rPr>
              <w:tab/>
            </w:r>
            <w:r w:rsidR="000B3F0C">
              <w:rPr>
                <w:noProof/>
                <w:webHidden/>
              </w:rPr>
              <w:fldChar w:fldCharType="begin"/>
            </w:r>
            <w:r w:rsidR="000B3F0C">
              <w:rPr>
                <w:noProof/>
                <w:webHidden/>
              </w:rPr>
              <w:instrText xml:space="preserve"> PAGEREF _Toc151032422 \h </w:instrText>
            </w:r>
            <w:r w:rsidR="000B3F0C">
              <w:rPr>
                <w:noProof/>
                <w:webHidden/>
              </w:rPr>
            </w:r>
            <w:r w:rsidR="000B3F0C">
              <w:rPr>
                <w:noProof/>
                <w:webHidden/>
              </w:rPr>
              <w:fldChar w:fldCharType="separate"/>
            </w:r>
            <w:r w:rsidR="00E47903">
              <w:rPr>
                <w:noProof/>
                <w:webHidden/>
              </w:rPr>
              <w:t>59</w:t>
            </w:r>
            <w:r w:rsidR="000B3F0C">
              <w:rPr>
                <w:noProof/>
                <w:webHidden/>
              </w:rPr>
              <w:fldChar w:fldCharType="end"/>
            </w:r>
          </w:hyperlink>
        </w:p>
        <w:p w14:paraId="1F1C40D0" w14:textId="7AB840CC" w:rsidR="000B3F0C" w:rsidRDefault="00000000">
          <w:pPr>
            <w:pStyle w:val="TOC3"/>
            <w:tabs>
              <w:tab w:val="right" w:leader="dot" w:pos="9350"/>
            </w:tabs>
            <w:rPr>
              <w:rFonts w:eastAsiaTheme="minorEastAsia"/>
              <w:noProof/>
              <w:kern w:val="2"/>
              <w14:ligatures w14:val="standardContextual"/>
            </w:rPr>
          </w:pPr>
          <w:hyperlink w:anchor="_Toc151032423" w:history="1">
            <w:r w:rsidR="000B3F0C" w:rsidRPr="007E53E1">
              <w:rPr>
                <w:rStyle w:val="Hyperlink"/>
                <w:noProof/>
              </w:rPr>
              <w:t>2.2.4 Nanoparticle light scattering signal is not affected by photobleaching</w:t>
            </w:r>
            <w:r w:rsidR="000B3F0C">
              <w:rPr>
                <w:noProof/>
                <w:webHidden/>
              </w:rPr>
              <w:tab/>
            </w:r>
            <w:r w:rsidR="000B3F0C">
              <w:rPr>
                <w:noProof/>
                <w:webHidden/>
              </w:rPr>
              <w:fldChar w:fldCharType="begin"/>
            </w:r>
            <w:r w:rsidR="000B3F0C">
              <w:rPr>
                <w:noProof/>
                <w:webHidden/>
              </w:rPr>
              <w:instrText xml:space="preserve"> PAGEREF _Toc151032423 \h </w:instrText>
            </w:r>
            <w:r w:rsidR="000B3F0C">
              <w:rPr>
                <w:noProof/>
                <w:webHidden/>
              </w:rPr>
            </w:r>
            <w:r w:rsidR="000B3F0C">
              <w:rPr>
                <w:noProof/>
                <w:webHidden/>
              </w:rPr>
              <w:fldChar w:fldCharType="separate"/>
            </w:r>
            <w:r w:rsidR="00E47903">
              <w:rPr>
                <w:noProof/>
                <w:webHidden/>
              </w:rPr>
              <w:t>65</w:t>
            </w:r>
            <w:r w:rsidR="000B3F0C">
              <w:rPr>
                <w:noProof/>
                <w:webHidden/>
              </w:rPr>
              <w:fldChar w:fldCharType="end"/>
            </w:r>
          </w:hyperlink>
        </w:p>
        <w:p w14:paraId="19EF20C1" w14:textId="152C85AC" w:rsidR="000B3F0C" w:rsidRDefault="00000000">
          <w:pPr>
            <w:pStyle w:val="TOC3"/>
            <w:tabs>
              <w:tab w:val="right" w:leader="dot" w:pos="9350"/>
            </w:tabs>
            <w:rPr>
              <w:rFonts w:eastAsiaTheme="minorEastAsia"/>
              <w:noProof/>
              <w:kern w:val="2"/>
              <w14:ligatures w14:val="standardContextual"/>
            </w:rPr>
          </w:pPr>
          <w:hyperlink w:anchor="_Toc151032424" w:history="1">
            <w:r w:rsidR="000B3F0C" w:rsidRPr="007E53E1">
              <w:rPr>
                <w:rStyle w:val="Hyperlink"/>
                <w:noProof/>
              </w:rPr>
              <w:t>2.2.5 Combining expansion microscopy with nanoparticle light scattering imaging</w:t>
            </w:r>
            <w:r w:rsidR="000B3F0C">
              <w:rPr>
                <w:noProof/>
                <w:webHidden/>
              </w:rPr>
              <w:tab/>
            </w:r>
            <w:r w:rsidR="000B3F0C">
              <w:rPr>
                <w:noProof/>
                <w:webHidden/>
              </w:rPr>
              <w:fldChar w:fldCharType="begin"/>
            </w:r>
            <w:r w:rsidR="000B3F0C">
              <w:rPr>
                <w:noProof/>
                <w:webHidden/>
              </w:rPr>
              <w:instrText xml:space="preserve"> PAGEREF _Toc151032424 \h </w:instrText>
            </w:r>
            <w:r w:rsidR="000B3F0C">
              <w:rPr>
                <w:noProof/>
                <w:webHidden/>
              </w:rPr>
            </w:r>
            <w:r w:rsidR="000B3F0C">
              <w:rPr>
                <w:noProof/>
                <w:webHidden/>
              </w:rPr>
              <w:fldChar w:fldCharType="separate"/>
            </w:r>
            <w:r w:rsidR="00E47903">
              <w:rPr>
                <w:noProof/>
                <w:webHidden/>
              </w:rPr>
              <w:t>67</w:t>
            </w:r>
            <w:r w:rsidR="000B3F0C">
              <w:rPr>
                <w:noProof/>
                <w:webHidden/>
              </w:rPr>
              <w:fldChar w:fldCharType="end"/>
            </w:r>
          </w:hyperlink>
        </w:p>
        <w:p w14:paraId="05C8555C" w14:textId="68D69F10" w:rsidR="000B3F0C" w:rsidRDefault="00000000">
          <w:pPr>
            <w:pStyle w:val="TOC2"/>
            <w:tabs>
              <w:tab w:val="right" w:leader="dot" w:pos="9350"/>
            </w:tabs>
            <w:rPr>
              <w:rFonts w:eastAsiaTheme="minorEastAsia"/>
              <w:noProof/>
              <w:kern w:val="2"/>
              <w14:ligatures w14:val="standardContextual"/>
            </w:rPr>
          </w:pPr>
          <w:hyperlink w:anchor="_Toc151032425" w:history="1">
            <w:r w:rsidR="000B3F0C" w:rsidRPr="007E53E1">
              <w:rPr>
                <w:rStyle w:val="Hyperlink"/>
                <w:noProof/>
              </w:rPr>
              <w:t>2.3 Conclusion</w:t>
            </w:r>
            <w:r w:rsidR="000B3F0C">
              <w:rPr>
                <w:noProof/>
                <w:webHidden/>
              </w:rPr>
              <w:tab/>
            </w:r>
            <w:r w:rsidR="000B3F0C">
              <w:rPr>
                <w:noProof/>
                <w:webHidden/>
              </w:rPr>
              <w:fldChar w:fldCharType="begin"/>
            </w:r>
            <w:r w:rsidR="000B3F0C">
              <w:rPr>
                <w:noProof/>
                <w:webHidden/>
              </w:rPr>
              <w:instrText xml:space="preserve"> PAGEREF _Toc151032425 \h </w:instrText>
            </w:r>
            <w:r w:rsidR="000B3F0C">
              <w:rPr>
                <w:noProof/>
                <w:webHidden/>
              </w:rPr>
            </w:r>
            <w:r w:rsidR="000B3F0C">
              <w:rPr>
                <w:noProof/>
                <w:webHidden/>
              </w:rPr>
              <w:fldChar w:fldCharType="separate"/>
            </w:r>
            <w:r w:rsidR="00E47903">
              <w:rPr>
                <w:noProof/>
                <w:webHidden/>
              </w:rPr>
              <w:t>74</w:t>
            </w:r>
            <w:r w:rsidR="000B3F0C">
              <w:rPr>
                <w:noProof/>
                <w:webHidden/>
              </w:rPr>
              <w:fldChar w:fldCharType="end"/>
            </w:r>
          </w:hyperlink>
        </w:p>
        <w:p w14:paraId="717F5FF5" w14:textId="1842EE98" w:rsidR="000B3F0C" w:rsidRDefault="00000000">
          <w:pPr>
            <w:pStyle w:val="TOC1"/>
            <w:rPr>
              <w:rFonts w:eastAsiaTheme="minorEastAsia"/>
              <w:noProof/>
              <w:kern w:val="2"/>
              <w14:ligatures w14:val="standardContextual"/>
            </w:rPr>
          </w:pPr>
          <w:hyperlink w:anchor="_Toc151032426" w:history="1">
            <w:r w:rsidR="000B3F0C" w:rsidRPr="007E53E1">
              <w:rPr>
                <w:rStyle w:val="Hyperlink"/>
                <w:noProof/>
              </w:rPr>
              <w:t>Chapter 3: Quantifying Intracellular Nanoparticle Distributions with Three-Dimensional Super-Resolution Microscopy</w:t>
            </w:r>
            <w:r w:rsidR="000B3F0C">
              <w:rPr>
                <w:noProof/>
                <w:webHidden/>
              </w:rPr>
              <w:tab/>
            </w:r>
            <w:r w:rsidR="000B3F0C">
              <w:rPr>
                <w:noProof/>
                <w:webHidden/>
              </w:rPr>
              <w:fldChar w:fldCharType="begin"/>
            </w:r>
            <w:r w:rsidR="000B3F0C">
              <w:rPr>
                <w:noProof/>
                <w:webHidden/>
              </w:rPr>
              <w:instrText xml:space="preserve"> PAGEREF _Toc151032426 \h </w:instrText>
            </w:r>
            <w:r w:rsidR="000B3F0C">
              <w:rPr>
                <w:noProof/>
                <w:webHidden/>
              </w:rPr>
            </w:r>
            <w:r w:rsidR="000B3F0C">
              <w:rPr>
                <w:noProof/>
                <w:webHidden/>
              </w:rPr>
              <w:fldChar w:fldCharType="separate"/>
            </w:r>
            <w:r w:rsidR="00E47903">
              <w:rPr>
                <w:noProof/>
                <w:webHidden/>
              </w:rPr>
              <w:t>75</w:t>
            </w:r>
            <w:r w:rsidR="000B3F0C">
              <w:rPr>
                <w:noProof/>
                <w:webHidden/>
              </w:rPr>
              <w:fldChar w:fldCharType="end"/>
            </w:r>
          </w:hyperlink>
        </w:p>
        <w:p w14:paraId="3E911EAC" w14:textId="42AED6BE" w:rsidR="000B3F0C" w:rsidRDefault="00000000">
          <w:pPr>
            <w:pStyle w:val="TOC2"/>
            <w:tabs>
              <w:tab w:val="right" w:leader="dot" w:pos="9350"/>
            </w:tabs>
            <w:rPr>
              <w:rFonts w:eastAsiaTheme="minorEastAsia"/>
              <w:noProof/>
              <w:kern w:val="2"/>
              <w14:ligatures w14:val="standardContextual"/>
            </w:rPr>
          </w:pPr>
          <w:hyperlink w:anchor="_Toc151032427" w:history="1">
            <w:r w:rsidR="000B3F0C" w:rsidRPr="007E53E1">
              <w:rPr>
                <w:rStyle w:val="Hyperlink"/>
                <w:noProof/>
              </w:rPr>
              <w:t>3.1 Introduction</w:t>
            </w:r>
            <w:r w:rsidR="000B3F0C">
              <w:rPr>
                <w:noProof/>
                <w:webHidden/>
              </w:rPr>
              <w:tab/>
            </w:r>
            <w:r w:rsidR="000B3F0C">
              <w:rPr>
                <w:noProof/>
                <w:webHidden/>
              </w:rPr>
              <w:fldChar w:fldCharType="begin"/>
            </w:r>
            <w:r w:rsidR="000B3F0C">
              <w:rPr>
                <w:noProof/>
                <w:webHidden/>
              </w:rPr>
              <w:instrText xml:space="preserve"> PAGEREF _Toc151032427 \h </w:instrText>
            </w:r>
            <w:r w:rsidR="000B3F0C">
              <w:rPr>
                <w:noProof/>
                <w:webHidden/>
              </w:rPr>
            </w:r>
            <w:r w:rsidR="000B3F0C">
              <w:rPr>
                <w:noProof/>
                <w:webHidden/>
              </w:rPr>
              <w:fldChar w:fldCharType="separate"/>
            </w:r>
            <w:r w:rsidR="00E47903">
              <w:rPr>
                <w:noProof/>
                <w:webHidden/>
              </w:rPr>
              <w:t>75</w:t>
            </w:r>
            <w:r w:rsidR="000B3F0C">
              <w:rPr>
                <w:noProof/>
                <w:webHidden/>
              </w:rPr>
              <w:fldChar w:fldCharType="end"/>
            </w:r>
          </w:hyperlink>
        </w:p>
        <w:p w14:paraId="6052747D" w14:textId="3475A1E6" w:rsidR="000B3F0C" w:rsidRDefault="00000000">
          <w:pPr>
            <w:pStyle w:val="TOC2"/>
            <w:tabs>
              <w:tab w:val="right" w:leader="dot" w:pos="9350"/>
            </w:tabs>
            <w:rPr>
              <w:rFonts w:eastAsiaTheme="minorEastAsia"/>
              <w:noProof/>
              <w:kern w:val="2"/>
              <w14:ligatures w14:val="standardContextual"/>
            </w:rPr>
          </w:pPr>
          <w:hyperlink w:anchor="_Toc151032428" w:history="1">
            <w:r w:rsidR="000B3F0C" w:rsidRPr="007E53E1">
              <w:rPr>
                <w:rStyle w:val="Hyperlink"/>
                <w:noProof/>
              </w:rPr>
              <w:t>3.2 Results and Discussion</w:t>
            </w:r>
            <w:r w:rsidR="000B3F0C">
              <w:rPr>
                <w:noProof/>
                <w:webHidden/>
              </w:rPr>
              <w:tab/>
            </w:r>
            <w:r w:rsidR="000B3F0C">
              <w:rPr>
                <w:noProof/>
                <w:webHidden/>
              </w:rPr>
              <w:fldChar w:fldCharType="begin"/>
            </w:r>
            <w:r w:rsidR="000B3F0C">
              <w:rPr>
                <w:noProof/>
                <w:webHidden/>
              </w:rPr>
              <w:instrText xml:space="preserve"> PAGEREF _Toc151032428 \h </w:instrText>
            </w:r>
            <w:r w:rsidR="000B3F0C">
              <w:rPr>
                <w:noProof/>
                <w:webHidden/>
              </w:rPr>
            </w:r>
            <w:r w:rsidR="000B3F0C">
              <w:rPr>
                <w:noProof/>
                <w:webHidden/>
              </w:rPr>
              <w:fldChar w:fldCharType="separate"/>
            </w:r>
            <w:r w:rsidR="00E47903">
              <w:rPr>
                <w:noProof/>
                <w:webHidden/>
              </w:rPr>
              <w:t>76</w:t>
            </w:r>
            <w:r w:rsidR="000B3F0C">
              <w:rPr>
                <w:noProof/>
                <w:webHidden/>
              </w:rPr>
              <w:fldChar w:fldCharType="end"/>
            </w:r>
          </w:hyperlink>
        </w:p>
        <w:p w14:paraId="564BCE9A" w14:textId="263D84E0" w:rsidR="000B3F0C" w:rsidRDefault="00000000">
          <w:pPr>
            <w:pStyle w:val="TOC3"/>
            <w:tabs>
              <w:tab w:val="right" w:leader="dot" w:pos="9350"/>
            </w:tabs>
            <w:rPr>
              <w:rFonts w:eastAsiaTheme="minorEastAsia"/>
              <w:noProof/>
              <w:kern w:val="2"/>
              <w14:ligatures w14:val="standardContextual"/>
            </w:rPr>
          </w:pPr>
          <w:hyperlink w:anchor="_Toc151032429" w:history="1">
            <w:r w:rsidR="000B3F0C" w:rsidRPr="007E53E1">
              <w:rPr>
                <w:rStyle w:val="Hyperlink"/>
                <w:noProof/>
              </w:rPr>
              <w:t>3.2.1 Super-resolution 3D imaging of nanoparticle intracellular localization</w:t>
            </w:r>
            <w:r w:rsidR="000B3F0C">
              <w:rPr>
                <w:noProof/>
                <w:webHidden/>
              </w:rPr>
              <w:tab/>
            </w:r>
            <w:r w:rsidR="000B3F0C">
              <w:rPr>
                <w:noProof/>
                <w:webHidden/>
              </w:rPr>
              <w:fldChar w:fldCharType="begin"/>
            </w:r>
            <w:r w:rsidR="000B3F0C">
              <w:rPr>
                <w:noProof/>
                <w:webHidden/>
              </w:rPr>
              <w:instrText xml:space="preserve"> PAGEREF _Toc151032429 \h </w:instrText>
            </w:r>
            <w:r w:rsidR="000B3F0C">
              <w:rPr>
                <w:noProof/>
                <w:webHidden/>
              </w:rPr>
            </w:r>
            <w:r w:rsidR="000B3F0C">
              <w:rPr>
                <w:noProof/>
                <w:webHidden/>
              </w:rPr>
              <w:fldChar w:fldCharType="separate"/>
            </w:r>
            <w:r w:rsidR="00E47903">
              <w:rPr>
                <w:noProof/>
                <w:webHidden/>
              </w:rPr>
              <w:t>76</w:t>
            </w:r>
            <w:r w:rsidR="000B3F0C">
              <w:rPr>
                <w:noProof/>
                <w:webHidden/>
              </w:rPr>
              <w:fldChar w:fldCharType="end"/>
            </w:r>
          </w:hyperlink>
        </w:p>
        <w:p w14:paraId="3541D911" w14:textId="4BA2F201" w:rsidR="000B3F0C" w:rsidRDefault="00000000">
          <w:pPr>
            <w:pStyle w:val="TOC3"/>
            <w:tabs>
              <w:tab w:val="right" w:leader="dot" w:pos="9350"/>
            </w:tabs>
            <w:rPr>
              <w:rFonts w:eastAsiaTheme="minorEastAsia"/>
              <w:noProof/>
              <w:kern w:val="2"/>
              <w14:ligatures w14:val="standardContextual"/>
            </w:rPr>
          </w:pPr>
          <w:hyperlink w:anchor="_Toc151032430" w:history="1">
            <w:r w:rsidR="000B3F0C" w:rsidRPr="007E53E1">
              <w:rPr>
                <w:rStyle w:val="Hyperlink"/>
                <w:noProof/>
              </w:rPr>
              <w:t>3.2.2 Quantifying the effect of nanoparticle surface modifications on cell uptake and intracellular localization</w:t>
            </w:r>
            <w:r w:rsidR="000B3F0C">
              <w:rPr>
                <w:noProof/>
                <w:webHidden/>
              </w:rPr>
              <w:tab/>
            </w:r>
            <w:r w:rsidR="000B3F0C">
              <w:rPr>
                <w:noProof/>
                <w:webHidden/>
              </w:rPr>
              <w:fldChar w:fldCharType="begin"/>
            </w:r>
            <w:r w:rsidR="000B3F0C">
              <w:rPr>
                <w:noProof/>
                <w:webHidden/>
              </w:rPr>
              <w:instrText xml:space="preserve"> PAGEREF _Toc151032430 \h </w:instrText>
            </w:r>
            <w:r w:rsidR="000B3F0C">
              <w:rPr>
                <w:noProof/>
                <w:webHidden/>
              </w:rPr>
            </w:r>
            <w:r w:rsidR="000B3F0C">
              <w:rPr>
                <w:noProof/>
                <w:webHidden/>
              </w:rPr>
              <w:fldChar w:fldCharType="separate"/>
            </w:r>
            <w:r w:rsidR="00E47903">
              <w:rPr>
                <w:noProof/>
                <w:webHidden/>
              </w:rPr>
              <w:t>80</w:t>
            </w:r>
            <w:r w:rsidR="000B3F0C">
              <w:rPr>
                <w:noProof/>
                <w:webHidden/>
              </w:rPr>
              <w:fldChar w:fldCharType="end"/>
            </w:r>
          </w:hyperlink>
        </w:p>
        <w:p w14:paraId="3A3122F7" w14:textId="1CFFA0B1" w:rsidR="000B3F0C" w:rsidRDefault="00000000">
          <w:pPr>
            <w:pStyle w:val="TOC2"/>
            <w:tabs>
              <w:tab w:val="right" w:leader="dot" w:pos="9350"/>
            </w:tabs>
            <w:rPr>
              <w:rFonts w:eastAsiaTheme="minorEastAsia"/>
              <w:noProof/>
              <w:kern w:val="2"/>
              <w14:ligatures w14:val="standardContextual"/>
            </w:rPr>
          </w:pPr>
          <w:hyperlink w:anchor="_Toc151032431" w:history="1">
            <w:r w:rsidR="000B3F0C" w:rsidRPr="007E53E1">
              <w:rPr>
                <w:rStyle w:val="Hyperlink"/>
                <w:noProof/>
              </w:rPr>
              <w:t>3.3 Conclusions</w:t>
            </w:r>
            <w:r w:rsidR="000B3F0C">
              <w:rPr>
                <w:noProof/>
                <w:webHidden/>
              </w:rPr>
              <w:tab/>
            </w:r>
            <w:r w:rsidR="000B3F0C">
              <w:rPr>
                <w:noProof/>
                <w:webHidden/>
              </w:rPr>
              <w:fldChar w:fldCharType="begin"/>
            </w:r>
            <w:r w:rsidR="000B3F0C">
              <w:rPr>
                <w:noProof/>
                <w:webHidden/>
              </w:rPr>
              <w:instrText xml:space="preserve"> PAGEREF _Toc151032431 \h </w:instrText>
            </w:r>
            <w:r w:rsidR="000B3F0C">
              <w:rPr>
                <w:noProof/>
                <w:webHidden/>
              </w:rPr>
            </w:r>
            <w:r w:rsidR="000B3F0C">
              <w:rPr>
                <w:noProof/>
                <w:webHidden/>
              </w:rPr>
              <w:fldChar w:fldCharType="separate"/>
            </w:r>
            <w:r w:rsidR="00E47903">
              <w:rPr>
                <w:noProof/>
                <w:webHidden/>
              </w:rPr>
              <w:t>87</w:t>
            </w:r>
            <w:r w:rsidR="000B3F0C">
              <w:rPr>
                <w:noProof/>
                <w:webHidden/>
              </w:rPr>
              <w:fldChar w:fldCharType="end"/>
            </w:r>
          </w:hyperlink>
        </w:p>
        <w:p w14:paraId="0A1723A4" w14:textId="29B4CD75" w:rsidR="000B3F0C" w:rsidRDefault="00000000">
          <w:pPr>
            <w:pStyle w:val="TOC1"/>
            <w:rPr>
              <w:rFonts w:eastAsiaTheme="minorEastAsia"/>
              <w:noProof/>
              <w:kern w:val="2"/>
              <w14:ligatures w14:val="standardContextual"/>
            </w:rPr>
          </w:pPr>
          <w:hyperlink w:anchor="_Toc151032432" w:history="1">
            <w:r w:rsidR="000B3F0C" w:rsidRPr="007E53E1">
              <w:rPr>
                <w:rStyle w:val="Hyperlink"/>
                <w:noProof/>
              </w:rPr>
              <w:t>Chapter 4: Three-Dimensional Super-Resolution Microscopy for Visualizing Organic Nanoparticle Localization Within Cells</w:t>
            </w:r>
            <w:r w:rsidR="000B3F0C">
              <w:rPr>
                <w:noProof/>
                <w:webHidden/>
              </w:rPr>
              <w:tab/>
            </w:r>
            <w:r w:rsidR="000B3F0C">
              <w:rPr>
                <w:noProof/>
                <w:webHidden/>
              </w:rPr>
              <w:fldChar w:fldCharType="begin"/>
            </w:r>
            <w:r w:rsidR="000B3F0C">
              <w:rPr>
                <w:noProof/>
                <w:webHidden/>
              </w:rPr>
              <w:instrText xml:space="preserve"> PAGEREF _Toc151032432 \h </w:instrText>
            </w:r>
            <w:r w:rsidR="000B3F0C">
              <w:rPr>
                <w:noProof/>
                <w:webHidden/>
              </w:rPr>
            </w:r>
            <w:r w:rsidR="000B3F0C">
              <w:rPr>
                <w:noProof/>
                <w:webHidden/>
              </w:rPr>
              <w:fldChar w:fldCharType="separate"/>
            </w:r>
            <w:r w:rsidR="00E47903">
              <w:rPr>
                <w:noProof/>
                <w:webHidden/>
              </w:rPr>
              <w:t>89</w:t>
            </w:r>
            <w:r w:rsidR="000B3F0C">
              <w:rPr>
                <w:noProof/>
                <w:webHidden/>
              </w:rPr>
              <w:fldChar w:fldCharType="end"/>
            </w:r>
          </w:hyperlink>
        </w:p>
        <w:p w14:paraId="34BF101D" w14:textId="21B35689" w:rsidR="000B3F0C" w:rsidRDefault="00000000">
          <w:pPr>
            <w:pStyle w:val="TOC2"/>
            <w:tabs>
              <w:tab w:val="right" w:leader="dot" w:pos="9350"/>
            </w:tabs>
            <w:rPr>
              <w:rFonts w:eastAsiaTheme="minorEastAsia"/>
              <w:noProof/>
              <w:kern w:val="2"/>
              <w14:ligatures w14:val="standardContextual"/>
            </w:rPr>
          </w:pPr>
          <w:hyperlink w:anchor="_Toc151032433" w:history="1">
            <w:r w:rsidR="000B3F0C" w:rsidRPr="007E53E1">
              <w:rPr>
                <w:rStyle w:val="Hyperlink"/>
                <w:noProof/>
              </w:rPr>
              <w:t>4.1 Introduction</w:t>
            </w:r>
            <w:r w:rsidR="000B3F0C">
              <w:rPr>
                <w:noProof/>
                <w:webHidden/>
              </w:rPr>
              <w:tab/>
            </w:r>
            <w:r w:rsidR="000B3F0C">
              <w:rPr>
                <w:noProof/>
                <w:webHidden/>
              </w:rPr>
              <w:fldChar w:fldCharType="begin"/>
            </w:r>
            <w:r w:rsidR="000B3F0C">
              <w:rPr>
                <w:noProof/>
                <w:webHidden/>
              </w:rPr>
              <w:instrText xml:space="preserve"> PAGEREF _Toc151032433 \h </w:instrText>
            </w:r>
            <w:r w:rsidR="000B3F0C">
              <w:rPr>
                <w:noProof/>
                <w:webHidden/>
              </w:rPr>
            </w:r>
            <w:r w:rsidR="000B3F0C">
              <w:rPr>
                <w:noProof/>
                <w:webHidden/>
              </w:rPr>
              <w:fldChar w:fldCharType="separate"/>
            </w:r>
            <w:r w:rsidR="00E47903">
              <w:rPr>
                <w:noProof/>
                <w:webHidden/>
              </w:rPr>
              <w:t>89</w:t>
            </w:r>
            <w:r w:rsidR="000B3F0C">
              <w:rPr>
                <w:noProof/>
                <w:webHidden/>
              </w:rPr>
              <w:fldChar w:fldCharType="end"/>
            </w:r>
          </w:hyperlink>
        </w:p>
        <w:p w14:paraId="20D9F198" w14:textId="6DE078E8" w:rsidR="000B3F0C" w:rsidRDefault="00000000">
          <w:pPr>
            <w:pStyle w:val="TOC2"/>
            <w:tabs>
              <w:tab w:val="right" w:leader="dot" w:pos="9350"/>
            </w:tabs>
            <w:rPr>
              <w:rFonts w:eastAsiaTheme="minorEastAsia"/>
              <w:noProof/>
              <w:kern w:val="2"/>
              <w14:ligatures w14:val="standardContextual"/>
            </w:rPr>
          </w:pPr>
          <w:hyperlink w:anchor="_Toc151032434" w:history="1">
            <w:r w:rsidR="000B3F0C" w:rsidRPr="007E53E1">
              <w:rPr>
                <w:rStyle w:val="Hyperlink"/>
                <w:noProof/>
              </w:rPr>
              <w:t>4.2 Results and Discussion</w:t>
            </w:r>
            <w:r w:rsidR="000B3F0C">
              <w:rPr>
                <w:noProof/>
                <w:webHidden/>
              </w:rPr>
              <w:tab/>
            </w:r>
            <w:r w:rsidR="000B3F0C">
              <w:rPr>
                <w:noProof/>
                <w:webHidden/>
              </w:rPr>
              <w:fldChar w:fldCharType="begin"/>
            </w:r>
            <w:r w:rsidR="000B3F0C">
              <w:rPr>
                <w:noProof/>
                <w:webHidden/>
              </w:rPr>
              <w:instrText xml:space="preserve"> PAGEREF _Toc151032434 \h </w:instrText>
            </w:r>
            <w:r w:rsidR="000B3F0C">
              <w:rPr>
                <w:noProof/>
                <w:webHidden/>
              </w:rPr>
            </w:r>
            <w:r w:rsidR="000B3F0C">
              <w:rPr>
                <w:noProof/>
                <w:webHidden/>
              </w:rPr>
              <w:fldChar w:fldCharType="separate"/>
            </w:r>
            <w:r w:rsidR="00E47903">
              <w:rPr>
                <w:noProof/>
                <w:webHidden/>
              </w:rPr>
              <w:t>90</w:t>
            </w:r>
            <w:r w:rsidR="000B3F0C">
              <w:rPr>
                <w:noProof/>
                <w:webHidden/>
              </w:rPr>
              <w:fldChar w:fldCharType="end"/>
            </w:r>
          </w:hyperlink>
        </w:p>
        <w:p w14:paraId="64160B84" w14:textId="15B5F1D6" w:rsidR="000B3F0C" w:rsidRDefault="00000000">
          <w:pPr>
            <w:pStyle w:val="TOC3"/>
            <w:tabs>
              <w:tab w:val="right" w:leader="dot" w:pos="9350"/>
            </w:tabs>
            <w:rPr>
              <w:rFonts w:eastAsiaTheme="minorEastAsia"/>
              <w:noProof/>
              <w:kern w:val="2"/>
              <w14:ligatures w14:val="standardContextual"/>
            </w:rPr>
          </w:pPr>
          <w:hyperlink w:anchor="_Toc151032435" w:history="1">
            <w:r w:rsidR="000B3F0C" w:rsidRPr="007E53E1">
              <w:rPr>
                <w:rStyle w:val="Hyperlink"/>
                <w:noProof/>
              </w:rPr>
              <w:t>4.2.1 Comparison of Magnify to pan-ExM</w:t>
            </w:r>
            <w:r w:rsidR="000B3F0C">
              <w:rPr>
                <w:noProof/>
                <w:webHidden/>
              </w:rPr>
              <w:tab/>
            </w:r>
            <w:r w:rsidR="000B3F0C">
              <w:rPr>
                <w:noProof/>
                <w:webHidden/>
              </w:rPr>
              <w:fldChar w:fldCharType="begin"/>
            </w:r>
            <w:r w:rsidR="000B3F0C">
              <w:rPr>
                <w:noProof/>
                <w:webHidden/>
              </w:rPr>
              <w:instrText xml:space="preserve"> PAGEREF _Toc151032435 \h </w:instrText>
            </w:r>
            <w:r w:rsidR="000B3F0C">
              <w:rPr>
                <w:noProof/>
                <w:webHidden/>
              </w:rPr>
            </w:r>
            <w:r w:rsidR="000B3F0C">
              <w:rPr>
                <w:noProof/>
                <w:webHidden/>
              </w:rPr>
              <w:fldChar w:fldCharType="separate"/>
            </w:r>
            <w:r w:rsidR="00E47903">
              <w:rPr>
                <w:noProof/>
                <w:webHidden/>
              </w:rPr>
              <w:t>90</w:t>
            </w:r>
            <w:r w:rsidR="000B3F0C">
              <w:rPr>
                <w:noProof/>
                <w:webHidden/>
              </w:rPr>
              <w:fldChar w:fldCharType="end"/>
            </w:r>
          </w:hyperlink>
        </w:p>
        <w:p w14:paraId="3CC4A2BE" w14:textId="4D162340" w:rsidR="000B3F0C" w:rsidRDefault="00000000">
          <w:pPr>
            <w:pStyle w:val="TOC3"/>
            <w:tabs>
              <w:tab w:val="right" w:leader="dot" w:pos="9350"/>
            </w:tabs>
            <w:rPr>
              <w:rFonts w:eastAsiaTheme="minorEastAsia"/>
              <w:noProof/>
              <w:kern w:val="2"/>
              <w14:ligatures w14:val="standardContextual"/>
            </w:rPr>
          </w:pPr>
          <w:hyperlink w:anchor="_Toc151032436" w:history="1">
            <w:r w:rsidR="000B3F0C" w:rsidRPr="007E53E1">
              <w:rPr>
                <w:rStyle w:val="Hyperlink"/>
                <w:noProof/>
              </w:rPr>
              <w:t>4.2.2 Visualization of liposomes in expanded cells through internalized fluorescent cargo</w:t>
            </w:r>
            <w:r w:rsidR="000B3F0C">
              <w:rPr>
                <w:noProof/>
                <w:webHidden/>
              </w:rPr>
              <w:tab/>
            </w:r>
            <w:r w:rsidR="000B3F0C">
              <w:rPr>
                <w:noProof/>
                <w:webHidden/>
              </w:rPr>
              <w:fldChar w:fldCharType="begin"/>
            </w:r>
            <w:r w:rsidR="000B3F0C">
              <w:rPr>
                <w:noProof/>
                <w:webHidden/>
              </w:rPr>
              <w:instrText xml:space="preserve"> PAGEREF _Toc151032436 \h </w:instrText>
            </w:r>
            <w:r w:rsidR="000B3F0C">
              <w:rPr>
                <w:noProof/>
                <w:webHidden/>
              </w:rPr>
            </w:r>
            <w:r w:rsidR="000B3F0C">
              <w:rPr>
                <w:noProof/>
                <w:webHidden/>
              </w:rPr>
              <w:fldChar w:fldCharType="separate"/>
            </w:r>
            <w:r w:rsidR="00E47903">
              <w:rPr>
                <w:noProof/>
                <w:webHidden/>
              </w:rPr>
              <w:t>94</w:t>
            </w:r>
            <w:r w:rsidR="000B3F0C">
              <w:rPr>
                <w:noProof/>
                <w:webHidden/>
              </w:rPr>
              <w:fldChar w:fldCharType="end"/>
            </w:r>
          </w:hyperlink>
        </w:p>
        <w:p w14:paraId="5EA41A0E" w14:textId="4055CF43" w:rsidR="000B3F0C" w:rsidRDefault="00000000">
          <w:pPr>
            <w:pStyle w:val="TOC3"/>
            <w:tabs>
              <w:tab w:val="right" w:leader="dot" w:pos="9350"/>
            </w:tabs>
            <w:rPr>
              <w:rFonts w:eastAsiaTheme="minorEastAsia"/>
              <w:noProof/>
              <w:kern w:val="2"/>
              <w14:ligatures w14:val="standardContextual"/>
            </w:rPr>
          </w:pPr>
          <w:hyperlink w:anchor="_Toc151032437" w:history="1">
            <w:r w:rsidR="000B3F0C" w:rsidRPr="007E53E1">
              <w:rPr>
                <w:rStyle w:val="Hyperlink"/>
                <w:noProof/>
              </w:rPr>
              <w:t>4.2.3 Pre-labelling liposomes with lipophillic dyes is incompatible with Magnify</w:t>
            </w:r>
            <w:r w:rsidR="000B3F0C">
              <w:rPr>
                <w:noProof/>
                <w:webHidden/>
              </w:rPr>
              <w:tab/>
            </w:r>
            <w:r w:rsidR="000B3F0C">
              <w:rPr>
                <w:noProof/>
                <w:webHidden/>
              </w:rPr>
              <w:fldChar w:fldCharType="begin"/>
            </w:r>
            <w:r w:rsidR="000B3F0C">
              <w:rPr>
                <w:noProof/>
                <w:webHidden/>
              </w:rPr>
              <w:instrText xml:space="preserve"> PAGEREF _Toc151032437 \h </w:instrText>
            </w:r>
            <w:r w:rsidR="000B3F0C">
              <w:rPr>
                <w:noProof/>
                <w:webHidden/>
              </w:rPr>
            </w:r>
            <w:r w:rsidR="000B3F0C">
              <w:rPr>
                <w:noProof/>
                <w:webHidden/>
              </w:rPr>
              <w:fldChar w:fldCharType="separate"/>
            </w:r>
            <w:r w:rsidR="00E47903">
              <w:rPr>
                <w:noProof/>
                <w:webHidden/>
              </w:rPr>
              <w:t>104</w:t>
            </w:r>
            <w:r w:rsidR="000B3F0C">
              <w:rPr>
                <w:noProof/>
                <w:webHidden/>
              </w:rPr>
              <w:fldChar w:fldCharType="end"/>
            </w:r>
          </w:hyperlink>
        </w:p>
        <w:p w14:paraId="58886C6B" w14:textId="265AF24A" w:rsidR="000B3F0C" w:rsidRDefault="00000000">
          <w:pPr>
            <w:pStyle w:val="TOC2"/>
            <w:tabs>
              <w:tab w:val="right" w:leader="dot" w:pos="9350"/>
            </w:tabs>
            <w:rPr>
              <w:rFonts w:eastAsiaTheme="minorEastAsia"/>
              <w:noProof/>
              <w:kern w:val="2"/>
              <w14:ligatures w14:val="standardContextual"/>
            </w:rPr>
          </w:pPr>
          <w:hyperlink w:anchor="_Toc151032438" w:history="1">
            <w:r w:rsidR="000B3F0C" w:rsidRPr="007E53E1">
              <w:rPr>
                <w:rStyle w:val="Hyperlink"/>
                <w:noProof/>
              </w:rPr>
              <w:t>4.3 Conclusion</w:t>
            </w:r>
            <w:r w:rsidR="000B3F0C">
              <w:rPr>
                <w:noProof/>
                <w:webHidden/>
              </w:rPr>
              <w:tab/>
            </w:r>
            <w:r w:rsidR="000B3F0C">
              <w:rPr>
                <w:noProof/>
                <w:webHidden/>
              </w:rPr>
              <w:fldChar w:fldCharType="begin"/>
            </w:r>
            <w:r w:rsidR="000B3F0C">
              <w:rPr>
                <w:noProof/>
                <w:webHidden/>
              </w:rPr>
              <w:instrText xml:space="preserve"> PAGEREF _Toc151032438 \h </w:instrText>
            </w:r>
            <w:r w:rsidR="000B3F0C">
              <w:rPr>
                <w:noProof/>
                <w:webHidden/>
              </w:rPr>
            </w:r>
            <w:r w:rsidR="000B3F0C">
              <w:rPr>
                <w:noProof/>
                <w:webHidden/>
              </w:rPr>
              <w:fldChar w:fldCharType="separate"/>
            </w:r>
            <w:r w:rsidR="00E47903">
              <w:rPr>
                <w:noProof/>
                <w:webHidden/>
              </w:rPr>
              <w:t>108</w:t>
            </w:r>
            <w:r w:rsidR="000B3F0C">
              <w:rPr>
                <w:noProof/>
                <w:webHidden/>
              </w:rPr>
              <w:fldChar w:fldCharType="end"/>
            </w:r>
          </w:hyperlink>
        </w:p>
        <w:p w14:paraId="04B41CD7" w14:textId="4F0E6E14" w:rsidR="000B3F0C" w:rsidRDefault="00000000">
          <w:pPr>
            <w:pStyle w:val="TOC1"/>
            <w:rPr>
              <w:rFonts w:eastAsiaTheme="minorEastAsia"/>
              <w:noProof/>
              <w:kern w:val="2"/>
              <w14:ligatures w14:val="standardContextual"/>
            </w:rPr>
          </w:pPr>
          <w:hyperlink w:anchor="_Toc151032439" w:history="1">
            <w:r w:rsidR="000B3F0C" w:rsidRPr="007E53E1">
              <w:rPr>
                <w:rStyle w:val="Hyperlink"/>
                <w:noProof/>
              </w:rPr>
              <w:t>Chapter 5: Conclusions and Future Directions</w:t>
            </w:r>
            <w:r w:rsidR="000B3F0C">
              <w:rPr>
                <w:noProof/>
                <w:webHidden/>
              </w:rPr>
              <w:tab/>
            </w:r>
            <w:r w:rsidR="000B3F0C">
              <w:rPr>
                <w:noProof/>
                <w:webHidden/>
              </w:rPr>
              <w:fldChar w:fldCharType="begin"/>
            </w:r>
            <w:r w:rsidR="000B3F0C">
              <w:rPr>
                <w:noProof/>
                <w:webHidden/>
              </w:rPr>
              <w:instrText xml:space="preserve"> PAGEREF _Toc151032439 \h </w:instrText>
            </w:r>
            <w:r w:rsidR="000B3F0C">
              <w:rPr>
                <w:noProof/>
                <w:webHidden/>
              </w:rPr>
            </w:r>
            <w:r w:rsidR="000B3F0C">
              <w:rPr>
                <w:noProof/>
                <w:webHidden/>
              </w:rPr>
              <w:fldChar w:fldCharType="separate"/>
            </w:r>
            <w:r w:rsidR="00E47903">
              <w:rPr>
                <w:noProof/>
                <w:webHidden/>
              </w:rPr>
              <w:t>109</w:t>
            </w:r>
            <w:r w:rsidR="000B3F0C">
              <w:rPr>
                <w:noProof/>
                <w:webHidden/>
              </w:rPr>
              <w:fldChar w:fldCharType="end"/>
            </w:r>
          </w:hyperlink>
        </w:p>
        <w:p w14:paraId="0CC32107" w14:textId="17285E40" w:rsidR="000B3F0C" w:rsidRDefault="00000000">
          <w:pPr>
            <w:pStyle w:val="TOC1"/>
            <w:rPr>
              <w:rFonts w:eastAsiaTheme="minorEastAsia"/>
              <w:noProof/>
              <w:kern w:val="2"/>
              <w14:ligatures w14:val="standardContextual"/>
            </w:rPr>
          </w:pPr>
          <w:hyperlink w:anchor="_Toc151032440" w:history="1">
            <w:r w:rsidR="000B3F0C" w:rsidRPr="007E53E1">
              <w:rPr>
                <w:rStyle w:val="Hyperlink"/>
                <w:noProof/>
                <w:shd w:val="clear" w:color="auto" w:fill="FFFFFF"/>
              </w:rPr>
              <w:t>References</w:t>
            </w:r>
            <w:r w:rsidR="000B3F0C">
              <w:rPr>
                <w:noProof/>
                <w:webHidden/>
              </w:rPr>
              <w:tab/>
            </w:r>
            <w:r w:rsidR="000B3F0C">
              <w:rPr>
                <w:noProof/>
                <w:webHidden/>
              </w:rPr>
              <w:fldChar w:fldCharType="begin"/>
            </w:r>
            <w:r w:rsidR="000B3F0C">
              <w:rPr>
                <w:noProof/>
                <w:webHidden/>
              </w:rPr>
              <w:instrText xml:space="preserve"> PAGEREF _Toc151032440 \h </w:instrText>
            </w:r>
            <w:r w:rsidR="000B3F0C">
              <w:rPr>
                <w:noProof/>
                <w:webHidden/>
              </w:rPr>
            </w:r>
            <w:r w:rsidR="000B3F0C">
              <w:rPr>
                <w:noProof/>
                <w:webHidden/>
              </w:rPr>
              <w:fldChar w:fldCharType="separate"/>
            </w:r>
            <w:r w:rsidR="00E47903">
              <w:rPr>
                <w:noProof/>
                <w:webHidden/>
              </w:rPr>
              <w:t>113</w:t>
            </w:r>
            <w:r w:rsidR="000B3F0C">
              <w:rPr>
                <w:noProof/>
                <w:webHidden/>
              </w:rPr>
              <w:fldChar w:fldCharType="end"/>
            </w:r>
          </w:hyperlink>
        </w:p>
        <w:p w14:paraId="34D6B082" w14:textId="5E6F6B96" w:rsidR="000B3F0C" w:rsidRDefault="00000000">
          <w:pPr>
            <w:pStyle w:val="TOC1"/>
            <w:rPr>
              <w:rFonts w:eastAsiaTheme="minorEastAsia"/>
              <w:noProof/>
              <w:kern w:val="2"/>
              <w14:ligatures w14:val="standardContextual"/>
            </w:rPr>
          </w:pPr>
          <w:hyperlink w:anchor="_Toc151032441" w:history="1">
            <w:r w:rsidR="000B3F0C" w:rsidRPr="007E53E1">
              <w:rPr>
                <w:rStyle w:val="Hyperlink"/>
                <w:noProof/>
              </w:rPr>
              <w:t>Appendix A: Abbreviations</w:t>
            </w:r>
            <w:r w:rsidR="000B3F0C">
              <w:rPr>
                <w:noProof/>
                <w:webHidden/>
              </w:rPr>
              <w:tab/>
            </w:r>
            <w:r w:rsidR="000B3F0C">
              <w:rPr>
                <w:noProof/>
                <w:webHidden/>
              </w:rPr>
              <w:fldChar w:fldCharType="begin"/>
            </w:r>
            <w:r w:rsidR="000B3F0C">
              <w:rPr>
                <w:noProof/>
                <w:webHidden/>
              </w:rPr>
              <w:instrText xml:space="preserve"> PAGEREF _Toc151032441 \h </w:instrText>
            </w:r>
            <w:r w:rsidR="000B3F0C">
              <w:rPr>
                <w:noProof/>
                <w:webHidden/>
              </w:rPr>
            </w:r>
            <w:r w:rsidR="000B3F0C">
              <w:rPr>
                <w:noProof/>
                <w:webHidden/>
              </w:rPr>
              <w:fldChar w:fldCharType="separate"/>
            </w:r>
            <w:r w:rsidR="00E47903">
              <w:rPr>
                <w:noProof/>
                <w:webHidden/>
              </w:rPr>
              <w:t>145</w:t>
            </w:r>
            <w:r w:rsidR="000B3F0C">
              <w:rPr>
                <w:noProof/>
                <w:webHidden/>
              </w:rPr>
              <w:fldChar w:fldCharType="end"/>
            </w:r>
          </w:hyperlink>
        </w:p>
        <w:p w14:paraId="2B3E3016" w14:textId="7539C603" w:rsidR="000B3F0C" w:rsidRDefault="00000000">
          <w:pPr>
            <w:pStyle w:val="TOC1"/>
            <w:rPr>
              <w:rFonts w:eastAsiaTheme="minorEastAsia"/>
              <w:noProof/>
              <w:kern w:val="2"/>
              <w14:ligatures w14:val="standardContextual"/>
            </w:rPr>
          </w:pPr>
          <w:hyperlink w:anchor="_Toc151032442" w:history="1">
            <w:r w:rsidR="000B3F0C" w:rsidRPr="007E53E1">
              <w:rPr>
                <w:rStyle w:val="Hyperlink"/>
                <w:noProof/>
              </w:rPr>
              <w:t>Appendix B: Materials and Methods</w:t>
            </w:r>
            <w:r w:rsidR="000B3F0C">
              <w:rPr>
                <w:noProof/>
                <w:webHidden/>
              </w:rPr>
              <w:tab/>
            </w:r>
            <w:r w:rsidR="000B3F0C">
              <w:rPr>
                <w:noProof/>
                <w:webHidden/>
              </w:rPr>
              <w:fldChar w:fldCharType="begin"/>
            </w:r>
            <w:r w:rsidR="000B3F0C">
              <w:rPr>
                <w:noProof/>
                <w:webHidden/>
              </w:rPr>
              <w:instrText xml:space="preserve"> PAGEREF _Toc151032442 \h </w:instrText>
            </w:r>
            <w:r w:rsidR="000B3F0C">
              <w:rPr>
                <w:noProof/>
                <w:webHidden/>
              </w:rPr>
            </w:r>
            <w:r w:rsidR="000B3F0C">
              <w:rPr>
                <w:noProof/>
                <w:webHidden/>
              </w:rPr>
              <w:fldChar w:fldCharType="separate"/>
            </w:r>
            <w:r w:rsidR="00E47903">
              <w:rPr>
                <w:noProof/>
                <w:webHidden/>
              </w:rPr>
              <w:t>146</w:t>
            </w:r>
            <w:r w:rsidR="000B3F0C">
              <w:rPr>
                <w:noProof/>
                <w:webHidden/>
              </w:rPr>
              <w:fldChar w:fldCharType="end"/>
            </w:r>
          </w:hyperlink>
        </w:p>
        <w:p w14:paraId="0BC79310" w14:textId="581BDD10" w:rsidR="000B3F0C" w:rsidRDefault="00000000">
          <w:pPr>
            <w:pStyle w:val="TOC2"/>
            <w:tabs>
              <w:tab w:val="right" w:leader="dot" w:pos="9350"/>
            </w:tabs>
            <w:rPr>
              <w:rFonts w:eastAsiaTheme="minorEastAsia"/>
              <w:noProof/>
              <w:kern w:val="2"/>
              <w14:ligatures w14:val="standardContextual"/>
            </w:rPr>
          </w:pPr>
          <w:hyperlink w:anchor="_Toc151032443" w:history="1">
            <w:r w:rsidR="000B3F0C" w:rsidRPr="007E53E1">
              <w:rPr>
                <w:rStyle w:val="Hyperlink"/>
                <w:noProof/>
              </w:rPr>
              <w:t>Materials</w:t>
            </w:r>
            <w:r w:rsidR="000B3F0C">
              <w:rPr>
                <w:noProof/>
                <w:webHidden/>
              </w:rPr>
              <w:tab/>
            </w:r>
            <w:r w:rsidR="000B3F0C">
              <w:rPr>
                <w:noProof/>
                <w:webHidden/>
              </w:rPr>
              <w:fldChar w:fldCharType="begin"/>
            </w:r>
            <w:r w:rsidR="000B3F0C">
              <w:rPr>
                <w:noProof/>
                <w:webHidden/>
              </w:rPr>
              <w:instrText xml:space="preserve"> PAGEREF _Toc151032443 \h </w:instrText>
            </w:r>
            <w:r w:rsidR="000B3F0C">
              <w:rPr>
                <w:noProof/>
                <w:webHidden/>
              </w:rPr>
            </w:r>
            <w:r w:rsidR="000B3F0C">
              <w:rPr>
                <w:noProof/>
                <w:webHidden/>
              </w:rPr>
              <w:fldChar w:fldCharType="separate"/>
            </w:r>
            <w:r w:rsidR="00E47903">
              <w:rPr>
                <w:noProof/>
                <w:webHidden/>
              </w:rPr>
              <w:t>146</w:t>
            </w:r>
            <w:r w:rsidR="000B3F0C">
              <w:rPr>
                <w:noProof/>
                <w:webHidden/>
              </w:rPr>
              <w:fldChar w:fldCharType="end"/>
            </w:r>
          </w:hyperlink>
        </w:p>
        <w:p w14:paraId="026182D7" w14:textId="5815C930" w:rsidR="000B3F0C" w:rsidRDefault="00000000">
          <w:pPr>
            <w:pStyle w:val="TOC2"/>
            <w:tabs>
              <w:tab w:val="right" w:leader="dot" w:pos="9350"/>
            </w:tabs>
            <w:rPr>
              <w:rFonts w:eastAsiaTheme="minorEastAsia"/>
              <w:noProof/>
              <w:kern w:val="2"/>
              <w14:ligatures w14:val="standardContextual"/>
            </w:rPr>
          </w:pPr>
          <w:hyperlink w:anchor="_Toc151032444" w:history="1">
            <w:r w:rsidR="000B3F0C" w:rsidRPr="007E53E1">
              <w:rPr>
                <w:rStyle w:val="Hyperlink"/>
                <w:noProof/>
              </w:rPr>
              <w:t>M</w:t>
            </w:r>
            <w:r w:rsidR="000B3F0C" w:rsidRPr="007E53E1">
              <w:rPr>
                <w:rStyle w:val="Hyperlink"/>
                <w:rFonts w:cs="Arial"/>
                <w:bCs/>
                <w:noProof/>
              </w:rPr>
              <w:t>ethods</w:t>
            </w:r>
            <w:r w:rsidR="000B3F0C">
              <w:rPr>
                <w:noProof/>
                <w:webHidden/>
              </w:rPr>
              <w:tab/>
            </w:r>
            <w:r w:rsidR="000B3F0C">
              <w:rPr>
                <w:noProof/>
                <w:webHidden/>
              </w:rPr>
              <w:fldChar w:fldCharType="begin"/>
            </w:r>
            <w:r w:rsidR="000B3F0C">
              <w:rPr>
                <w:noProof/>
                <w:webHidden/>
              </w:rPr>
              <w:instrText xml:space="preserve"> PAGEREF _Toc151032444 \h </w:instrText>
            </w:r>
            <w:r w:rsidR="000B3F0C">
              <w:rPr>
                <w:noProof/>
                <w:webHidden/>
              </w:rPr>
            </w:r>
            <w:r w:rsidR="000B3F0C">
              <w:rPr>
                <w:noProof/>
                <w:webHidden/>
              </w:rPr>
              <w:fldChar w:fldCharType="separate"/>
            </w:r>
            <w:r w:rsidR="00E47903">
              <w:rPr>
                <w:noProof/>
                <w:webHidden/>
              </w:rPr>
              <w:t>149</w:t>
            </w:r>
            <w:r w:rsidR="000B3F0C">
              <w:rPr>
                <w:noProof/>
                <w:webHidden/>
              </w:rPr>
              <w:fldChar w:fldCharType="end"/>
            </w:r>
          </w:hyperlink>
        </w:p>
        <w:p w14:paraId="71E52428" w14:textId="24DF7329" w:rsidR="000B3F0C" w:rsidRDefault="00000000">
          <w:pPr>
            <w:pStyle w:val="TOC3"/>
            <w:tabs>
              <w:tab w:val="right" w:leader="dot" w:pos="9350"/>
            </w:tabs>
            <w:rPr>
              <w:rFonts w:eastAsiaTheme="minorEastAsia"/>
              <w:noProof/>
              <w:kern w:val="2"/>
              <w14:ligatures w14:val="standardContextual"/>
            </w:rPr>
          </w:pPr>
          <w:hyperlink w:anchor="_Toc151032445" w:history="1">
            <w:r w:rsidR="000B3F0C" w:rsidRPr="007E53E1">
              <w:rPr>
                <w:rStyle w:val="Hyperlink"/>
                <w:noProof/>
              </w:rPr>
              <w:t>Gold Nanoparticle (AuNP) Synthesis and PEGylation</w:t>
            </w:r>
            <w:r w:rsidR="000B3F0C">
              <w:rPr>
                <w:noProof/>
                <w:webHidden/>
              </w:rPr>
              <w:tab/>
            </w:r>
            <w:r w:rsidR="000B3F0C">
              <w:rPr>
                <w:noProof/>
                <w:webHidden/>
              </w:rPr>
              <w:fldChar w:fldCharType="begin"/>
            </w:r>
            <w:r w:rsidR="000B3F0C">
              <w:rPr>
                <w:noProof/>
                <w:webHidden/>
              </w:rPr>
              <w:instrText xml:space="preserve"> PAGEREF _Toc151032445 \h </w:instrText>
            </w:r>
            <w:r w:rsidR="000B3F0C">
              <w:rPr>
                <w:noProof/>
                <w:webHidden/>
              </w:rPr>
            </w:r>
            <w:r w:rsidR="000B3F0C">
              <w:rPr>
                <w:noProof/>
                <w:webHidden/>
              </w:rPr>
              <w:fldChar w:fldCharType="separate"/>
            </w:r>
            <w:r w:rsidR="00E47903">
              <w:rPr>
                <w:noProof/>
                <w:webHidden/>
              </w:rPr>
              <w:t>149</w:t>
            </w:r>
            <w:r w:rsidR="000B3F0C">
              <w:rPr>
                <w:noProof/>
                <w:webHidden/>
              </w:rPr>
              <w:fldChar w:fldCharType="end"/>
            </w:r>
          </w:hyperlink>
        </w:p>
        <w:p w14:paraId="7EA8F942" w14:textId="7683E3DC" w:rsidR="000B3F0C" w:rsidRDefault="00000000">
          <w:pPr>
            <w:pStyle w:val="TOC3"/>
            <w:tabs>
              <w:tab w:val="right" w:leader="dot" w:pos="9350"/>
            </w:tabs>
            <w:rPr>
              <w:rFonts w:eastAsiaTheme="minorEastAsia"/>
              <w:noProof/>
              <w:kern w:val="2"/>
              <w14:ligatures w14:val="standardContextual"/>
            </w:rPr>
          </w:pPr>
          <w:hyperlink w:anchor="_Toc151032446" w:history="1">
            <w:r w:rsidR="000B3F0C" w:rsidRPr="007E53E1">
              <w:rPr>
                <w:rStyle w:val="Hyperlink"/>
                <w:noProof/>
              </w:rPr>
              <w:t>Liposome Synthesis</w:t>
            </w:r>
            <w:r w:rsidR="000B3F0C">
              <w:rPr>
                <w:noProof/>
                <w:webHidden/>
              </w:rPr>
              <w:tab/>
            </w:r>
            <w:r w:rsidR="000B3F0C">
              <w:rPr>
                <w:noProof/>
                <w:webHidden/>
              </w:rPr>
              <w:fldChar w:fldCharType="begin"/>
            </w:r>
            <w:r w:rsidR="000B3F0C">
              <w:rPr>
                <w:noProof/>
                <w:webHidden/>
              </w:rPr>
              <w:instrText xml:space="preserve"> PAGEREF _Toc151032446 \h </w:instrText>
            </w:r>
            <w:r w:rsidR="000B3F0C">
              <w:rPr>
                <w:noProof/>
                <w:webHidden/>
              </w:rPr>
            </w:r>
            <w:r w:rsidR="000B3F0C">
              <w:rPr>
                <w:noProof/>
                <w:webHidden/>
              </w:rPr>
              <w:fldChar w:fldCharType="separate"/>
            </w:r>
            <w:r w:rsidR="00E47903">
              <w:rPr>
                <w:noProof/>
                <w:webHidden/>
              </w:rPr>
              <w:t>151</w:t>
            </w:r>
            <w:r w:rsidR="000B3F0C">
              <w:rPr>
                <w:noProof/>
                <w:webHidden/>
              </w:rPr>
              <w:fldChar w:fldCharType="end"/>
            </w:r>
          </w:hyperlink>
        </w:p>
        <w:p w14:paraId="336F4AF2" w14:textId="1648D558" w:rsidR="000B3F0C" w:rsidRDefault="00000000">
          <w:pPr>
            <w:pStyle w:val="TOC3"/>
            <w:tabs>
              <w:tab w:val="right" w:leader="dot" w:pos="9350"/>
            </w:tabs>
            <w:rPr>
              <w:rFonts w:eastAsiaTheme="minorEastAsia"/>
              <w:noProof/>
              <w:kern w:val="2"/>
              <w14:ligatures w14:val="standardContextual"/>
            </w:rPr>
          </w:pPr>
          <w:hyperlink w:anchor="_Toc151032447" w:history="1">
            <w:r w:rsidR="000B3F0C" w:rsidRPr="007E53E1">
              <w:rPr>
                <w:rStyle w:val="Hyperlink"/>
                <w:noProof/>
              </w:rPr>
              <w:t>Cell Culture</w:t>
            </w:r>
            <w:r w:rsidR="000B3F0C">
              <w:rPr>
                <w:noProof/>
                <w:webHidden/>
              </w:rPr>
              <w:tab/>
            </w:r>
            <w:r w:rsidR="000B3F0C">
              <w:rPr>
                <w:noProof/>
                <w:webHidden/>
              </w:rPr>
              <w:fldChar w:fldCharType="begin"/>
            </w:r>
            <w:r w:rsidR="000B3F0C">
              <w:rPr>
                <w:noProof/>
                <w:webHidden/>
              </w:rPr>
              <w:instrText xml:space="preserve"> PAGEREF _Toc151032447 \h </w:instrText>
            </w:r>
            <w:r w:rsidR="000B3F0C">
              <w:rPr>
                <w:noProof/>
                <w:webHidden/>
              </w:rPr>
            </w:r>
            <w:r w:rsidR="000B3F0C">
              <w:rPr>
                <w:noProof/>
                <w:webHidden/>
              </w:rPr>
              <w:fldChar w:fldCharType="separate"/>
            </w:r>
            <w:r w:rsidR="00E47903">
              <w:rPr>
                <w:noProof/>
                <w:webHidden/>
              </w:rPr>
              <w:t>152</w:t>
            </w:r>
            <w:r w:rsidR="000B3F0C">
              <w:rPr>
                <w:noProof/>
                <w:webHidden/>
              </w:rPr>
              <w:fldChar w:fldCharType="end"/>
            </w:r>
          </w:hyperlink>
        </w:p>
        <w:p w14:paraId="4F9AE407" w14:textId="7BAD2F50" w:rsidR="000B3F0C" w:rsidRDefault="00000000">
          <w:pPr>
            <w:pStyle w:val="TOC3"/>
            <w:tabs>
              <w:tab w:val="right" w:leader="dot" w:pos="9350"/>
            </w:tabs>
            <w:rPr>
              <w:rFonts w:eastAsiaTheme="minorEastAsia"/>
              <w:noProof/>
              <w:kern w:val="2"/>
              <w14:ligatures w14:val="standardContextual"/>
            </w:rPr>
          </w:pPr>
          <w:hyperlink w:anchor="_Toc151032448" w:history="1">
            <w:r w:rsidR="000B3F0C" w:rsidRPr="007E53E1">
              <w:rPr>
                <w:rStyle w:val="Hyperlink"/>
                <w:noProof/>
              </w:rPr>
              <w:t>Cell Expansion</w:t>
            </w:r>
            <w:r w:rsidR="000B3F0C">
              <w:rPr>
                <w:noProof/>
                <w:webHidden/>
              </w:rPr>
              <w:tab/>
            </w:r>
            <w:r w:rsidR="000B3F0C">
              <w:rPr>
                <w:noProof/>
                <w:webHidden/>
              </w:rPr>
              <w:fldChar w:fldCharType="begin"/>
            </w:r>
            <w:r w:rsidR="000B3F0C">
              <w:rPr>
                <w:noProof/>
                <w:webHidden/>
              </w:rPr>
              <w:instrText xml:space="preserve"> PAGEREF _Toc151032448 \h </w:instrText>
            </w:r>
            <w:r w:rsidR="000B3F0C">
              <w:rPr>
                <w:noProof/>
                <w:webHidden/>
              </w:rPr>
            </w:r>
            <w:r w:rsidR="000B3F0C">
              <w:rPr>
                <w:noProof/>
                <w:webHidden/>
              </w:rPr>
              <w:fldChar w:fldCharType="separate"/>
            </w:r>
            <w:r w:rsidR="00E47903">
              <w:rPr>
                <w:noProof/>
                <w:webHidden/>
              </w:rPr>
              <w:t>153</w:t>
            </w:r>
            <w:r w:rsidR="000B3F0C">
              <w:rPr>
                <w:noProof/>
                <w:webHidden/>
              </w:rPr>
              <w:fldChar w:fldCharType="end"/>
            </w:r>
          </w:hyperlink>
        </w:p>
        <w:p w14:paraId="042AD0A4" w14:textId="319F3B5C" w:rsidR="000B3F0C" w:rsidRDefault="00000000">
          <w:pPr>
            <w:pStyle w:val="TOC3"/>
            <w:tabs>
              <w:tab w:val="right" w:leader="dot" w:pos="9350"/>
            </w:tabs>
            <w:rPr>
              <w:rFonts w:eastAsiaTheme="minorEastAsia"/>
              <w:noProof/>
              <w:kern w:val="2"/>
              <w14:ligatures w14:val="standardContextual"/>
            </w:rPr>
          </w:pPr>
          <w:hyperlink w:anchor="_Toc151032449" w:history="1">
            <w:r w:rsidR="000B3F0C" w:rsidRPr="007E53E1">
              <w:rPr>
                <w:rStyle w:val="Hyperlink"/>
                <w:noProof/>
              </w:rPr>
              <w:t>Confocal Microscopy</w:t>
            </w:r>
            <w:r w:rsidR="000B3F0C">
              <w:rPr>
                <w:noProof/>
                <w:webHidden/>
              </w:rPr>
              <w:tab/>
            </w:r>
            <w:r w:rsidR="000B3F0C">
              <w:rPr>
                <w:noProof/>
                <w:webHidden/>
              </w:rPr>
              <w:fldChar w:fldCharType="begin"/>
            </w:r>
            <w:r w:rsidR="000B3F0C">
              <w:rPr>
                <w:noProof/>
                <w:webHidden/>
              </w:rPr>
              <w:instrText xml:space="preserve"> PAGEREF _Toc151032449 \h </w:instrText>
            </w:r>
            <w:r w:rsidR="000B3F0C">
              <w:rPr>
                <w:noProof/>
                <w:webHidden/>
              </w:rPr>
            </w:r>
            <w:r w:rsidR="000B3F0C">
              <w:rPr>
                <w:noProof/>
                <w:webHidden/>
              </w:rPr>
              <w:fldChar w:fldCharType="separate"/>
            </w:r>
            <w:r w:rsidR="00E47903">
              <w:rPr>
                <w:noProof/>
                <w:webHidden/>
              </w:rPr>
              <w:t>156</w:t>
            </w:r>
            <w:r w:rsidR="000B3F0C">
              <w:rPr>
                <w:noProof/>
                <w:webHidden/>
              </w:rPr>
              <w:fldChar w:fldCharType="end"/>
            </w:r>
          </w:hyperlink>
        </w:p>
        <w:p w14:paraId="7992CCDC" w14:textId="6D15395A" w:rsidR="000B3F0C" w:rsidRDefault="00000000">
          <w:pPr>
            <w:pStyle w:val="TOC3"/>
            <w:tabs>
              <w:tab w:val="right" w:leader="dot" w:pos="9350"/>
            </w:tabs>
            <w:rPr>
              <w:rFonts w:eastAsiaTheme="minorEastAsia"/>
              <w:noProof/>
              <w:kern w:val="2"/>
              <w14:ligatures w14:val="standardContextual"/>
            </w:rPr>
          </w:pPr>
          <w:hyperlink w:anchor="_Toc151032450" w:history="1">
            <w:r w:rsidR="000B3F0C" w:rsidRPr="007E53E1">
              <w:rPr>
                <w:rStyle w:val="Hyperlink"/>
                <w:noProof/>
              </w:rPr>
              <w:t>Image Analysis</w:t>
            </w:r>
            <w:r w:rsidR="000B3F0C">
              <w:rPr>
                <w:noProof/>
                <w:webHidden/>
              </w:rPr>
              <w:tab/>
            </w:r>
            <w:r w:rsidR="000B3F0C">
              <w:rPr>
                <w:noProof/>
                <w:webHidden/>
              </w:rPr>
              <w:fldChar w:fldCharType="begin"/>
            </w:r>
            <w:r w:rsidR="000B3F0C">
              <w:rPr>
                <w:noProof/>
                <w:webHidden/>
              </w:rPr>
              <w:instrText xml:space="preserve"> PAGEREF _Toc151032450 \h </w:instrText>
            </w:r>
            <w:r w:rsidR="000B3F0C">
              <w:rPr>
                <w:noProof/>
                <w:webHidden/>
              </w:rPr>
            </w:r>
            <w:r w:rsidR="000B3F0C">
              <w:rPr>
                <w:noProof/>
                <w:webHidden/>
              </w:rPr>
              <w:fldChar w:fldCharType="separate"/>
            </w:r>
            <w:r w:rsidR="00E47903">
              <w:rPr>
                <w:noProof/>
                <w:webHidden/>
              </w:rPr>
              <w:t>157</w:t>
            </w:r>
            <w:r w:rsidR="000B3F0C">
              <w:rPr>
                <w:noProof/>
                <w:webHidden/>
              </w:rPr>
              <w:fldChar w:fldCharType="end"/>
            </w:r>
          </w:hyperlink>
        </w:p>
        <w:p w14:paraId="0FCA1759" w14:textId="37DB8E69" w:rsidR="000B3F0C" w:rsidRDefault="00000000">
          <w:pPr>
            <w:pStyle w:val="TOC3"/>
            <w:tabs>
              <w:tab w:val="right" w:leader="dot" w:pos="9350"/>
            </w:tabs>
            <w:rPr>
              <w:rFonts w:eastAsiaTheme="minorEastAsia"/>
              <w:noProof/>
              <w:kern w:val="2"/>
              <w14:ligatures w14:val="standardContextual"/>
            </w:rPr>
          </w:pPr>
          <w:hyperlink w:anchor="_Toc151032451" w:history="1">
            <w:r w:rsidR="000B3F0C" w:rsidRPr="007E53E1">
              <w:rPr>
                <w:rStyle w:val="Hyperlink"/>
                <w:noProof/>
              </w:rPr>
              <w:t>Transmission Electron Microscopy (TEM)</w:t>
            </w:r>
            <w:r w:rsidR="000B3F0C">
              <w:rPr>
                <w:noProof/>
                <w:webHidden/>
              </w:rPr>
              <w:tab/>
            </w:r>
            <w:r w:rsidR="000B3F0C">
              <w:rPr>
                <w:noProof/>
                <w:webHidden/>
              </w:rPr>
              <w:fldChar w:fldCharType="begin"/>
            </w:r>
            <w:r w:rsidR="000B3F0C">
              <w:rPr>
                <w:noProof/>
                <w:webHidden/>
              </w:rPr>
              <w:instrText xml:space="preserve"> PAGEREF _Toc151032451 \h </w:instrText>
            </w:r>
            <w:r w:rsidR="000B3F0C">
              <w:rPr>
                <w:noProof/>
                <w:webHidden/>
              </w:rPr>
            </w:r>
            <w:r w:rsidR="000B3F0C">
              <w:rPr>
                <w:noProof/>
                <w:webHidden/>
              </w:rPr>
              <w:fldChar w:fldCharType="separate"/>
            </w:r>
            <w:r w:rsidR="00E47903">
              <w:rPr>
                <w:noProof/>
                <w:webHidden/>
              </w:rPr>
              <w:t>161</w:t>
            </w:r>
            <w:r w:rsidR="000B3F0C">
              <w:rPr>
                <w:noProof/>
                <w:webHidden/>
              </w:rPr>
              <w:fldChar w:fldCharType="end"/>
            </w:r>
          </w:hyperlink>
        </w:p>
        <w:p w14:paraId="56EE7BE2" w14:textId="185B4F2E" w:rsidR="000B3F0C" w:rsidRDefault="00000000">
          <w:pPr>
            <w:pStyle w:val="TOC3"/>
            <w:tabs>
              <w:tab w:val="right" w:leader="dot" w:pos="9350"/>
            </w:tabs>
            <w:rPr>
              <w:rFonts w:eastAsiaTheme="minorEastAsia"/>
              <w:noProof/>
              <w:kern w:val="2"/>
              <w14:ligatures w14:val="standardContextual"/>
            </w:rPr>
          </w:pPr>
          <w:hyperlink w:anchor="_Toc151032452" w:history="1">
            <w:r w:rsidR="000B3F0C" w:rsidRPr="007E53E1">
              <w:rPr>
                <w:rStyle w:val="Hyperlink"/>
                <w:noProof/>
              </w:rPr>
              <w:t>Agarose gel electrophoresis</w:t>
            </w:r>
            <w:r w:rsidR="000B3F0C">
              <w:rPr>
                <w:noProof/>
                <w:webHidden/>
              </w:rPr>
              <w:tab/>
            </w:r>
            <w:r w:rsidR="000B3F0C">
              <w:rPr>
                <w:noProof/>
                <w:webHidden/>
              </w:rPr>
              <w:fldChar w:fldCharType="begin"/>
            </w:r>
            <w:r w:rsidR="000B3F0C">
              <w:rPr>
                <w:noProof/>
                <w:webHidden/>
              </w:rPr>
              <w:instrText xml:space="preserve"> PAGEREF _Toc151032452 \h </w:instrText>
            </w:r>
            <w:r w:rsidR="000B3F0C">
              <w:rPr>
                <w:noProof/>
                <w:webHidden/>
              </w:rPr>
            </w:r>
            <w:r w:rsidR="000B3F0C">
              <w:rPr>
                <w:noProof/>
                <w:webHidden/>
              </w:rPr>
              <w:fldChar w:fldCharType="separate"/>
            </w:r>
            <w:r w:rsidR="00E47903">
              <w:rPr>
                <w:noProof/>
                <w:webHidden/>
              </w:rPr>
              <w:t>161</w:t>
            </w:r>
            <w:r w:rsidR="000B3F0C">
              <w:rPr>
                <w:noProof/>
                <w:webHidden/>
              </w:rPr>
              <w:fldChar w:fldCharType="end"/>
            </w:r>
          </w:hyperlink>
        </w:p>
        <w:p w14:paraId="1613830B" w14:textId="52A10F4D" w:rsidR="000B3F0C" w:rsidRDefault="00000000">
          <w:pPr>
            <w:pStyle w:val="TOC3"/>
            <w:tabs>
              <w:tab w:val="right" w:leader="dot" w:pos="9350"/>
            </w:tabs>
            <w:rPr>
              <w:rFonts w:eastAsiaTheme="minorEastAsia"/>
              <w:noProof/>
              <w:kern w:val="2"/>
              <w14:ligatures w14:val="standardContextual"/>
            </w:rPr>
          </w:pPr>
          <w:hyperlink w:anchor="_Toc151032453" w:history="1">
            <w:r w:rsidR="000B3F0C" w:rsidRPr="007E53E1">
              <w:rPr>
                <w:rStyle w:val="Hyperlink"/>
                <w:noProof/>
              </w:rPr>
              <w:t>Sodium dodecyl sulfate-polyacrylamide gel electrophoresis (SDS-PAGE)</w:t>
            </w:r>
            <w:r w:rsidR="000B3F0C">
              <w:rPr>
                <w:noProof/>
                <w:webHidden/>
              </w:rPr>
              <w:tab/>
            </w:r>
            <w:r w:rsidR="000B3F0C">
              <w:rPr>
                <w:noProof/>
                <w:webHidden/>
              </w:rPr>
              <w:fldChar w:fldCharType="begin"/>
            </w:r>
            <w:r w:rsidR="000B3F0C">
              <w:rPr>
                <w:noProof/>
                <w:webHidden/>
              </w:rPr>
              <w:instrText xml:space="preserve"> PAGEREF _Toc151032453 \h </w:instrText>
            </w:r>
            <w:r w:rsidR="000B3F0C">
              <w:rPr>
                <w:noProof/>
                <w:webHidden/>
              </w:rPr>
            </w:r>
            <w:r w:rsidR="000B3F0C">
              <w:rPr>
                <w:noProof/>
                <w:webHidden/>
              </w:rPr>
              <w:fldChar w:fldCharType="separate"/>
            </w:r>
            <w:r w:rsidR="00E47903">
              <w:rPr>
                <w:noProof/>
                <w:webHidden/>
              </w:rPr>
              <w:t>161</w:t>
            </w:r>
            <w:r w:rsidR="000B3F0C">
              <w:rPr>
                <w:noProof/>
                <w:webHidden/>
              </w:rPr>
              <w:fldChar w:fldCharType="end"/>
            </w:r>
          </w:hyperlink>
        </w:p>
        <w:p w14:paraId="0596ECBB" w14:textId="0AF155DD" w:rsidR="000B3F0C" w:rsidRDefault="00000000">
          <w:pPr>
            <w:pStyle w:val="TOC3"/>
            <w:tabs>
              <w:tab w:val="right" w:leader="dot" w:pos="9350"/>
            </w:tabs>
            <w:rPr>
              <w:rFonts w:eastAsiaTheme="minorEastAsia"/>
              <w:noProof/>
              <w:kern w:val="2"/>
              <w14:ligatures w14:val="standardContextual"/>
            </w:rPr>
          </w:pPr>
          <w:hyperlink w:anchor="_Toc151032454" w:history="1">
            <w:r w:rsidR="000B3F0C" w:rsidRPr="007E53E1">
              <w:rPr>
                <w:rStyle w:val="Hyperlink"/>
                <w:noProof/>
              </w:rPr>
              <w:t>Inductively Coupled Plasma Mass Spectrometry (ICP-MS)</w:t>
            </w:r>
            <w:r w:rsidR="000B3F0C">
              <w:rPr>
                <w:noProof/>
                <w:webHidden/>
              </w:rPr>
              <w:tab/>
            </w:r>
            <w:r w:rsidR="000B3F0C">
              <w:rPr>
                <w:noProof/>
                <w:webHidden/>
              </w:rPr>
              <w:fldChar w:fldCharType="begin"/>
            </w:r>
            <w:r w:rsidR="000B3F0C">
              <w:rPr>
                <w:noProof/>
                <w:webHidden/>
              </w:rPr>
              <w:instrText xml:space="preserve"> PAGEREF _Toc151032454 \h </w:instrText>
            </w:r>
            <w:r w:rsidR="000B3F0C">
              <w:rPr>
                <w:noProof/>
                <w:webHidden/>
              </w:rPr>
            </w:r>
            <w:r w:rsidR="000B3F0C">
              <w:rPr>
                <w:noProof/>
                <w:webHidden/>
              </w:rPr>
              <w:fldChar w:fldCharType="separate"/>
            </w:r>
            <w:r w:rsidR="00E47903">
              <w:rPr>
                <w:noProof/>
                <w:webHidden/>
              </w:rPr>
              <w:t>162</w:t>
            </w:r>
            <w:r w:rsidR="000B3F0C">
              <w:rPr>
                <w:noProof/>
                <w:webHidden/>
              </w:rPr>
              <w:fldChar w:fldCharType="end"/>
            </w:r>
          </w:hyperlink>
        </w:p>
        <w:p w14:paraId="0A046A19" w14:textId="74B0246A" w:rsidR="000B3F0C" w:rsidRDefault="00000000">
          <w:pPr>
            <w:pStyle w:val="TOC1"/>
            <w:rPr>
              <w:rFonts w:eastAsiaTheme="minorEastAsia"/>
              <w:noProof/>
              <w:kern w:val="2"/>
              <w14:ligatures w14:val="standardContextual"/>
            </w:rPr>
          </w:pPr>
          <w:hyperlink w:anchor="_Toc151032455" w:history="1">
            <w:r w:rsidR="000B3F0C" w:rsidRPr="007E53E1">
              <w:rPr>
                <w:rStyle w:val="Hyperlink"/>
                <w:noProof/>
              </w:rPr>
              <w:t>Appendix C: Supporting Figures and Tables</w:t>
            </w:r>
            <w:r w:rsidR="000B3F0C">
              <w:rPr>
                <w:noProof/>
                <w:webHidden/>
              </w:rPr>
              <w:tab/>
            </w:r>
            <w:r w:rsidR="000B3F0C">
              <w:rPr>
                <w:noProof/>
                <w:webHidden/>
              </w:rPr>
              <w:fldChar w:fldCharType="begin"/>
            </w:r>
            <w:r w:rsidR="000B3F0C">
              <w:rPr>
                <w:noProof/>
                <w:webHidden/>
              </w:rPr>
              <w:instrText xml:space="preserve"> PAGEREF _Toc151032455 \h </w:instrText>
            </w:r>
            <w:r w:rsidR="000B3F0C">
              <w:rPr>
                <w:noProof/>
                <w:webHidden/>
              </w:rPr>
            </w:r>
            <w:r w:rsidR="000B3F0C">
              <w:rPr>
                <w:noProof/>
                <w:webHidden/>
              </w:rPr>
              <w:fldChar w:fldCharType="separate"/>
            </w:r>
            <w:r w:rsidR="00E47903">
              <w:rPr>
                <w:noProof/>
                <w:webHidden/>
              </w:rPr>
              <w:t>166</w:t>
            </w:r>
            <w:r w:rsidR="000B3F0C">
              <w:rPr>
                <w:noProof/>
                <w:webHidden/>
              </w:rPr>
              <w:fldChar w:fldCharType="end"/>
            </w:r>
          </w:hyperlink>
        </w:p>
        <w:p w14:paraId="66670258" w14:textId="443A889E" w:rsidR="000B3F0C" w:rsidRDefault="00000000">
          <w:pPr>
            <w:pStyle w:val="TOC1"/>
            <w:rPr>
              <w:rFonts w:eastAsiaTheme="minorEastAsia"/>
              <w:noProof/>
              <w:kern w:val="2"/>
              <w14:ligatures w14:val="standardContextual"/>
            </w:rPr>
          </w:pPr>
          <w:hyperlink w:anchor="_Toc151032456" w:history="1">
            <w:r w:rsidR="000B3F0C" w:rsidRPr="007E53E1">
              <w:rPr>
                <w:rStyle w:val="Hyperlink"/>
                <w:noProof/>
              </w:rPr>
              <w:t>Appendix D: Chapter Authors and Acknowledgements</w:t>
            </w:r>
            <w:r w:rsidR="000B3F0C">
              <w:rPr>
                <w:noProof/>
                <w:webHidden/>
              </w:rPr>
              <w:tab/>
            </w:r>
            <w:r w:rsidR="000B3F0C">
              <w:rPr>
                <w:noProof/>
                <w:webHidden/>
              </w:rPr>
              <w:fldChar w:fldCharType="begin"/>
            </w:r>
            <w:r w:rsidR="000B3F0C">
              <w:rPr>
                <w:noProof/>
                <w:webHidden/>
              </w:rPr>
              <w:instrText xml:space="preserve"> PAGEREF _Toc151032456 \h </w:instrText>
            </w:r>
            <w:r w:rsidR="000B3F0C">
              <w:rPr>
                <w:noProof/>
                <w:webHidden/>
              </w:rPr>
            </w:r>
            <w:r w:rsidR="000B3F0C">
              <w:rPr>
                <w:noProof/>
                <w:webHidden/>
              </w:rPr>
              <w:fldChar w:fldCharType="separate"/>
            </w:r>
            <w:r w:rsidR="00E47903">
              <w:rPr>
                <w:noProof/>
                <w:webHidden/>
              </w:rPr>
              <w:t>202</w:t>
            </w:r>
            <w:r w:rsidR="000B3F0C">
              <w:rPr>
                <w:noProof/>
                <w:webHidden/>
              </w:rPr>
              <w:fldChar w:fldCharType="end"/>
            </w:r>
          </w:hyperlink>
        </w:p>
        <w:p w14:paraId="18D1CBD4" w14:textId="256855D3" w:rsidR="000B3F0C" w:rsidRDefault="00000000">
          <w:pPr>
            <w:pStyle w:val="TOC1"/>
            <w:rPr>
              <w:rFonts w:eastAsiaTheme="minorEastAsia"/>
              <w:noProof/>
              <w:kern w:val="2"/>
              <w14:ligatures w14:val="standardContextual"/>
            </w:rPr>
          </w:pPr>
          <w:hyperlink w:anchor="_Toc151032457" w:history="1">
            <w:r w:rsidR="000B3F0C" w:rsidRPr="007E53E1">
              <w:rPr>
                <w:rStyle w:val="Hyperlink"/>
                <w:noProof/>
              </w:rPr>
              <w:t>Appendix E: Permissions</w:t>
            </w:r>
            <w:r w:rsidR="000B3F0C">
              <w:rPr>
                <w:noProof/>
                <w:webHidden/>
              </w:rPr>
              <w:tab/>
            </w:r>
            <w:r w:rsidR="000B3F0C">
              <w:rPr>
                <w:noProof/>
                <w:webHidden/>
              </w:rPr>
              <w:fldChar w:fldCharType="begin"/>
            </w:r>
            <w:r w:rsidR="000B3F0C">
              <w:rPr>
                <w:noProof/>
                <w:webHidden/>
              </w:rPr>
              <w:instrText xml:space="preserve"> PAGEREF _Toc151032457 \h </w:instrText>
            </w:r>
            <w:r w:rsidR="000B3F0C">
              <w:rPr>
                <w:noProof/>
                <w:webHidden/>
              </w:rPr>
            </w:r>
            <w:r w:rsidR="000B3F0C">
              <w:rPr>
                <w:noProof/>
                <w:webHidden/>
              </w:rPr>
              <w:fldChar w:fldCharType="separate"/>
            </w:r>
            <w:r w:rsidR="00E47903">
              <w:rPr>
                <w:noProof/>
                <w:webHidden/>
              </w:rPr>
              <w:t>206</w:t>
            </w:r>
            <w:r w:rsidR="000B3F0C">
              <w:rPr>
                <w:noProof/>
                <w:webHidden/>
              </w:rPr>
              <w:fldChar w:fldCharType="end"/>
            </w:r>
          </w:hyperlink>
        </w:p>
        <w:p w14:paraId="285B5D75" w14:textId="43854009" w:rsidR="007D08B7" w:rsidRDefault="007D08B7">
          <w:r>
            <w:rPr>
              <w:b/>
              <w:bCs/>
              <w:noProof/>
            </w:rPr>
            <w:fldChar w:fldCharType="end"/>
          </w:r>
        </w:p>
      </w:sdtContent>
    </w:sdt>
    <w:p w14:paraId="7057ED4C" w14:textId="2722C553" w:rsidR="00C06183" w:rsidRPr="00E57377" w:rsidRDefault="00C06183">
      <w:pPr>
        <w:rPr>
          <w:rFonts w:ascii="Arial" w:hAnsi="Arial" w:cs="Arial"/>
          <w:b/>
          <w:bCs/>
          <w:sz w:val="24"/>
          <w:szCs w:val="24"/>
          <w:highlight w:val="yellow"/>
        </w:rPr>
      </w:pPr>
    </w:p>
    <w:p w14:paraId="24C10C3B" w14:textId="77777777" w:rsidR="00C06183" w:rsidRPr="005335B7" w:rsidRDefault="00C06183" w:rsidP="00721691">
      <w:pPr>
        <w:pStyle w:val="Heading1"/>
      </w:pPr>
      <w:bookmarkStart w:id="2" w:name="_Toc151032401"/>
      <w:r w:rsidRPr="005335B7">
        <w:t>List of Figures</w:t>
      </w:r>
      <w:bookmarkEnd w:id="2"/>
    </w:p>
    <w:p w14:paraId="5AA8C079" w14:textId="77777777" w:rsidR="001E6A07" w:rsidRPr="001E6A07" w:rsidRDefault="001E6A07" w:rsidP="001E6A07">
      <w:pPr>
        <w:rPr>
          <w:highlight w:val="green"/>
        </w:rPr>
      </w:pPr>
    </w:p>
    <w:p w14:paraId="3AC5D3CF" w14:textId="77777777" w:rsidR="001E6A07" w:rsidRDefault="001E6A07" w:rsidP="00924C22">
      <w:pPr>
        <w:rPr>
          <w:rFonts w:ascii="Arial" w:hAnsi="Arial" w:cs="Arial"/>
          <w:b/>
          <w:bCs/>
          <w:sz w:val="24"/>
          <w:szCs w:val="24"/>
        </w:rPr>
      </w:pPr>
      <w:r w:rsidRPr="001E6A07">
        <w:rPr>
          <w:rFonts w:ascii="Arial" w:hAnsi="Arial" w:cs="Arial"/>
          <w:b/>
          <w:bCs/>
          <w:sz w:val="24"/>
          <w:szCs w:val="24"/>
        </w:rPr>
        <w:t>Chapter 1</w:t>
      </w:r>
      <w:r>
        <w:rPr>
          <w:rFonts w:ascii="Arial" w:hAnsi="Arial" w:cs="Arial"/>
          <w:b/>
          <w:bCs/>
          <w:sz w:val="24"/>
          <w:szCs w:val="24"/>
        </w:rPr>
        <w:t>:</w:t>
      </w:r>
    </w:p>
    <w:p w14:paraId="063BF8D6" w14:textId="0A0B4BF4" w:rsidR="002D3789" w:rsidRPr="001A6501" w:rsidRDefault="002D3789" w:rsidP="00924C22">
      <w:pPr>
        <w:rPr>
          <w:rFonts w:ascii="Arial" w:hAnsi="Arial" w:cs="Arial"/>
          <w:sz w:val="24"/>
          <w:szCs w:val="24"/>
        </w:rPr>
      </w:pPr>
      <w:r w:rsidRPr="001A6501">
        <w:rPr>
          <w:rFonts w:ascii="Arial" w:hAnsi="Arial" w:cs="Arial"/>
          <w:sz w:val="24"/>
          <w:szCs w:val="24"/>
        </w:rPr>
        <w:t>Figure 1.1 Barriers to nanoparticle uptake into the tumor microenvironment.</w:t>
      </w:r>
    </w:p>
    <w:p w14:paraId="23F5DD47" w14:textId="77777777" w:rsidR="002D3789" w:rsidRPr="001A6501" w:rsidRDefault="002D3789" w:rsidP="00924C22">
      <w:pPr>
        <w:rPr>
          <w:rFonts w:ascii="Arial" w:hAnsi="Arial" w:cs="Arial"/>
          <w:sz w:val="24"/>
          <w:szCs w:val="24"/>
        </w:rPr>
      </w:pPr>
      <w:r w:rsidRPr="001A6501">
        <w:rPr>
          <w:rFonts w:ascii="Arial" w:hAnsi="Arial" w:cs="Arial"/>
          <w:sz w:val="24"/>
          <w:szCs w:val="24"/>
        </w:rPr>
        <w:t xml:space="preserve">Figure 1.2: Tumor architecture. </w:t>
      </w:r>
    </w:p>
    <w:p w14:paraId="7D1A873C" w14:textId="77777777" w:rsidR="002D3789" w:rsidRPr="001A6501" w:rsidRDefault="002D3789" w:rsidP="00924C22">
      <w:pPr>
        <w:rPr>
          <w:rStyle w:val="normaltextrun"/>
          <w:rFonts w:ascii="Arial" w:hAnsi="Arial" w:cs="Arial"/>
          <w:color w:val="000000"/>
          <w:sz w:val="24"/>
          <w:szCs w:val="24"/>
          <w:bdr w:val="none" w:sz="0" w:space="0" w:color="auto" w:frame="1"/>
        </w:rPr>
      </w:pPr>
      <w:r w:rsidRPr="001A6501">
        <w:rPr>
          <w:rStyle w:val="normaltextrun"/>
          <w:rFonts w:ascii="Arial" w:hAnsi="Arial" w:cs="Arial"/>
          <w:color w:val="000000"/>
          <w:sz w:val="24"/>
          <w:szCs w:val="24"/>
          <w:bdr w:val="none" w:sz="0" w:space="0" w:color="auto" w:frame="1"/>
        </w:rPr>
        <w:t>Figure 1.3: Nanoparticles can extravasate from tumor vascular lumen into the tumor microenvironment by both paracellular 1) and 2–4) transcellular pathways.</w:t>
      </w:r>
    </w:p>
    <w:p w14:paraId="3AC31654" w14:textId="77777777" w:rsidR="002D3789" w:rsidRPr="001A6501" w:rsidRDefault="002D3789" w:rsidP="00924C22">
      <w:pPr>
        <w:rPr>
          <w:rFonts w:ascii="Arial" w:hAnsi="Arial" w:cs="Arial"/>
          <w:sz w:val="24"/>
          <w:szCs w:val="24"/>
        </w:rPr>
      </w:pPr>
      <w:r w:rsidRPr="001A6501">
        <w:rPr>
          <w:rFonts w:ascii="Arial" w:hAnsi="Arial" w:cs="Arial"/>
          <w:sz w:val="24"/>
          <w:szCs w:val="24"/>
        </w:rPr>
        <w:t xml:space="preserve">Figure 1.4: Timeline of different suggested nanoparticle-tumor accumulation pathways and methods. </w:t>
      </w:r>
    </w:p>
    <w:p w14:paraId="41430871" w14:textId="77777777" w:rsidR="00924C22" w:rsidRPr="001A6501" w:rsidRDefault="002D3789" w:rsidP="00924C22">
      <w:pPr>
        <w:rPr>
          <w:rFonts w:ascii="Arial" w:hAnsi="Arial" w:cs="Arial"/>
          <w:sz w:val="24"/>
          <w:szCs w:val="24"/>
        </w:rPr>
      </w:pPr>
      <w:r w:rsidRPr="001A6501">
        <w:rPr>
          <w:rFonts w:ascii="Arial" w:hAnsi="Arial" w:cs="Arial"/>
          <w:sz w:val="24"/>
          <w:szCs w:val="24"/>
        </w:rPr>
        <w:t>Figure 1.5. Common endocytic pathway mechanisms in endothelial cells.</w:t>
      </w:r>
    </w:p>
    <w:p w14:paraId="4227BA97" w14:textId="77777777" w:rsidR="00924C22" w:rsidRPr="001A6501" w:rsidRDefault="00924C22" w:rsidP="00924C22">
      <w:pPr>
        <w:rPr>
          <w:rFonts w:ascii="Arial" w:hAnsi="Arial" w:cs="Arial"/>
          <w:sz w:val="24"/>
          <w:szCs w:val="24"/>
        </w:rPr>
      </w:pPr>
      <w:r w:rsidRPr="001A6501">
        <w:rPr>
          <w:rFonts w:ascii="Arial" w:hAnsi="Arial" w:cs="Arial"/>
          <w:sz w:val="24"/>
          <w:szCs w:val="24"/>
        </w:rPr>
        <w:t xml:space="preserve">Figure 1.6. Typical sizes of vesicles formed during endocytosis. </w:t>
      </w:r>
    </w:p>
    <w:p w14:paraId="492DBD5E" w14:textId="77777777" w:rsidR="00924C22" w:rsidRDefault="00924C22" w:rsidP="00924C22">
      <w:pPr>
        <w:rPr>
          <w:rFonts w:ascii="Arial" w:hAnsi="Arial" w:cs="Arial"/>
          <w:b/>
          <w:bCs/>
          <w:sz w:val="24"/>
          <w:szCs w:val="24"/>
        </w:rPr>
      </w:pPr>
    </w:p>
    <w:p w14:paraId="7B34520B" w14:textId="77777777" w:rsidR="00924C22" w:rsidRDefault="00924C22" w:rsidP="00924C22">
      <w:pPr>
        <w:rPr>
          <w:rFonts w:ascii="Arial" w:hAnsi="Arial" w:cs="Arial"/>
          <w:b/>
          <w:bCs/>
          <w:sz w:val="24"/>
          <w:szCs w:val="24"/>
        </w:rPr>
      </w:pPr>
      <w:r>
        <w:rPr>
          <w:rFonts w:ascii="Arial" w:hAnsi="Arial" w:cs="Arial"/>
          <w:b/>
          <w:bCs/>
          <w:sz w:val="24"/>
          <w:szCs w:val="24"/>
        </w:rPr>
        <w:t>Chapter 2:</w:t>
      </w:r>
    </w:p>
    <w:p w14:paraId="7F772489" w14:textId="77777777" w:rsidR="00924C22" w:rsidRPr="001A6501" w:rsidRDefault="00924C22" w:rsidP="00924C22">
      <w:pPr>
        <w:rPr>
          <w:rFonts w:ascii="Arial" w:hAnsi="Arial" w:cs="Arial"/>
          <w:sz w:val="24"/>
          <w:szCs w:val="24"/>
        </w:rPr>
      </w:pPr>
      <w:r w:rsidRPr="001A6501">
        <w:rPr>
          <w:rFonts w:ascii="Arial" w:hAnsi="Arial" w:cs="Arial"/>
          <w:sz w:val="24"/>
          <w:szCs w:val="24"/>
        </w:rPr>
        <w:t>Figure 2.1. Overview of the combination of expansion microscopy and scattered light imaging of label-free nanoparticles.</w:t>
      </w:r>
    </w:p>
    <w:p w14:paraId="62132F51" w14:textId="77777777" w:rsidR="00924C22" w:rsidRPr="001A6501" w:rsidRDefault="00924C22" w:rsidP="00924C22">
      <w:pPr>
        <w:rPr>
          <w:rFonts w:ascii="Arial" w:hAnsi="Arial" w:cs="Arial"/>
          <w:sz w:val="24"/>
          <w:szCs w:val="24"/>
        </w:rPr>
      </w:pPr>
      <w:r w:rsidRPr="001A6501">
        <w:rPr>
          <w:rFonts w:ascii="Arial" w:hAnsi="Arial" w:cs="Arial"/>
          <w:sz w:val="24"/>
          <w:szCs w:val="24"/>
        </w:rPr>
        <w:t xml:space="preserve">Figure 2.2: Expansion microscopy of 4T1 mammary tumor mouse cells. </w:t>
      </w:r>
    </w:p>
    <w:p w14:paraId="659DB380" w14:textId="77777777" w:rsidR="00924C22" w:rsidRPr="001A6501" w:rsidRDefault="00924C22" w:rsidP="00924C22">
      <w:pPr>
        <w:rPr>
          <w:rFonts w:ascii="Arial" w:hAnsi="Arial" w:cs="Arial"/>
          <w:sz w:val="24"/>
          <w:szCs w:val="24"/>
        </w:rPr>
      </w:pPr>
      <w:r w:rsidRPr="001A6501">
        <w:rPr>
          <w:rFonts w:ascii="Arial" w:hAnsi="Arial" w:cs="Arial"/>
          <w:sz w:val="24"/>
          <w:szCs w:val="24"/>
        </w:rPr>
        <w:t xml:space="preserve">Figure 2.3: Label-free imaging of nanoparticles in non-expanded 4T1 cells via light scattering imaging. </w:t>
      </w:r>
    </w:p>
    <w:p w14:paraId="41042138" w14:textId="77777777" w:rsidR="00924C22" w:rsidRPr="001A6501" w:rsidRDefault="00924C22" w:rsidP="00924C22">
      <w:pPr>
        <w:rPr>
          <w:rFonts w:ascii="Arial" w:hAnsi="Arial" w:cs="Arial"/>
          <w:sz w:val="24"/>
          <w:szCs w:val="24"/>
        </w:rPr>
      </w:pPr>
      <w:r w:rsidRPr="001A6501">
        <w:rPr>
          <w:rFonts w:ascii="Arial" w:hAnsi="Arial" w:cs="Arial"/>
          <w:sz w:val="24"/>
          <w:szCs w:val="24"/>
        </w:rPr>
        <w:t xml:space="preserve">Figure 2.4: Expansion microscopy is compatible with nanoparticle light scattering imaging. </w:t>
      </w:r>
    </w:p>
    <w:p w14:paraId="13982BD5" w14:textId="1BA3BA19" w:rsidR="00924C22" w:rsidRPr="001A6501" w:rsidRDefault="00924C22" w:rsidP="00924C22">
      <w:pPr>
        <w:rPr>
          <w:rFonts w:ascii="Arial" w:hAnsi="Arial" w:cs="Arial"/>
          <w:sz w:val="24"/>
          <w:szCs w:val="24"/>
        </w:rPr>
      </w:pPr>
      <w:r w:rsidRPr="001A6501">
        <w:rPr>
          <w:rFonts w:ascii="Arial" w:hAnsi="Arial" w:cs="Arial"/>
          <w:sz w:val="24"/>
          <w:szCs w:val="24"/>
        </w:rPr>
        <w:t>Figure S2.1. Additional images of expanded 4T1 mammary tumor mouse cells.</w:t>
      </w:r>
    </w:p>
    <w:p w14:paraId="3199510D" w14:textId="5D79C5F7" w:rsidR="0029096F" w:rsidRPr="001A6501" w:rsidRDefault="0029096F" w:rsidP="00924C22">
      <w:pPr>
        <w:rPr>
          <w:rFonts w:ascii="Arial" w:hAnsi="Arial" w:cs="Arial"/>
          <w:sz w:val="24"/>
          <w:szCs w:val="24"/>
        </w:rPr>
      </w:pPr>
      <w:r w:rsidRPr="001A6501">
        <w:rPr>
          <w:rFonts w:ascii="Arial" w:hAnsi="Arial" w:cs="Arial"/>
          <w:sz w:val="24"/>
          <w:szCs w:val="24"/>
        </w:rPr>
        <w:t>Figure S2.2. Line profiles to analyze the spatial resolution of non-expanded and expanded cells.</w:t>
      </w:r>
    </w:p>
    <w:p w14:paraId="2C36E4E4" w14:textId="62E6EE6D" w:rsidR="0029096F" w:rsidRPr="001A6501" w:rsidRDefault="0029096F" w:rsidP="00924C22">
      <w:pPr>
        <w:rPr>
          <w:rFonts w:ascii="Arial" w:hAnsi="Arial" w:cs="Arial"/>
          <w:sz w:val="24"/>
          <w:szCs w:val="24"/>
        </w:rPr>
      </w:pPr>
      <w:r w:rsidRPr="001A6501">
        <w:rPr>
          <w:rFonts w:ascii="Arial" w:hAnsi="Arial" w:cs="Arial"/>
          <w:sz w:val="24"/>
          <w:szCs w:val="24"/>
        </w:rPr>
        <w:t>Figure S2.3. UV-</w:t>
      </w:r>
      <w:proofErr w:type="gramStart"/>
      <w:r w:rsidRPr="001A6501">
        <w:rPr>
          <w:rFonts w:ascii="Arial" w:hAnsi="Arial" w:cs="Arial"/>
          <w:sz w:val="24"/>
          <w:szCs w:val="24"/>
        </w:rPr>
        <w:t>Vis</w:t>
      </w:r>
      <w:proofErr w:type="gramEnd"/>
      <w:r w:rsidRPr="001A6501">
        <w:rPr>
          <w:rFonts w:ascii="Arial" w:hAnsi="Arial" w:cs="Arial"/>
          <w:sz w:val="24"/>
          <w:szCs w:val="24"/>
        </w:rPr>
        <w:t xml:space="preserve"> spectrophotometry extinction spectra of nanoparticles.</w:t>
      </w:r>
    </w:p>
    <w:p w14:paraId="028D1649" w14:textId="323AE135" w:rsidR="0029096F" w:rsidRPr="001A6501" w:rsidRDefault="0029096F" w:rsidP="00924C22">
      <w:pPr>
        <w:rPr>
          <w:rFonts w:ascii="Arial" w:hAnsi="Arial" w:cs="Arial"/>
          <w:sz w:val="24"/>
          <w:szCs w:val="24"/>
        </w:rPr>
      </w:pPr>
      <w:r w:rsidRPr="001A6501">
        <w:rPr>
          <w:rFonts w:ascii="Arial" w:hAnsi="Arial" w:cs="Arial"/>
          <w:sz w:val="24"/>
          <w:szCs w:val="24"/>
        </w:rPr>
        <w:t>Figure S2.4. Transmission electron micrograph of 14-nm and 55-nm citrate coated AuNPs.</w:t>
      </w:r>
    </w:p>
    <w:p w14:paraId="4E6B5A26" w14:textId="0660970C" w:rsidR="0029096F" w:rsidRPr="001A6501" w:rsidRDefault="0029096F" w:rsidP="00924C22">
      <w:pPr>
        <w:rPr>
          <w:rFonts w:ascii="Arial" w:hAnsi="Arial" w:cs="Arial"/>
          <w:sz w:val="24"/>
          <w:szCs w:val="24"/>
        </w:rPr>
      </w:pPr>
      <w:r w:rsidRPr="001A6501">
        <w:rPr>
          <w:rFonts w:ascii="Arial" w:hAnsi="Arial" w:cs="Arial"/>
          <w:sz w:val="24"/>
          <w:szCs w:val="24"/>
        </w:rPr>
        <w:t>Figure S2.5: AuNP light scattering imaging is compatible with a range of laser wavelengths.</w:t>
      </w:r>
    </w:p>
    <w:p w14:paraId="13235852" w14:textId="3CC5777B" w:rsidR="0029096F" w:rsidRPr="001A6501" w:rsidRDefault="0029096F" w:rsidP="00924C22">
      <w:pPr>
        <w:rPr>
          <w:rFonts w:ascii="Arial" w:hAnsi="Arial" w:cs="Arial"/>
          <w:sz w:val="24"/>
          <w:szCs w:val="24"/>
        </w:rPr>
      </w:pPr>
      <w:r w:rsidRPr="001A6501">
        <w:rPr>
          <w:rFonts w:ascii="Arial" w:hAnsi="Arial" w:cs="Arial"/>
          <w:sz w:val="24"/>
          <w:szCs w:val="24"/>
        </w:rPr>
        <w:t>Figure S2.6: Validating the AuNP light scattering signal by gold etching.</w:t>
      </w:r>
    </w:p>
    <w:p w14:paraId="6147920B" w14:textId="2D1B76D7" w:rsidR="0029096F" w:rsidRPr="001A6501" w:rsidRDefault="0029096F" w:rsidP="00924C22">
      <w:pPr>
        <w:rPr>
          <w:rFonts w:ascii="Arial" w:hAnsi="Arial" w:cs="Arial"/>
          <w:sz w:val="24"/>
          <w:szCs w:val="24"/>
        </w:rPr>
      </w:pPr>
      <w:r w:rsidRPr="001A6501">
        <w:rPr>
          <w:rFonts w:ascii="Arial" w:hAnsi="Arial" w:cs="Arial"/>
          <w:sz w:val="24"/>
          <w:szCs w:val="24"/>
        </w:rPr>
        <w:t>Figure S2.7: Validating the conjugation of Cy5-PEG to 55-nm AuNPs.</w:t>
      </w:r>
    </w:p>
    <w:p w14:paraId="637F42B5" w14:textId="29C4BD40" w:rsidR="0029096F" w:rsidRPr="001A6501" w:rsidRDefault="0029096F" w:rsidP="00924C22">
      <w:pPr>
        <w:rPr>
          <w:rFonts w:ascii="Arial" w:hAnsi="Arial" w:cs="Arial"/>
          <w:sz w:val="24"/>
          <w:szCs w:val="24"/>
        </w:rPr>
      </w:pPr>
      <w:r w:rsidRPr="001A6501">
        <w:rPr>
          <w:rFonts w:ascii="Arial" w:hAnsi="Arial" w:cs="Arial"/>
          <w:sz w:val="24"/>
          <w:szCs w:val="24"/>
        </w:rPr>
        <w:lastRenderedPageBreak/>
        <w:t>Figure S2.8: Nanoparticle light scattering imaging of AuNPs is impervious to photobleaching.</w:t>
      </w:r>
    </w:p>
    <w:p w14:paraId="62E94A8A" w14:textId="44BB24E8" w:rsidR="004C64F4" w:rsidRPr="001A6501" w:rsidRDefault="004C64F4" w:rsidP="00924C22">
      <w:pPr>
        <w:rPr>
          <w:rFonts w:ascii="Arial" w:hAnsi="Arial" w:cs="Arial"/>
          <w:sz w:val="24"/>
          <w:szCs w:val="24"/>
        </w:rPr>
      </w:pPr>
      <w:r w:rsidRPr="001A6501">
        <w:rPr>
          <w:rFonts w:ascii="Arial" w:hAnsi="Arial" w:cs="Arial"/>
          <w:sz w:val="24"/>
          <w:szCs w:val="24"/>
        </w:rPr>
        <w:t>Figure S2.9: Protein coronas form around PEG-AuNPs after incubation with fetal bovine serum.</w:t>
      </w:r>
    </w:p>
    <w:p w14:paraId="0721BA49" w14:textId="42A1CD44" w:rsidR="004C64F4" w:rsidRPr="001A6501" w:rsidRDefault="004C64F4" w:rsidP="00924C22">
      <w:pPr>
        <w:rPr>
          <w:rFonts w:ascii="Arial" w:hAnsi="Arial" w:cs="Arial"/>
          <w:sz w:val="24"/>
          <w:szCs w:val="24"/>
        </w:rPr>
      </w:pPr>
      <w:r w:rsidRPr="001A6501">
        <w:rPr>
          <w:rFonts w:ascii="Arial" w:hAnsi="Arial" w:cs="Arial"/>
          <w:sz w:val="24"/>
          <w:szCs w:val="24"/>
        </w:rPr>
        <w:t>Figure S2.10: Expansion microscopy allows for the super-resolution visualization of endocytic tracers.</w:t>
      </w:r>
    </w:p>
    <w:p w14:paraId="136B3F2F" w14:textId="5BDECBF4" w:rsidR="004C64F4" w:rsidRPr="001A6501" w:rsidRDefault="004C64F4" w:rsidP="00924C22">
      <w:pPr>
        <w:rPr>
          <w:rFonts w:ascii="Arial" w:hAnsi="Arial" w:cs="Arial"/>
          <w:sz w:val="24"/>
          <w:szCs w:val="24"/>
        </w:rPr>
      </w:pPr>
      <w:r w:rsidRPr="001A6501">
        <w:rPr>
          <w:rFonts w:ascii="Arial" w:hAnsi="Arial" w:cs="Arial"/>
          <w:sz w:val="24"/>
          <w:szCs w:val="24"/>
        </w:rPr>
        <w:t>Figure S2.11: Expansion microscopy of DC 2.4 cells is compatible with nanoparticle light scattering imaging of HEP-AuNPs.</w:t>
      </w:r>
    </w:p>
    <w:p w14:paraId="645068B7" w14:textId="5F7C1B51" w:rsidR="004C64F4" w:rsidRPr="001A6501" w:rsidRDefault="004C64F4" w:rsidP="00924C22">
      <w:pPr>
        <w:rPr>
          <w:rFonts w:ascii="Arial" w:hAnsi="Arial" w:cs="Arial"/>
          <w:sz w:val="24"/>
          <w:szCs w:val="24"/>
        </w:rPr>
      </w:pPr>
      <w:r w:rsidRPr="001A6501">
        <w:rPr>
          <w:rFonts w:ascii="Arial" w:hAnsi="Arial" w:cs="Arial"/>
          <w:sz w:val="24"/>
          <w:szCs w:val="24"/>
        </w:rPr>
        <w:t xml:space="preserve">Figure S2.12: Expansion microscopy of RAW 264.7 macrophages </w:t>
      </w:r>
      <w:proofErr w:type="gramStart"/>
      <w:r w:rsidRPr="001A6501">
        <w:rPr>
          <w:rFonts w:ascii="Arial" w:hAnsi="Arial" w:cs="Arial"/>
          <w:sz w:val="24"/>
          <w:szCs w:val="24"/>
        </w:rPr>
        <w:t>is</w:t>
      </w:r>
      <w:proofErr w:type="gramEnd"/>
      <w:r w:rsidRPr="001A6501">
        <w:rPr>
          <w:rFonts w:ascii="Arial" w:hAnsi="Arial" w:cs="Arial"/>
          <w:sz w:val="24"/>
          <w:szCs w:val="24"/>
        </w:rPr>
        <w:t xml:space="preserve"> compatible with nanoparticle light scattering imaging of 60-nm Strep-AgNPs.</w:t>
      </w:r>
    </w:p>
    <w:p w14:paraId="69F03225" w14:textId="49B6529F" w:rsidR="004C64F4" w:rsidRPr="001A6501" w:rsidRDefault="004C64F4" w:rsidP="00924C22">
      <w:pPr>
        <w:rPr>
          <w:rFonts w:ascii="Arial" w:hAnsi="Arial" w:cs="Arial"/>
          <w:sz w:val="24"/>
          <w:szCs w:val="24"/>
        </w:rPr>
      </w:pPr>
      <w:r w:rsidRPr="001A6501">
        <w:rPr>
          <w:rFonts w:ascii="Arial" w:hAnsi="Arial" w:cs="Arial"/>
          <w:sz w:val="24"/>
          <w:szCs w:val="24"/>
        </w:rPr>
        <w:t xml:space="preserve">Figure S2.13: Increasing the crosslinker density of the expansion gel allows for smaller nanoparticles to be visualized </w:t>
      </w:r>
      <w:proofErr w:type="spellStart"/>
      <w:r w:rsidRPr="001A6501">
        <w:rPr>
          <w:rFonts w:ascii="Arial" w:hAnsi="Arial" w:cs="Arial"/>
          <w:sz w:val="24"/>
          <w:szCs w:val="24"/>
        </w:rPr>
        <w:t>post-expansion</w:t>
      </w:r>
      <w:proofErr w:type="spellEnd"/>
      <w:r w:rsidRPr="001A6501">
        <w:rPr>
          <w:rFonts w:ascii="Arial" w:hAnsi="Arial" w:cs="Arial"/>
          <w:sz w:val="24"/>
          <w:szCs w:val="24"/>
        </w:rPr>
        <w:t>.</w:t>
      </w:r>
    </w:p>
    <w:p w14:paraId="131FB1BF" w14:textId="1959EAC4" w:rsidR="004C64F4" w:rsidRPr="001A6501" w:rsidRDefault="004C64F4" w:rsidP="00924C22">
      <w:pPr>
        <w:rPr>
          <w:rFonts w:ascii="Arial" w:hAnsi="Arial" w:cs="Arial"/>
          <w:sz w:val="24"/>
          <w:szCs w:val="24"/>
        </w:rPr>
      </w:pPr>
      <w:r w:rsidRPr="001A6501">
        <w:rPr>
          <w:rFonts w:ascii="Arial" w:hAnsi="Arial" w:cs="Arial"/>
          <w:sz w:val="24"/>
          <w:szCs w:val="24"/>
        </w:rPr>
        <w:t>Figure S2.14: Determining potential intracellular AuNP loss from expansion.</w:t>
      </w:r>
    </w:p>
    <w:p w14:paraId="19B22F26" w14:textId="5FE474C0" w:rsidR="004C64F4" w:rsidRPr="001A6501" w:rsidRDefault="004C64F4" w:rsidP="00924C22">
      <w:pPr>
        <w:rPr>
          <w:rFonts w:ascii="Arial" w:hAnsi="Arial" w:cs="Arial"/>
          <w:sz w:val="24"/>
          <w:szCs w:val="24"/>
        </w:rPr>
      </w:pPr>
      <w:r w:rsidRPr="001A6501">
        <w:rPr>
          <w:rFonts w:ascii="Arial" w:hAnsi="Arial" w:cs="Arial"/>
          <w:sz w:val="24"/>
          <w:szCs w:val="24"/>
        </w:rPr>
        <w:t>Figure S2.15: Testing AuNP colloidal stability using single`-particle inductively coupled plasma mass spectrometry.</w:t>
      </w:r>
    </w:p>
    <w:p w14:paraId="51D67D85" w14:textId="77777777" w:rsidR="00924C22" w:rsidRDefault="00924C22" w:rsidP="00924C22">
      <w:pPr>
        <w:rPr>
          <w:rFonts w:ascii="Arial" w:hAnsi="Arial" w:cs="Arial"/>
          <w:b/>
          <w:bCs/>
          <w:sz w:val="24"/>
          <w:szCs w:val="24"/>
        </w:rPr>
      </w:pPr>
    </w:p>
    <w:p w14:paraId="4A515A0D" w14:textId="77777777" w:rsidR="00924C22" w:rsidRDefault="00924C22" w:rsidP="00924C22">
      <w:pPr>
        <w:rPr>
          <w:rFonts w:ascii="Arial" w:hAnsi="Arial" w:cs="Arial"/>
          <w:b/>
          <w:bCs/>
          <w:sz w:val="24"/>
          <w:szCs w:val="24"/>
        </w:rPr>
      </w:pPr>
      <w:r>
        <w:rPr>
          <w:rFonts w:ascii="Arial" w:hAnsi="Arial" w:cs="Arial"/>
          <w:b/>
          <w:bCs/>
          <w:sz w:val="24"/>
          <w:szCs w:val="24"/>
        </w:rPr>
        <w:t>Chapter 3:</w:t>
      </w:r>
    </w:p>
    <w:p w14:paraId="1FFB8D29" w14:textId="77777777" w:rsidR="00924C22" w:rsidRPr="001A6501" w:rsidRDefault="00924C22" w:rsidP="00924C22">
      <w:pPr>
        <w:rPr>
          <w:rFonts w:ascii="Arial" w:hAnsi="Arial" w:cs="Arial"/>
          <w:sz w:val="24"/>
          <w:szCs w:val="24"/>
        </w:rPr>
      </w:pPr>
      <w:r w:rsidRPr="001A6501">
        <w:rPr>
          <w:rFonts w:ascii="Arial" w:hAnsi="Arial" w:cs="Arial"/>
          <w:sz w:val="24"/>
          <w:szCs w:val="24"/>
        </w:rPr>
        <w:t xml:space="preserve">Figure 3.1: Pan-ExM enables the 3D super-resolution imaging of cultured cells with high levels of specific AuNP localization. </w:t>
      </w:r>
    </w:p>
    <w:p w14:paraId="65B9C7E1" w14:textId="177AF66E" w:rsidR="00924C22" w:rsidRPr="001A6501" w:rsidRDefault="00924C22" w:rsidP="00924C22">
      <w:pPr>
        <w:rPr>
          <w:rFonts w:ascii="Arial" w:hAnsi="Arial" w:cs="Arial"/>
          <w:sz w:val="24"/>
          <w:szCs w:val="24"/>
        </w:rPr>
      </w:pPr>
      <w:r w:rsidRPr="001A6501">
        <w:rPr>
          <w:rFonts w:ascii="Arial" w:hAnsi="Arial" w:cs="Arial"/>
          <w:sz w:val="24"/>
          <w:szCs w:val="24"/>
        </w:rPr>
        <w:t xml:space="preserve">Figure 3.2: Pan-ExM enables quantitative comparisons of nanoparticle cell uptake. </w:t>
      </w:r>
    </w:p>
    <w:p w14:paraId="288016C7" w14:textId="163780F4" w:rsidR="004C64F4" w:rsidRPr="001A6501" w:rsidRDefault="004C64F4" w:rsidP="00924C22">
      <w:pPr>
        <w:rPr>
          <w:rFonts w:ascii="Arial" w:hAnsi="Arial" w:cs="Arial"/>
          <w:sz w:val="24"/>
          <w:szCs w:val="24"/>
        </w:rPr>
      </w:pPr>
      <w:r w:rsidRPr="001A6501">
        <w:rPr>
          <w:rFonts w:ascii="Arial" w:hAnsi="Arial" w:cs="Arial"/>
          <w:sz w:val="24"/>
          <w:szCs w:val="24"/>
        </w:rPr>
        <w:t>Figure S3.1: Validation of pan-ExM results with Airyscan.</w:t>
      </w:r>
    </w:p>
    <w:p w14:paraId="39DFE504" w14:textId="7DE2B89B" w:rsidR="004C64F4" w:rsidRPr="001A6501" w:rsidRDefault="004C64F4" w:rsidP="00924C22">
      <w:pPr>
        <w:rPr>
          <w:rFonts w:ascii="Arial" w:hAnsi="Arial" w:cs="Arial"/>
          <w:sz w:val="24"/>
          <w:szCs w:val="24"/>
        </w:rPr>
      </w:pPr>
      <w:r w:rsidRPr="001A6501">
        <w:rPr>
          <w:rFonts w:ascii="Arial" w:hAnsi="Arial" w:cs="Arial"/>
          <w:sz w:val="24"/>
          <w:szCs w:val="24"/>
        </w:rPr>
        <w:t>Figure S3.2: Verifying the formation of a BSA protein corona on 55 nm AuNPs via SDS-PAGE.</w:t>
      </w:r>
    </w:p>
    <w:p w14:paraId="597AD4DB" w14:textId="369393EF" w:rsidR="004C64F4" w:rsidRPr="001A6501" w:rsidRDefault="004C64F4" w:rsidP="00924C22">
      <w:pPr>
        <w:rPr>
          <w:rFonts w:ascii="Arial" w:hAnsi="Arial" w:cs="Arial"/>
          <w:sz w:val="24"/>
          <w:szCs w:val="24"/>
        </w:rPr>
      </w:pPr>
      <w:r w:rsidRPr="001A6501">
        <w:rPr>
          <w:rFonts w:ascii="Arial" w:hAnsi="Arial" w:cs="Arial"/>
          <w:sz w:val="24"/>
          <w:szCs w:val="24"/>
        </w:rPr>
        <w:t>Figure S3.3: Pan-ExM with nanoparticle light scattering imaging allows for the comparison of the uptake of AuNPs with different surface modifications.</w:t>
      </w:r>
    </w:p>
    <w:p w14:paraId="263239BF" w14:textId="3F97F42B" w:rsidR="004C64F4" w:rsidRPr="001A6501" w:rsidRDefault="004C64F4" w:rsidP="00924C22">
      <w:pPr>
        <w:rPr>
          <w:rFonts w:ascii="Arial" w:hAnsi="Arial" w:cs="Arial"/>
          <w:sz w:val="24"/>
          <w:szCs w:val="24"/>
        </w:rPr>
      </w:pPr>
      <w:r w:rsidRPr="001A6501">
        <w:rPr>
          <w:rFonts w:ascii="Arial" w:hAnsi="Arial" w:cs="Arial"/>
          <w:sz w:val="24"/>
          <w:szCs w:val="24"/>
        </w:rPr>
        <w:t>Figure S3.4: Non-expanded RAW 264.7 macrophages treated with HEP- or PEG-AuNPs.</w:t>
      </w:r>
    </w:p>
    <w:p w14:paraId="61176DCF" w14:textId="77777777" w:rsidR="00924C22" w:rsidRDefault="00924C22" w:rsidP="00924C22">
      <w:pPr>
        <w:rPr>
          <w:rFonts w:ascii="Arial" w:hAnsi="Arial" w:cs="Arial"/>
          <w:b/>
          <w:bCs/>
          <w:sz w:val="24"/>
          <w:szCs w:val="24"/>
        </w:rPr>
      </w:pPr>
    </w:p>
    <w:p w14:paraId="5A5A023F" w14:textId="79505E6F" w:rsidR="00924C22" w:rsidRDefault="00924C22" w:rsidP="00924C22">
      <w:pPr>
        <w:rPr>
          <w:rFonts w:ascii="Arial" w:hAnsi="Arial" w:cs="Arial"/>
          <w:b/>
          <w:bCs/>
          <w:sz w:val="24"/>
          <w:szCs w:val="24"/>
        </w:rPr>
      </w:pPr>
      <w:r>
        <w:rPr>
          <w:rFonts w:ascii="Arial" w:hAnsi="Arial" w:cs="Arial"/>
          <w:b/>
          <w:bCs/>
          <w:sz w:val="24"/>
          <w:szCs w:val="24"/>
        </w:rPr>
        <w:t>Chapter 4:</w:t>
      </w:r>
    </w:p>
    <w:p w14:paraId="11A1BE1B" w14:textId="5732E4AA" w:rsidR="00924C22" w:rsidRPr="001A6501" w:rsidRDefault="00924C22" w:rsidP="00924C22">
      <w:pPr>
        <w:rPr>
          <w:rFonts w:ascii="Arial" w:hAnsi="Arial" w:cs="Arial"/>
          <w:sz w:val="24"/>
          <w:szCs w:val="24"/>
        </w:rPr>
      </w:pPr>
      <w:r w:rsidRPr="001A6501">
        <w:rPr>
          <w:rFonts w:ascii="Arial" w:hAnsi="Arial" w:cs="Arial"/>
          <w:sz w:val="24"/>
          <w:szCs w:val="24"/>
        </w:rPr>
        <w:t>Figure 4.1: Comparison of pan</w:t>
      </w:r>
      <w:r w:rsidR="003C512D">
        <w:rPr>
          <w:rFonts w:ascii="Arial" w:hAnsi="Arial" w:cs="Arial"/>
          <w:sz w:val="24"/>
          <w:szCs w:val="24"/>
        </w:rPr>
        <w:t>-</w:t>
      </w:r>
      <w:r w:rsidRPr="001A6501">
        <w:rPr>
          <w:rFonts w:ascii="Arial" w:hAnsi="Arial" w:cs="Arial"/>
          <w:sz w:val="24"/>
          <w:szCs w:val="24"/>
        </w:rPr>
        <w:t>ExM and Magnify</w:t>
      </w:r>
    </w:p>
    <w:p w14:paraId="4A78A082" w14:textId="30BCF7F6" w:rsidR="00924C22" w:rsidRPr="001A6501" w:rsidRDefault="00924C22" w:rsidP="00924C22">
      <w:pPr>
        <w:rPr>
          <w:rFonts w:ascii="Arial" w:hAnsi="Arial" w:cs="Arial"/>
          <w:sz w:val="24"/>
          <w:szCs w:val="24"/>
        </w:rPr>
      </w:pPr>
      <w:r w:rsidRPr="001A6501">
        <w:rPr>
          <w:rFonts w:ascii="Arial" w:hAnsi="Arial" w:cs="Arial"/>
          <w:sz w:val="24"/>
          <w:szCs w:val="24"/>
        </w:rPr>
        <w:t>Figure 4.2: Schematic of microfluidic liposome synthesis setup.</w:t>
      </w:r>
    </w:p>
    <w:p w14:paraId="6B2442A6" w14:textId="3ADF97FD" w:rsidR="00924C22" w:rsidRPr="001A6501" w:rsidRDefault="00924C22" w:rsidP="00924C22">
      <w:pPr>
        <w:rPr>
          <w:rFonts w:ascii="Arial" w:hAnsi="Arial" w:cs="Arial"/>
          <w:sz w:val="24"/>
          <w:szCs w:val="24"/>
        </w:rPr>
      </w:pPr>
      <w:r w:rsidRPr="001A6501">
        <w:rPr>
          <w:rFonts w:ascii="Arial" w:hAnsi="Arial" w:cs="Arial"/>
          <w:sz w:val="24"/>
          <w:szCs w:val="24"/>
        </w:rPr>
        <w:lastRenderedPageBreak/>
        <w:t>Figure 4.3: Magnify enables the super-resolution visualization of fluorescent liposomal cargo within individual intracellular vesicles.</w:t>
      </w:r>
    </w:p>
    <w:p w14:paraId="423612BD" w14:textId="124BC3B8" w:rsidR="00924C22" w:rsidRPr="001A6501" w:rsidRDefault="00924C22" w:rsidP="00924C22">
      <w:pPr>
        <w:rPr>
          <w:rFonts w:ascii="Arial" w:hAnsi="Arial" w:cs="Arial"/>
          <w:sz w:val="24"/>
          <w:szCs w:val="24"/>
        </w:rPr>
      </w:pPr>
      <w:r w:rsidRPr="001A6501">
        <w:rPr>
          <w:rFonts w:ascii="Arial" w:hAnsi="Arial" w:cs="Arial"/>
          <w:sz w:val="24"/>
          <w:szCs w:val="24"/>
        </w:rPr>
        <w:t>Figure 4.4: Magnify enables the three-dimensional super-resolution visual comparison of fluorescent liposomal cargo intracellular distribution.</w:t>
      </w:r>
    </w:p>
    <w:p w14:paraId="7BCB6F74" w14:textId="48BC4419" w:rsidR="00924C22" w:rsidRPr="001A6501" w:rsidRDefault="00924C22" w:rsidP="00924C22">
      <w:pPr>
        <w:rPr>
          <w:rFonts w:ascii="Arial" w:hAnsi="Arial" w:cs="Arial"/>
          <w:sz w:val="24"/>
          <w:szCs w:val="24"/>
        </w:rPr>
      </w:pPr>
      <w:r w:rsidRPr="001A6501">
        <w:rPr>
          <w:rFonts w:ascii="Arial" w:hAnsi="Arial" w:cs="Arial"/>
          <w:sz w:val="24"/>
          <w:szCs w:val="24"/>
        </w:rPr>
        <w:t>Figure 4.5: DiO signal from liposomes is not retained through the Magnify process.</w:t>
      </w:r>
    </w:p>
    <w:p w14:paraId="7819EF02" w14:textId="13A0BC3C" w:rsidR="004C64F4" w:rsidRPr="001A6501" w:rsidRDefault="004C64F4" w:rsidP="00924C22">
      <w:pPr>
        <w:rPr>
          <w:rFonts w:ascii="Arial" w:hAnsi="Arial" w:cs="Arial"/>
          <w:sz w:val="24"/>
          <w:szCs w:val="24"/>
        </w:rPr>
      </w:pPr>
      <w:r w:rsidRPr="001A6501">
        <w:rPr>
          <w:rFonts w:ascii="Arial" w:hAnsi="Arial" w:cs="Arial"/>
          <w:sz w:val="24"/>
          <w:szCs w:val="24"/>
        </w:rPr>
        <w:t>Figure S4.1: RAW 264.7 macrophages treated with Doxoves.</w:t>
      </w:r>
    </w:p>
    <w:p w14:paraId="01B9FE0E" w14:textId="58272F53" w:rsidR="004C64F4" w:rsidRPr="001A6501" w:rsidRDefault="004C64F4" w:rsidP="00924C22">
      <w:pPr>
        <w:rPr>
          <w:rFonts w:ascii="Arial" w:hAnsi="Arial" w:cs="Arial"/>
          <w:sz w:val="24"/>
          <w:szCs w:val="24"/>
        </w:rPr>
      </w:pPr>
      <w:r w:rsidRPr="001A6501">
        <w:rPr>
          <w:rFonts w:ascii="Arial" w:hAnsi="Arial" w:cs="Arial"/>
          <w:sz w:val="24"/>
          <w:szCs w:val="24"/>
        </w:rPr>
        <w:t>Figure S4.2: Agarose gel electrophoresis of 10 kDa Dextran-PEG-Liposomes.</w:t>
      </w:r>
    </w:p>
    <w:p w14:paraId="6C05330B" w14:textId="0424C035" w:rsidR="004C64F4" w:rsidRPr="001A6501" w:rsidRDefault="004C64F4" w:rsidP="00924C22">
      <w:pPr>
        <w:rPr>
          <w:rFonts w:ascii="Arial" w:hAnsi="Arial" w:cs="Arial"/>
          <w:sz w:val="24"/>
          <w:szCs w:val="24"/>
        </w:rPr>
      </w:pPr>
      <w:r w:rsidRPr="001A6501">
        <w:rPr>
          <w:rFonts w:ascii="Arial" w:hAnsi="Arial" w:cs="Arial"/>
          <w:sz w:val="24"/>
          <w:szCs w:val="24"/>
        </w:rPr>
        <w:t>Figure S4.3: Agarose gel electrophoresis of 10 kDa Dextran-HEP-Liposomes.</w:t>
      </w:r>
    </w:p>
    <w:p w14:paraId="3AB5EAE7" w14:textId="3BF4F58E" w:rsidR="004C64F4" w:rsidRPr="001A6501" w:rsidRDefault="004C64F4" w:rsidP="00924C22">
      <w:pPr>
        <w:rPr>
          <w:rFonts w:ascii="Arial" w:hAnsi="Arial" w:cs="Arial"/>
          <w:sz w:val="24"/>
          <w:szCs w:val="24"/>
        </w:rPr>
      </w:pPr>
      <w:r w:rsidRPr="001A6501">
        <w:rPr>
          <w:rFonts w:ascii="Arial" w:hAnsi="Arial" w:cs="Arial"/>
          <w:sz w:val="24"/>
          <w:szCs w:val="24"/>
        </w:rPr>
        <w:t>Figure S4.4: DiO signal in Magnify samples is lost before expansion.</w:t>
      </w:r>
    </w:p>
    <w:p w14:paraId="273EAD37" w14:textId="77777777" w:rsidR="004C64F4" w:rsidRDefault="004C64F4" w:rsidP="00924C22">
      <w:pPr>
        <w:rPr>
          <w:rFonts w:ascii="Arial" w:hAnsi="Arial" w:cs="Arial"/>
          <w:b/>
          <w:bCs/>
          <w:sz w:val="24"/>
          <w:szCs w:val="24"/>
        </w:rPr>
      </w:pPr>
    </w:p>
    <w:p w14:paraId="7EB0137B" w14:textId="798D5144" w:rsidR="00C06183" w:rsidRPr="00E57377" w:rsidRDefault="00C06183" w:rsidP="002D3789">
      <w:pPr>
        <w:jc w:val="both"/>
        <w:rPr>
          <w:rFonts w:ascii="Arial" w:hAnsi="Arial" w:cs="Arial"/>
          <w:b/>
          <w:bCs/>
          <w:sz w:val="24"/>
          <w:szCs w:val="24"/>
          <w:highlight w:val="yellow"/>
        </w:rPr>
      </w:pPr>
      <w:r w:rsidRPr="00E57377">
        <w:rPr>
          <w:rFonts w:ascii="Arial" w:hAnsi="Arial" w:cs="Arial"/>
          <w:b/>
          <w:bCs/>
          <w:sz w:val="24"/>
          <w:szCs w:val="24"/>
          <w:highlight w:val="yellow"/>
        </w:rPr>
        <w:br w:type="page"/>
      </w:r>
    </w:p>
    <w:p w14:paraId="04BA46C4" w14:textId="77777777" w:rsidR="00C06183" w:rsidRDefault="00C06183" w:rsidP="00721691">
      <w:pPr>
        <w:pStyle w:val="Heading1"/>
      </w:pPr>
      <w:bookmarkStart w:id="3" w:name="_Toc151032402"/>
      <w:r w:rsidRPr="005335B7">
        <w:lastRenderedPageBreak/>
        <w:t>List of Tables</w:t>
      </w:r>
      <w:bookmarkEnd w:id="3"/>
    </w:p>
    <w:p w14:paraId="14153BFB" w14:textId="77777777" w:rsidR="001A6501" w:rsidRPr="001A6501" w:rsidRDefault="001A6501" w:rsidP="001A6501"/>
    <w:p w14:paraId="50145C61" w14:textId="77777777" w:rsidR="001A6501" w:rsidRDefault="001A6501" w:rsidP="001A6501">
      <w:pPr>
        <w:rPr>
          <w:rFonts w:ascii="Arial" w:hAnsi="Arial" w:cs="Arial"/>
          <w:b/>
          <w:bCs/>
          <w:sz w:val="24"/>
          <w:szCs w:val="24"/>
        </w:rPr>
      </w:pPr>
      <w:r w:rsidRPr="001E6A07">
        <w:rPr>
          <w:rFonts w:ascii="Arial" w:hAnsi="Arial" w:cs="Arial"/>
          <w:b/>
          <w:bCs/>
          <w:sz w:val="24"/>
          <w:szCs w:val="24"/>
        </w:rPr>
        <w:t>Chapter 1</w:t>
      </w:r>
      <w:r>
        <w:rPr>
          <w:rFonts w:ascii="Arial" w:hAnsi="Arial" w:cs="Arial"/>
          <w:b/>
          <w:bCs/>
          <w:sz w:val="24"/>
          <w:szCs w:val="24"/>
        </w:rPr>
        <w:t>:</w:t>
      </w:r>
    </w:p>
    <w:p w14:paraId="6959B5A5" w14:textId="379491A0" w:rsidR="001A6501" w:rsidRPr="005335B7" w:rsidRDefault="001A6501" w:rsidP="001A6501">
      <w:pPr>
        <w:rPr>
          <w:rFonts w:ascii="Arial" w:hAnsi="Arial" w:cs="Arial"/>
          <w:sz w:val="24"/>
          <w:szCs w:val="24"/>
        </w:rPr>
      </w:pPr>
      <w:r w:rsidRPr="005335B7">
        <w:rPr>
          <w:rFonts w:ascii="Arial" w:hAnsi="Arial" w:cs="Arial"/>
          <w:sz w:val="24"/>
          <w:szCs w:val="24"/>
        </w:rPr>
        <w:t>Table 1.1. Examples of nanoparticle delivery mechanisms across tumor vasculature</w:t>
      </w:r>
    </w:p>
    <w:p w14:paraId="2B11BDF3" w14:textId="60EAF8B7" w:rsidR="001E37B3" w:rsidRPr="005335B7" w:rsidRDefault="001E37B3" w:rsidP="001A6501">
      <w:pPr>
        <w:rPr>
          <w:rFonts w:ascii="Arial" w:hAnsi="Arial" w:cs="Arial"/>
          <w:sz w:val="24"/>
          <w:szCs w:val="24"/>
        </w:rPr>
      </w:pPr>
      <w:r w:rsidRPr="005335B7">
        <w:rPr>
          <w:rFonts w:ascii="Arial" w:hAnsi="Arial" w:cs="Arial"/>
          <w:sz w:val="24"/>
          <w:szCs w:val="24"/>
        </w:rPr>
        <w:t>Table 1.2. Surface receptors for targeting specific endocytic pathways in vitro and in vivo.</w:t>
      </w:r>
    </w:p>
    <w:p w14:paraId="1081B59F" w14:textId="4B80FA1D" w:rsidR="001E37B3" w:rsidRPr="005335B7" w:rsidRDefault="001E37B3" w:rsidP="001A6501">
      <w:pPr>
        <w:rPr>
          <w:rFonts w:ascii="Arial" w:hAnsi="Arial" w:cs="Arial"/>
          <w:sz w:val="24"/>
          <w:szCs w:val="24"/>
        </w:rPr>
      </w:pPr>
      <w:r w:rsidRPr="005335B7">
        <w:rPr>
          <w:rFonts w:ascii="Arial" w:hAnsi="Arial" w:cs="Arial"/>
          <w:sz w:val="24"/>
          <w:szCs w:val="24"/>
        </w:rPr>
        <w:t>Table 1.3. Small molecule endocytosis inhibitors and their effectiveness.</w:t>
      </w:r>
    </w:p>
    <w:p w14:paraId="078DC6AB" w14:textId="77777777" w:rsidR="001E37B3" w:rsidRDefault="001E37B3" w:rsidP="001A6501">
      <w:pPr>
        <w:rPr>
          <w:rFonts w:ascii="Arial" w:hAnsi="Arial" w:cs="Arial"/>
          <w:b/>
          <w:bCs/>
          <w:sz w:val="24"/>
          <w:szCs w:val="24"/>
        </w:rPr>
      </w:pPr>
    </w:p>
    <w:p w14:paraId="7AFA6699" w14:textId="7677531D" w:rsidR="001E37B3" w:rsidRDefault="001E37B3" w:rsidP="001A6501">
      <w:pPr>
        <w:rPr>
          <w:rFonts w:ascii="Arial" w:hAnsi="Arial" w:cs="Arial"/>
          <w:b/>
          <w:bCs/>
          <w:sz w:val="24"/>
          <w:szCs w:val="24"/>
        </w:rPr>
      </w:pPr>
      <w:r>
        <w:rPr>
          <w:rFonts w:ascii="Arial" w:hAnsi="Arial" w:cs="Arial"/>
          <w:b/>
          <w:bCs/>
          <w:sz w:val="24"/>
          <w:szCs w:val="24"/>
        </w:rPr>
        <w:t>Chapters 2 and 3:</w:t>
      </w:r>
    </w:p>
    <w:p w14:paraId="41F399A9" w14:textId="77777777" w:rsidR="005335B7" w:rsidRPr="005335B7" w:rsidRDefault="005335B7">
      <w:pPr>
        <w:rPr>
          <w:rFonts w:ascii="Arial" w:hAnsi="Arial" w:cs="Arial"/>
          <w:sz w:val="24"/>
          <w:szCs w:val="24"/>
        </w:rPr>
      </w:pPr>
      <w:r w:rsidRPr="005335B7">
        <w:rPr>
          <w:rFonts w:ascii="Arial" w:hAnsi="Arial" w:cs="Arial"/>
          <w:sz w:val="24"/>
          <w:szCs w:val="24"/>
        </w:rPr>
        <w:t xml:space="preserve">Table S1. Metallic Nanoparticle Characterization using Dynamic Light Scattering </w:t>
      </w:r>
    </w:p>
    <w:p w14:paraId="6F6EB2D0" w14:textId="77777777" w:rsidR="005335B7" w:rsidRPr="005335B7" w:rsidRDefault="005335B7">
      <w:pPr>
        <w:rPr>
          <w:rFonts w:ascii="Arial" w:hAnsi="Arial" w:cs="Arial"/>
          <w:sz w:val="24"/>
          <w:szCs w:val="24"/>
        </w:rPr>
      </w:pPr>
      <w:r w:rsidRPr="005335B7">
        <w:rPr>
          <w:rFonts w:ascii="Arial" w:hAnsi="Arial" w:cs="Arial"/>
          <w:sz w:val="24"/>
          <w:szCs w:val="24"/>
        </w:rPr>
        <w:t xml:space="preserve">Table S2. Metallic Nanoparticle Characterization via Zeta Potential </w:t>
      </w:r>
    </w:p>
    <w:p w14:paraId="0D5EB85D" w14:textId="77777777" w:rsidR="005335B7" w:rsidRDefault="005335B7">
      <w:pPr>
        <w:rPr>
          <w:rFonts w:ascii="Arial" w:hAnsi="Arial" w:cs="Arial"/>
          <w:b/>
          <w:bCs/>
          <w:sz w:val="24"/>
          <w:szCs w:val="24"/>
        </w:rPr>
      </w:pPr>
    </w:p>
    <w:p w14:paraId="6286C39A" w14:textId="77777777" w:rsidR="005335B7" w:rsidRDefault="005335B7">
      <w:pPr>
        <w:rPr>
          <w:rFonts w:ascii="Arial" w:hAnsi="Arial" w:cs="Arial"/>
          <w:b/>
          <w:bCs/>
          <w:sz w:val="24"/>
          <w:szCs w:val="24"/>
        </w:rPr>
      </w:pPr>
      <w:r>
        <w:rPr>
          <w:rFonts w:ascii="Arial" w:hAnsi="Arial" w:cs="Arial"/>
          <w:b/>
          <w:bCs/>
          <w:sz w:val="24"/>
          <w:szCs w:val="24"/>
        </w:rPr>
        <w:t>Chapter 4:</w:t>
      </w:r>
    </w:p>
    <w:p w14:paraId="4762BFAB" w14:textId="77777777" w:rsidR="005335B7" w:rsidRPr="005335B7" w:rsidRDefault="005335B7">
      <w:pPr>
        <w:rPr>
          <w:rFonts w:ascii="Arial" w:hAnsi="Arial" w:cs="Arial"/>
          <w:sz w:val="24"/>
          <w:szCs w:val="24"/>
        </w:rPr>
      </w:pPr>
      <w:r w:rsidRPr="005335B7">
        <w:rPr>
          <w:rFonts w:ascii="Arial" w:hAnsi="Arial" w:cs="Arial"/>
          <w:sz w:val="24"/>
          <w:szCs w:val="24"/>
        </w:rPr>
        <w:t xml:space="preserve">Table S3. Liposome Characterization using Dynamic Light Scattering </w:t>
      </w:r>
    </w:p>
    <w:p w14:paraId="2D834AF6" w14:textId="4C917552" w:rsidR="00C06183" w:rsidRDefault="005335B7">
      <w:pPr>
        <w:rPr>
          <w:rFonts w:ascii="Arial" w:hAnsi="Arial" w:cs="Arial"/>
          <w:b/>
          <w:bCs/>
          <w:sz w:val="24"/>
          <w:szCs w:val="24"/>
        </w:rPr>
      </w:pPr>
      <w:r w:rsidRPr="005335B7">
        <w:rPr>
          <w:rFonts w:ascii="Arial" w:hAnsi="Arial" w:cs="Arial"/>
          <w:sz w:val="24"/>
          <w:szCs w:val="24"/>
        </w:rPr>
        <w:t>Table S4. Liposome Characterization via Zeta Potential</w:t>
      </w:r>
      <w:r w:rsidR="00C06183">
        <w:rPr>
          <w:rFonts w:ascii="Arial" w:hAnsi="Arial" w:cs="Arial"/>
          <w:b/>
          <w:bCs/>
          <w:sz w:val="24"/>
          <w:szCs w:val="24"/>
        </w:rPr>
        <w:br w:type="page"/>
      </w:r>
    </w:p>
    <w:p w14:paraId="037E7943" w14:textId="30192978" w:rsidR="00B105BF" w:rsidRDefault="00A10ACB" w:rsidP="00721691">
      <w:pPr>
        <w:pStyle w:val="Heading1"/>
      </w:pPr>
      <w:bookmarkStart w:id="4" w:name="_Toc151032403"/>
      <w:r w:rsidRPr="008C387C">
        <w:lastRenderedPageBreak/>
        <w:t>Abstract</w:t>
      </w:r>
      <w:bookmarkEnd w:id="4"/>
    </w:p>
    <w:p w14:paraId="3677C842" w14:textId="77777777" w:rsidR="00721691" w:rsidRPr="00721691" w:rsidRDefault="00721691" w:rsidP="00721691"/>
    <w:p w14:paraId="7B160153" w14:textId="77777777" w:rsidR="0060760A" w:rsidRDefault="00670034" w:rsidP="00670034">
      <w:pPr>
        <w:spacing w:line="480" w:lineRule="auto"/>
        <w:jc w:val="both"/>
        <w:rPr>
          <w:rFonts w:ascii="Arial" w:hAnsi="Arial" w:cs="Arial"/>
          <w:sz w:val="24"/>
          <w:szCs w:val="24"/>
        </w:rPr>
        <w:sectPr w:rsidR="0060760A" w:rsidSect="0060760A">
          <w:footerReference w:type="default" r:id="rId9"/>
          <w:pgSz w:w="12240" w:h="15840"/>
          <w:pgMar w:top="1440" w:right="1440" w:bottom="1440" w:left="1440" w:header="720" w:footer="720" w:gutter="0"/>
          <w:pgNumType w:fmt="lowerRoman" w:start="4"/>
          <w:cols w:space="720"/>
          <w:docGrid w:linePitch="360"/>
        </w:sectPr>
      </w:pPr>
      <w:r w:rsidRPr="00C06183">
        <w:rPr>
          <w:rFonts w:ascii="Arial" w:hAnsi="Arial" w:cs="Arial"/>
          <w:sz w:val="24"/>
          <w:szCs w:val="24"/>
        </w:rPr>
        <w:t xml:space="preserve">The systemic administration of nanomedicine formulations has been described as a promising treatment option for solid tumors at both preclinical and clinical stages. However, these treatments are currently limited to improved safety over the administration of free drugs, while improvements to efficacy have been limited by a noted low accumulation of nanoparticles in cancer cells. The mechanisms for nanoparticle delivery across tumor blood vessels into the tumor microenvironment are not fully understood as a result of the physical limitations of the current standard methods of visualizing nanoparticle accumulation and intracellular transport in cancer cells. Most intracellular vesicles typically involved with the transport of nanoparticles across tumor blood vessels are sized smaller than the spatial resolution limit of light microscopy (~200 nm laterally), whereas electron microscopes, which provide sufficient lateral resolutions for visualizing these vesicles, are typically limited to thin biological samples, making it difficult to acquire three-dimensional (3D) visualizations of cells. To address these challenges, in this dissertation, quantitative 3D super-resolution light microscopy methods were applied to study the intracellular distribution of metallic and organic nanoparticle formulations in cultured cancer cells. We employed a method known as expansion microscopy, which involves embedding cell samples within swellable hydrogels to physically enlarge the sample &gt;10X their original size for super-resolution imaging. Intracellular label-free metallic nanoparticles were visualized with light scattering imaging, while organic nanoparticles were visualized with internalized fluorescent tags. Since expansion microscopy is compatible with the labeling of intracellular features, this method enables the determination of the precise location of nanoparticles within cells, which can </w:t>
      </w:r>
      <w:r w:rsidRPr="00C06183">
        <w:rPr>
          <w:rFonts w:ascii="Arial" w:hAnsi="Arial" w:cs="Arial"/>
          <w:sz w:val="24"/>
          <w:szCs w:val="24"/>
        </w:rPr>
        <w:lastRenderedPageBreak/>
        <w:t>be used for studying intracellular nanoparticle trafficking with high spatial resolution in 3D. The successful application of this method will empower new research in nanomedicine for the development of safer and more effective treatments.</w:t>
      </w:r>
    </w:p>
    <w:p w14:paraId="16812766" w14:textId="163DC50A" w:rsidR="00CC4FB7" w:rsidRDefault="00EE038B" w:rsidP="00721691">
      <w:pPr>
        <w:pStyle w:val="Heading1"/>
      </w:pPr>
      <w:bookmarkStart w:id="5" w:name="_Toc151032404"/>
      <w:r w:rsidRPr="008C387C">
        <w:lastRenderedPageBreak/>
        <w:t>Objectives and Aims</w:t>
      </w:r>
      <w:bookmarkEnd w:id="5"/>
    </w:p>
    <w:p w14:paraId="0268362C" w14:textId="77777777" w:rsidR="00721691" w:rsidRPr="00721691" w:rsidRDefault="00721691" w:rsidP="00721691"/>
    <w:p w14:paraId="61EFE92B" w14:textId="6F143FD2" w:rsidR="00487676" w:rsidRDefault="00CC4FB7" w:rsidP="00CC4FB7">
      <w:pPr>
        <w:spacing w:line="480" w:lineRule="auto"/>
        <w:jc w:val="both"/>
        <w:rPr>
          <w:rFonts w:ascii="Arial" w:hAnsi="Arial" w:cs="Arial"/>
          <w:sz w:val="24"/>
          <w:szCs w:val="24"/>
        </w:rPr>
      </w:pPr>
      <w:r>
        <w:rPr>
          <w:rFonts w:ascii="Arial" w:hAnsi="Arial" w:cs="Arial"/>
          <w:sz w:val="24"/>
          <w:szCs w:val="24"/>
        </w:rPr>
        <w:tab/>
        <w:t xml:space="preserve">This dissertation presents methods of visualizing and quantifying inorganic and organic nanoparticle distribution in cultured cancer cells with three-dimensional super-resolution microscopy towards the goal of studying nanoparticle transport mechanisms across tumor blood vessels </w:t>
      </w:r>
      <w:r w:rsidR="00487676">
        <w:rPr>
          <w:rFonts w:ascii="Arial" w:hAnsi="Arial" w:cs="Arial"/>
          <w:sz w:val="24"/>
          <w:szCs w:val="24"/>
        </w:rPr>
        <w:t>to improve the delivery of nanomedicines to solid tumors.</w:t>
      </w:r>
      <w:r w:rsidR="009742B6">
        <w:rPr>
          <w:rFonts w:ascii="Arial" w:hAnsi="Arial" w:cs="Arial"/>
          <w:sz w:val="24"/>
          <w:szCs w:val="24"/>
        </w:rPr>
        <w:t xml:space="preserve">  </w:t>
      </w:r>
      <w:r w:rsidR="00487676">
        <w:rPr>
          <w:rFonts w:ascii="Arial" w:hAnsi="Arial" w:cs="Arial"/>
          <w:sz w:val="24"/>
          <w:szCs w:val="24"/>
        </w:rPr>
        <w:t xml:space="preserve"> </w:t>
      </w:r>
    </w:p>
    <w:p w14:paraId="57FA4E8A" w14:textId="56177140" w:rsidR="00487676" w:rsidRDefault="00487676" w:rsidP="00CC4FB7">
      <w:pPr>
        <w:spacing w:line="480" w:lineRule="auto"/>
        <w:jc w:val="both"/>
        <w:rPr>
          <w:rFonts w:ascii="Arial" w:hAnsi="Arial" w:cs="Arial"/>
          <w:sz w:val="24"/>
          <w:szCs w:val="24"/>
        </w:rPr>
      </w:pPr>
      <w:r>
        <w:rPr>
          <w:rFonts w:ascii="Arial" w:hAnsi="Arial" w:cs="Arial"/>
          <w:sz w:val="24"/>
          <w:szCs w:val="24"/>
        </w:rPr>
        <w:tab/>
        <w:t xml:space="preserve">In </w:t>
      </w:r>
      <w:r w:rsidR="00371F8F">
        <w:rPr>
          <w:rFonts w:ascii="Arial" w:hAnsi="Arial" w:cs="Arial"/>
          <w:sz w:val="24"/>
          <w:szCs w:val="24"/>
        </w:rPr>
        <w:t>C</w:t>
      </w:r>
      <w:r>
        <w:rPr>
          <w:rFonts w:ascii="Arial" w:hAnsi="Arial" w:cs="Arial"/>
          <w:sz w:val="24"/>
          <w:szCs w:val="24"/>
        </w:rPr>
        <w:t xml:space="preserve">hapter 1, we review nanoparticle transport pathways and mechanisms across tumor blood vessels. </w:t>
      </w:r>
      <w:r w:rsidRPr="00487676">
        <w:rPr>
          <w:rFonts w:ascii="Arial" w:hAnsi="Arial" w:cs="Arial"/>
          <w:sz w:val="24"/>
          <w:szCs w:val="24"/>
        </w:rPr>
        <w:t xml:space="preserve">Nanoparticle transport across tumor blood vessels is a key step in nanoparticle delivery to solid tumors. However, the specific pathways and mechanisms of this nanoparticle delivery process are not fully understood. Here, we explore the biological and physical characteristics of the tumor vasculature and the tumor microenvironment and discuss how these features affect nanoparticle transport across tumor blood vessels. We </w:t>
      </w:r>
      <w:r w:rsidR="00B520D0">
        <w:rPr>
          <w:rFonts w:ascii="Arial" w:hAnsi="Arial" w:cs="Arial"/>
          <w:sz w:val="24"/>
          <w:szCs w:val="24"/>
        </w:rPr>
        <w:t>discuss</w:t>
      </w:r>
      <w:r w:rsidRPr="00487676">
        <w:rPr>
          <w:rFonts w:ascii="Arial" w:hAnsi="Arial" w:cs="Arial"/>
          <w:sz w:val="24"/>
          <w:szCs w:val="24"/>
        </w:rPr>
        <w:t xml:space="preserve"> biological and physical methods to deliver nanoparticles into tumors and explore paracellular and transcellular nanoparticle transport pathways. </w:t>
      </w:r>
    </w:p>
    <w:p w14:paraId="45440F76" w14:textId="00448254" w:rsidR="00487676" w:rsidRDefault="00487676" w:rsidP="00CC4FB7">
      <w:pPr>
        <w:spacing w:line="480" w:lineRule="auto"/>
        <w:jc w:val="both"/>
        <w:rPr>
          <w:rFonts w:ascii="Arial" w:hAnsi="Arial" w:cs="Arial"/>
          <w:sz w:val="24"/>
          <w:szCs w:val="24"/>
        </w:rPr>
      </w:pPr>
      <w:r>
        <w:rPr>
          <w:rFonts w:ascii="Arial" w:hAnsi="Arial" w:cs="Arial"/>
          <w:sz w:val="24"/>
          <w:szCs w:val="24"/>
        </w:rPr>
        <w:tab/>
        <w:t xml:space="preserve">In </w:t>
      </w:r>
      <w:r w:rsidR="00371F8F">
        <w:rPr>
          <w:rFonts w:ascii="Arial" w:hAnsi="Arial" w:cs="Arial"/>
          <w:sz w:val="24"/>
          <w:szCs w:val="24"/>
        </w:rPr>
        <w:t>C</w:t>
      </w:r>
      <w:r>
        <w:rPr>
          <w:rFonts w:ascii="Arial" w:hAnsi="Arial" w:cs="Arial"/>
          <w:sz w:val="24"/>
          <w:szCs w:val="24"/>
        </w:rPr>
        <w:t xml:space="preserve">hapter 2, </w:t>
      </w:r>
      <w:r w:rsidR="009742B6">
        <w:rPr>
          <w:rFonts w:ascii="Arial" w:hAnsi="Arial" w:cs="Arial"/>
          <w:sz w:val="24"/>
          <w:szCs w:val="24"/>
        </w:rPr>
        <w:t xml:space="preserve">our aim was to establish </w:t>
      </w:r>
      <w:r>
        <w:rPr>
          <w:rFonts w:ascii="Arial" w:hAnsi="Arial" w:cs="Arial"/>
          <w:sz w:val="24"/>
          <w:szCs w:val="24"/>
        </w:rPr>
        <w:t>a method for visualizing label-free metallic nanoparticle</w:t>
      </w:r>
      <w:r w:rsidR="00B520D0">
        <w:rPr>
          <w:rFonts w:ascii="Arial" w:hAnsi="Arial" w:cs="Arial"/>
          <w:sz w:val="24"/>
          <w:szCs w:val="24"/>
        </w:rPr>
        <w:t xml:space="preserve"> distribution</w:t>
      </w:r>
      <w:r>
        <w:rPr>
          <w:rFonts w:ascii="Arial" w:hAnsi="Arial" w:cs="Arial"/>
          <w:sz w:val="24"/>
          <w:szCs w:val="24"/>
        </w:rPr>
        <w:t xml:space="preserve"> in cultured cells with three-dimensional super-resolution </w:t>
      </w:r>
      <w:r w:rsidR="009742B6">
        <w:rPr>
          <w:rFonts w:ascii="Arial" w:hAnsi="Arial" w:cs="Arial"/>
          <w:sz w:val="24"/>
          <w:szCs w:val="24"/>
        </w:rPr>
        <w:t xml:space="preserve">microscopy. </w:t>
      </w:r>
      <w:r w:rsidRPr="00487676">
        <w:rPr>
          <w:rFonts w:ascii="Arial" w:hAnsi="Arial" w:cs="Arial"/>
          <w:sz w:val="24"/>
          <w:szCs w:val="24"/>
        </w:rPr>
        <w:t>Super-resolution microscopy can transform our understanding of nanoparticle-cell interactions. Here, we established a super-resolution imaging technology to visualize nanoparticle distributions inside mammalian cells</w:t>
      </w:r>
      <w:r w:rsidR="009742B6">
        <w:rPr>
          <w:rFonts w:ascii="Arial" w:hAnsi="Arial" w:cs="Arial"/>
          <w:sz w:val="24"/>
          <w:szCs w:val="24"/>
        </w:rPr>
        <w:t xml:space="preserve"> through the use of protein-retention expansion microscopy (proExM)</w:t>
      </w:r>
      <w:r w:rsidRPr="00487676">
        <w:rPr>
          <w:rFonts w:ascii="Arial" w:hAnsi="Arial" w:cs="Arial"/>
          <w:sz w:val="24"/>
          <w:szCs w:val="24"/>
        </w:rPr>
        <w:t xml:space="preserve">. The cells were exposed to metallic nanoparticles and then embedded within different swellable hydrogels to enable quantitative three-dimensional (3D) imaging approaching electron microscopy-like resolution using a standard light microscope. By exploiting the nanoparticles’ light </w:t>
      </w:r>
      <w:r w:rsidRPr="00487676">
        <w:rPr>
          <w:rFonts w:ascii="Arial" w:hAnsi="Arial" w:cs="Arial"/>
          <w:sz w:val="24"/>
          <w:szCs w:val="24"/>
        </w:rPr>
        <w:lastRenderedPageBreak/>
        <w:t xml:space="preserve">scattering properties, we demonstrated label-free imaging of intracellular nanoparticles with ultrastructural context. </w:t>
      </w:r>
    </w:p>
    <w:p w14:paraId="7DDF0AEC" w14:textId="1EB5B7E6" w:rsidR="009742B6" w:rsidRDefault="00487676" w:rsidP="00CC4FB7">
      <w:pPr>
        <w:spacing w:line="480" w:lineRule="auto"/>
        <w:jc w:val="both"/>
        <w:rPr>
          <w:rFonts w:ascii="Arial" w:hAnsi="Arial" w:cs="Arial"/>
          <w:sz w:val="24"/>
          <w:szCs w:val="24"/>
        </w:rPr>
      </w:pPr>
      <w:r>
        <w:rPr>
          <w:rFonts w:ascii="Arial" w:hAnsi="Arial" w:cs="Arial"/>
          <w:sz w:val="24"/>
          <w:szCs w:val="24"/>
        </w:rPr>
        <w:tab/>
        <w:t xml:space="preserve">In </w:t>
      </w:r>
      <w:r w:rsidR="00371F8F">
        <w:rPr>
          <w:rFonts w:ascii="Arial" w:hAnsi="Arial" w:cs="Arial"/>
          <w:sz w:val="24"/>
          <w:szCs w:val="24"/>
        </w:rPr>
        <w:t>C</w:t>
      </w:r>
      <w:r>
        <w:rPr>
          <w:rFonts w:ascii="Arial" w:hAnsi="Arial" w:cs="Arial"/>
          <w:sz w:val="24"/>
          <w:szCs w:val="24"/>
        </w:rPr>
        <w:t>hapter 3,</w:t>
      </w:r>
      <w:r w:rsidR="009742B6">
        <w:rPr>
          <w:rFonts w:ascii="Arial" w:hAnsi="Arial" w:cs="Arial"/>
          <w:sz w:val="24"/>
          <w:szCs w:val="24"/>
        </w:rPr>
        <w:t xml:space="preserve"> our aim was to improve the maximum spatial resolution that we had achieved in </w:t>
      </w:r>
      <w:r w:rsidR="00371F8F">
        <w:rPr>
          <w:rFonts w:ascii="Arial" w:hAnsi="Arial" w:cs="Arial"/>
          <w:sz w:val="24"/>
          <w:szCs w:val="24"/>
        </w:rPr>
        <w:t>C</w:t>
      </w:r>
      <w:r w:rsidR="009742B6">
        <w:rPr>
          <w:rFonts w:ascii="Arial" w:hAnsi="Arial" w:cs="Arial"/>
          <w:sz w:val="24"/>
          <w:szCs w:val="24"/>
        </w:rPr>
        <w:t>hapter 2</w:t>
      </w:r>
      <w:r>
        <w:rPr>
          <w:rFonts w:ascii="Arial" w:hAnsi="Arial" w:cs="Arial"/>
          <w:sz w:val="24"/>
          <w:szCs w:val="24"/>
        </w:rPr>
        <w:t xml:space="preserve"> </w:t>
      </w:r>
      <w:r w:rsidR="009742B6">
        <w:rPr>
          <w:rFonts w:ascii="Arial" w:hAnsi="Arial" w:cs="Arial"/>
          <w:sz w:val="24"/>
          <w:szCs w:val="24"/>
        </w:rPr>
        <w:t>for the quantitative analysis of metallic nanoparticle intracellular distribution. W</w:t>
      </w:r>
      <w:r>
        <w:rPr>
          <w:rFonts w:ascii="Arial" w:hAnsi="Arial" w:cs="Arial"/>
          <w:sz w:val="24"/>
          <w:szCs w:val="24"/>
        </w:rPr>
        <w:t xml:space="preserve">e </w:t>
      </w:r>
      <w:r w:rsidR="00B520D0">
        <w:rPr>
          <w:rFonts w:ascii="Arial" w:hAnsi="Arial" w:cs="Arial"/>
          <w:sz w:val="24"/>
          <w:szCs w:val="24"/>
        </w:rPr>
        <w:t>adopted</w:t>
      </w:r>
      <w:r>
        <w:rPr>
          <w:rFonts w:ascii="Arial" w:hAnsi="Arial" w:cs="Arial"/>
          <w:sz w:val="24"/>
          <w:szCs w:val="24"/>
        </w:rPr>
        <w:t xml:space="preserve"> an alternative expansion microscopy protocol, pan-ExM, which provides significantly higher resolution than proExM, and allows for the quantitative analysis of </w:t>
      </w:r>
      <w:r w:rsidR="009742B6">
        <w:rPr>
          <w:rFonts w:ascii="Arial" w:hAnsi="Arial" w:cs="Arial"/>
          <w:sz w:val="24"/>
          <w:szCs w:val="24"/>
        </w:rPr>
        <w:t xml:space="preserve">label-free </w:t>
      </w:r>
      <w:r>
        <w:rPr>
          <w:rFonts w:ascii="Arial" w:hAnsi="Arial" w:cs="Arial"/>
          <w:sz w:val="24"/>
          <w:szCs w:val="24"/>
        </w:rPr>
        <w:t xml:space="preserve">nanoparticle distribution within individual intracellular vesicles in 3D. </w:t>
      </w:r>
      <w:r w:rsidRPr="00487676">
        <w:rPr>
          <w:rFonts w:ascii="Arial" w:hAnsi="Arial" w:cs="Arial"/>
          <w:sz w:val="24"/>
          <w:szCs w:val="24"/>
        </w:rPr>
        <w:t xml:space="preserve">We validated relative differences between nanoparticle cellular accumulation for various surface modifications using mass spectrometry and determined the intracellular nanoparticle spatial distribution in 3D for entire single cells. </w:t>
      </w:r>
    </w:p>
    <w:p w14:paraId="3B4765E2" w14:textId="48D8F866" w:rsidR="00B520D0" w:rsidRDefault="009742B6" w:rsidP="00CC4FB7">
      <w:pPr>
        <w:spacing w:line="480" w:lineRule="auto"/>
        <w:jc w:val="both"/>
        <w:rPr>
          <w:rFonts w:ascii="Arial" w:hAnsi="Arial" w:cs="Arial"/>
          <w:sz w:val="24"/>
          <w:szCs w:val="24"/>
        </w:rPr>
      </w:pPr>
      <w:r>
        <w:rPr>
          <w:rFonts w:ascii="Arial" w:hAnsi="Arial" w:cs="Arial"/>
          <w:sz w:val="24"/>
          <w:szCs w:val="24"/>
        </w:rPr>
        <w:tab/>
        <w:t xml:space="preserve">In </w:t>
      </w:r>
      <w:r w:rsidR="00371F8F">
        <w:rPr>
          <w:rFonts w:ascii="Arial" w:hAnsi="Arial" w:cs="Arial"/>
          <w:sz w:val="24"/>
          <w:szCs w:val="24"/>
        </w:rPr>
        <w:t>C</w:t>
      </w:r>
      <w:r>
        <w:rPr>
          <w:rFonts w:ascii="Arial" w:hAnsi="Arial" w:cs="Arial"/>
          <w:sz w:val="24"/>
          <w:szCs w:val="24"/>
        </w:rPr>
        <w:t xml:space="preserve">hapter 4, our aim was to establish a method for visualizing organic nanoparticle distribution </w:t>
      </w:r>
      <w:r w:rsidR="00B520D0">
        <w:rPr>
          <w:rFonts w:ascii="Arial" w:hAnsi="Arial" w:cs="Arial"/>
          <w:sz w:val="24"/>
          <w:szCs w:val="24"/>
        </w:rPr>
        <w:t>in cultured cells with three-dimensional super-resolution microscopy. Organic nanoparticles, particularly liposomes, are more clinically relevant for the treatment of cancers than metallic nanoparticles because of their improved biocompatibility and versatile cargo carrying capabilities. We adopted a new expansion microscopy protocol known as Magnify, which better retains lipids</w:t>
      </w:r>
      <w:r w:rsidR="007A5C70">
        <w:rPr>
          <w:rFonts w:ascii="Arial" w:hAnsi="Arial" w:cs="Arial"/>
          <w:sz w:val="24"/>
          <w:szCs w:val="24"/>
        </w:rPr>
        <w:t>, the primary component of liposomes,</w:t>
      </w:r>
      <w:r w:rsidR="00B520D0">
        <w:rPr>
          <w:rFonts w:ascii="Arial" w:hAnsi="Arial" w:cs="Arial"/>
          <w:sz w:val="24"/>
          <w:szCs w:val="24"/>
        </w:rPr>
        <w:t xml:space="preserve"> in expanded cells than pan-ExM. </w:t>
      </w:r>
      <w:r w:rsidR="007A5C70">
        <w:rPr>
          <w:rFonts w:ascii="Arial" w:hAnsi="Arial" w:cs="Arial"/>
          <w:sz w:val="24"/>
          <w:szCs w:val="24"/>
        </w:rPr>
        <w:t xml:space="preserve">Here, we demonstrated that Magnify allows for the 3D-super-resolution visualization of fluorescent large-molecule cargo encapsulated in liposomes within intracellular vesicles of cell. </w:t>
      </w:r>
    </w:p>
    <w:p w14:paraId="2A559E49" w14:textId="180E3882" w:rsidR="00B06CB5" w:rsidRDefault="00B06CB5" w:rsidP="00CC4FB7">
      <w:pPr>
        <w:spacing w:line="480" w:lineRule="auto"/>
        <w:jc w:val="both"/>
        <w:rPr>
          <w:rFonts w:ascii="Arial" w:hAnsi="Arial" w:cs="Arial"/>
          <w:sz w:val="24"/>
          <w:szCs w:val="24"/>
        </w:rPr>
      </w:pPr>
      <w:r>
        <w:rPr>
          <w:rFonts w:ascii="Arial" w:hAnsi="Arial" w:cs="Arial"/>
          <w:sz w:val="24"/>
          <w:szCs w:val="24"/>
        </w:rPr>
        <w:tab/>
        <w:t>Finally, in Chapter 5</w:t>
      </w:r>
      <w:r w:rsidR="00931D68">
        <w:rPr>
          <w:rFonts w:ascii="Arial" w:hAnsi="Arial" w:cs="Arial"/>
          <w:sz w:val="24"/>
          <w:szCs w:val="24"/>
        </w:rPr>
        <w:t>,</w:t>
      </w:r>
      <w:r>
        <w:rPr>
          <w:rFonts w:ascii="Arial" w:hAnsi="Arial" w:cs="Arial"/>
          <w:sz w:val="24"/>
          <w:szCs w:val="24"/>
        </w:rPr>
        <w:t xml:space="preserve"> we </w:t>
      </w:r>
      <w:r w:rsidR="00A63EE9">
        <w:rPr>
          <w:rFonts w:ascii="Arial" w:hAnsi="Arial" w:cs="Arial"/>
          <w:sz w:val="24"/>
          <w:szCs w:val="24"/>
        </w:rPr>
        <w:t>conclude with a summary of our main findings</w:t>
      </w:r>
      <w:r w:rsidR="0055738B">
        <w:rPr>
          <w:rFonts w:ascii="Arial" w:hAnsi="Arial" w:cs="Arial"/>
          <w:sz w:val="24"/>
          <w:szCs w:val="24"/>
        </w:rPr>
        <w:t xml:space="preserve"> and discussions of how our methods can be applied for studies towards improving the efficacy of nanomedicine for treating solid tumors, limitations, and future directions. </w:t>
      </w:r>
    </w:p>
    <w:p w14:paraId="63500C71" w14:textId="355FDC75" w:rsidR="00EE038B" w:rsidRDefault="00B520D0" w:rsidP="00B520D0">
      <w:pPr>
        <w:spacing w:line="480" w:lineRule="auto"/>
        <w:ind w:firstLine="720"/>
        <w:jc w:val="both"/>
        <w:rPr>
          <w:rFonts w:ascii="Arial" w:hAnsi="Arial" w:cs="Arial"/>
          <w:sz w:val="24"/>
          <w:szCs w:val="24"/>
        </w:rPr>
      </w:pPr>
      <w:r w:rsidRPr="00487676">
        <w:rPr>
          <w:rFonts w:ascii="Arial" w:hAnsi="Arial" w:cs="Arial"/>
          <w:sz w:val="24"/>
          <w:szCs w:val="24"/>
        </w:rPr>
        <w:lastRenderedPageBreak/>
        <w:t>This super-resolution imaging platform technology may be broadly used to understand the nanoparticle intracellular fate in fundamental and applied studies to potentially inform the engineering of a new generation of safer and more effective nanomedicines.</w:t>
      </w:r>
      <w:r w:rsidR="00EE038B">
        <w:rPr>
          <w:rFonts w:ascii="Arial" w:hAnsi="Arial" w:cs="Arial"/>
          <w:sz w:val="24"/>
          <w:szCs w:val="24"/>
        </w:rPr>
        <w:br w:type="page"/>
      </w:r>
    </w:p>
    <w:p w14:paraId="63A2DBD0" w14:textId="186B3511" w:rsidR="00670034" w:rsidRDefault="00C06183" w:rsidP="00721691">
      <w:pPr>
        <w:pStyle w:val="Heading1"/>
      </w:pPr>
      <w:bookmarkStart w:id="6" w:name="_Toc151032405"/>
      <w:r w:rsidRPr="00C06183">
        <w:lastRenderedPageBreak/>
        <w:t xml:space="preserve">Chapter 1: </w:t>
      </w:r>
      <w:r w:rsidR="00A22975" w:rsidRPr="00A22975">
        <w:t>Strategies for Delivering Nanoparticles across</w:t>
      </w:r>
      <w:r w:rsidR="00A22975">
        <w:t xml:space="preserve"> </w:t>
      </w:r>
      <w:r w:rsidR="00A22975" w:rsidRPr="00A22975">
        <w:t>Tumor Blood Vessels</w:t>
      </w:r>
      <w:bookmarkEnd w:id="6"/>
    </w:p>
    <w:p w14:paraId="7B230B76" w14:textId="77777777" w:rsidR="00721691" w:rsidRPr="00721691" w:rsidRDefault="00721691" w:rsidP="00721691"/>
    <w:p w14:paraId="75046A75" w14:textId="38505093" w:rsidR="00C06183" w:rsidRDefault="00C06183" w:rsidP="00721691">
      <w:pPr>
        <w:pStyle w:val="Heading2"/>
        <w:numPr>
          <w:ilvl w:val="1"/>
          <w:numId w:val="15"/>
        </w:numPr>
      </w:pPr>
      <w:bookmarkStart w:id="7" w:name="_Toc151032406"/>
      <w:r w:rsidRPr="00C06183">
        <w:t>Introduction</w:t>
      </w:r>
      <w:bookmarkEnd w:id="7"/>
    </w:p>
    <w:p w14:paraId="39F648B6" w14:textId="77777777" w:rsidR="00721691" w:rsidRPr="00721691" w:rsidRDefault="00721691" w:rsidP="00721691"/>
    <w:p w14:paraId="4574EE62" w14:textId="7F88FA67"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t xml:space="preserve">There are over </w:t>
      </w:r>
      <w:r w:rsidR="00D246D9" w:rsidRPr="008C387C">
        <w:rPr>
          <w:rFonts w:ascii="Arial" w:hAnsi="Arial" w:cs="Arial"/>
          <w:sz w:val="24"/>
          <w:szCs w:val="24"/>
        </w:rPr>
        <w:t>10</w:t>
      </w:r>
      <w:r w:rsidRPr="00C06183">
        <w:rPr>
          <w:rFonts w:ascii="Arial" w:hAnsi="Arial" w:cs="Arial"/>
          <w:sz w:val="24"/>
          <w:szCs w:val="24"/>
        </w:rPr>
        <w:t xml:space="preserve"> million cancer related deaths worldwide each year with a projected increase in annual new cases</w:t>
      </w:r>
      <w:r w:rsidR="00CC28AF">
        <w:rPr>
          <w:rFonts w:ascii="Arial" w:hAnsi="Arial" w:cs="Arial"/>
          <w:sz w:val="24"/>
          <w:szCs w:val="24"/>
        </w:rPr>
        <w:t>.</w:t>
      </w:r>
      <w:r w:rsidRPr="00C06183">
        <w:rPr>
          <w:rFonts w:ascii="Arial" w:hAnsi="Arial" w:cs="Arial"/>
          <w:sz w:val="24"/>
          <w:szCs w:val="24"/>
        </w:rPr>
        <w:fldChar w:fldCharType="begin" w:fldLock="1"/>
      </w:r>
      <w:r w:rsidR="00D246D9">
        <w:rPr>
          <w:rFonts w:ascii="Arial" w:hAnsi="Arial" w:cs="Arial"/>
          <w:sz w:val="24"/>
          <w:szCs w:val="24"/>
        </w:rPr>
        <w:instrText>ADDIN CSL_CITATION {"citationItems":[{"id":"ITEM-1","itemData":{"DOI":"10.3322/caac.21660","ISSN":"0007-9235","PMID":"33538338","abstract":"This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w:instrText>
      </w:r>
      <w:r w:rsidR="00D246D9">
        <w:rPr>
          <w:rFonts w:ascii="Cambria Math" w:hAnsi="Cambria Math" w:cs="Cambria Math"/>
          <w:sz w:val="24"/>
          <w:szCs w:val="24"/>
        </w:rPr>
        <w:instrText>‐</w:instrText>
      </w:r>
      <w:r w:rsidR="00D246D9">
        <w:rPr>
          <w:rFonts w:ascii="Arial" w:hAnsi="Arial" w:cs="Arial"/>
          <w:sz w:val="24"/>
          <w:szCs w:val="24"/>
        </w:rPr>
        <w:instrText>fold to 3</w:instrText>
      </w:r>
      <w:r w:rsidR="00D246D9">
        <w:rPr>
          <w:rFonts w:ascii="Cambria Math" w:hAnsi="Cambria Math" w:cs="Cambria Math"/>
          <w:sz w:val="24"/>
          <w:szCs w:val="24"/>
        </w:rPr>
        <w:instrText>‐</w:instrText>
      </w:r>
      <w:r w:rsidR="00D246D9">
        <w:rPr>
          <w:rFonts w:ascii="Arial" w:hAnsi="Arial" w:cs="Arial"/>
          <w:sz w:val="24"/>
          <w:szCs w:val="24"/>
        </w:rPr>
        <w:instrText>fold higher in transitioned versus transitioning countries for both sexes, whereas mortality varied &lt;2</w:instrText>
      </w:r>
      <w:r w:rsidR="00D246D9">
        <w:rPr>
          <w:rFonts w:ascii="Cambria Math" w:hAnsi="Cambria Math" w:cs="Cambria Math"/>
          <w:sz w:val="24"/>
          <w:szCs w:val="24"/>
        </w:rPr>
        <w:instrText>‐</w:instrText>
      </w:r>
      <w:r w:rsidR="00D246D9">
        <w:rPr>
          <w:rFonts w:ascii="Arial" w:hAnsi="Arial" w:cs="Arial"/>
          <w:sz w:val="24"/>
          <w:szCs w:val="24"/>
        </w:rPr>
        <w:instrText>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author":[{"dropping-particle":"","family":"Sung","given":"Hyuna","non-dropping-particle":"","parse-names":false,"suffix":""},{"dropping-particle":"","family":"Ferlay","given":"Jacques","non-dropping-particle":"","parse-names":false,"suffix":""},{"dropping-particle":"","family":"Siegel","given":"Rebecca L.","non-dropping-particle":"","parse-names":false,"suffix":""},{"dropping-particle":"","family":"Laversanne","given":"Mathieu","non-dropping-particle":"","parse-names":false,"suffix":""},{"dropping-particle":"","family":"Soerjomataram","given":"Isabelle","non-dropping-particle":"","parse-names":false,"suffix":""},{"dropping-particle":"","family":"Jemal","given":"Ahmedin","non-dropping-particle":"","parse-names":false,"suffix":""},{"dropping-particle":"","family":"Bray","given":"Freddie","non-dropping-particle":"","parse-names":false,"suffix":""}],"container-title":"CA: A Cancer Journal for Clinicians","id":"ITEM-1","issue":"3","issued":{"date-parts":[["2021"]]},"page":"209-249","title":"Global Cancer Statistics 2020: GLOBOCAN Estimates of Incidence and Mortality Worldwide for 36 Cancers in 185 Countries","type":"article-journal","volume":"71"},"uris":["http://www.mendeley.com/documents/?uuid=c9b40b7c-f3ae-4ab5-87b3-84f3fee4390e"]}],"mendeley":{"formattedCitation":"&lt;sup&gt;1&lt;/sup&gt;","plainTextFormattedCitation":"1","previouslyFormattedCitation":"&lt;sup&gt;1&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w:t>
      </w:r>
      <w:r w:rsidRPr="00C06183">
        <w:rPr>
          <w:rFonts w:ascii="Arial" w:hAnsi="Arial" w:cs="Arial"/>
          <w:sz w:val="24"/>
          <w:szCs w:val="24"/>
        </w:rPr>
        <w:fldChar w:fldCharType="end"/>
      </w:r>
      <w:r w:rsidRPr="00C06183">
        <w:rPr>
          <w:rFonts w:ascii="Arial" w:hAnsi="Arial" w:cs="Arial"/>
          <w:sz w:val="24"/>
          <w:szCs w:val="24"/>
        </w:rPr>
        <w:t xml:space="preserve"> As a result, there is a need for safe and effective treatments. The four cancer treatment strategies that are commonly used in the clinic are: (</w:t>
      </w:r>
      <w:proofErr w:type="spellStart"/>
      <w:r w:rsidRPr="00C06183">
        <w:rPr>
          <w:rFonts w:ascii="Arial" w:hAnsi="Arial" w:cs="Arial"/>
          <w:sz w:val="24"/>
          <w:szCs w:val="24"/>
        </w:rPr>
        <w:t>i</w:t>
      </w:r>
      <w:proofErr w:type="spellEnd"/>
      <w:r w:rsidRPr="00C06183">
        <w:rPr>
          <w:rFonts w:ascii="Arial" w:hAnsi="Arial" w:cs="Arial"/>
          <w:sz w:val="24"/>
          <w:szCs w:val="24"/>
        </w:rPr>
        <w:t>) cytoreductive surgery; (ii) radiation therapy; (iii) chemotherapy; and (iv) immunotherapy</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{"citationItems":[{"id":"ITEM-1","itemData":{"DOI":"10.18632/oncotarget.18409","ISSN":"19492553","abstract":"Effective radiotherapy for cancer has relied on the promise of maximally eradicating tumor cells while minimally killing normal cells. Technological advancement has provided state-of-the-art instrumentation that enables delivery of radiotherapy with great precision to tumor lesions with substantial reduced injury to normal tissues. Moreover, better understanding of radiobiology, particularly the mechanisms of radiation sensitivity and resistance in tumor lesions and toxicity in normal tissues, has improved the treatment efficacy of radiotherapy. Previous mechanism-based studies have identified many cellular targets that can affect radiation sensitivity, notably reactive oxygen species, DNA-damaging response signals, and tumor microenvironments. Several radiation sensitizers and protectors have been developed and clinically evaluated; however, many of these results are inconclusive, indicating that improvement remains needed. In this era of personalized medicine in which patients' genetic variations, transcriptome and proteomics, tumor metabolism and microenvironment, and tumor immunity are available. These new developments have provided opportunity for new target discovery. Several radiotherapy sensitivity-associated \"gene signatures\" have been reported although clinical validations are needed. Recently, several immune modifiers have been shown to associate with improved radiotherapy in preclinical models and in early clinical trials. Combination of radiotherapy and immunocheckpoint blockade has shown promising results especially in targeting metastatic tumors through abscopal response. In this article, we succinctly review recent advancements in the areas of mechanism-driven targets and exploitation of new targets from current radio-oncogenomic and radiation-immunotherapeutic approaches that bear clinical implications for improving the treatment efficacy of radiotherapy.","author":[{"dropping-particle":"","family":"Chen","given":"Helen H.W.","non-dropping-particle":"","parse-names":false,"suffix":""},{"dropping-particle":"","family":"Kuo","given":"Macus Tien","non-dropping-particle":"","parse-names":false,"suffix":""}],"container-title":"Oncotarget","id":"ITEM-1","issue":"37","issued":{"date-parts":[["2017"]]},"page":"62742-62758","title":"Improving radiotherapy in cancer treatment: Promises and challenges","type":"article-journal","volume":"8"},"uris":["http://www.mendeley.com/documents/?uuid=c3daaa92-e5bc-4f34-a230-5ddab82079c5"]}],"mendeley":{"formattedCitation":"&lt;sup&gt;2&lt;/sup&gt;","plainTextFormattedCitation":"2","previouslyFormattedCitation":"&lt;sup&gt;2&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w:t>
      </w:r>
      <w:r w:rsidRPr="00C06183">
        <w:rPr>
          <w:rFonts w:ascii="Arial" w:hAnsi="Arial" w:cs="Arial"/>
          <w:sz w:val="24"/>
          <w:szCs w:val="24"/>
        </w:rPr>
        <w:fldChar w:fldCharType="end"/>
      </w:r>
      <w:r w:rsidRPr="00C06183">
        <w:rPr>
          <w:rFonts w:ascii="Arial" w:hAnsi="Arial" w:cs="Arial"/>
          <w:sz w:val="24"/>
          <w:szCs w:val="24"/>
        </w:rPr>
        <w:t xml:space="preserve"> Nanomedicine can be applied to each of these four treatment regimens at the preclinical and clinical stages. For example, nanoparticles have been applied in imaging guided surgery</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{"citationItems":[{"id":"ITEM-1","itemData":{"DOI":"10.1039/c8sc00206a","ISSN":"20416539","abstract":"A diketopyrrolopyrrole-based semiconducting polymer nanoparticle (PDFT1032) has been developed as a NIR-II (near infrared window II, 1000-1700 nm) fluorescent probe. It shows high photostability, a favorable absorption peak at 809 nm, a large Stokes shift of 223 nm, outstanding biocompatibility and minimal in vivo toxicity. More importantly, the versatile use of PDFT1032 for several important biomedical applications in the NIR-II window has been demonstrated, including the NIR-II optical imaging of tumors on a subcutaneous osteosarcoma model, assessing the vascular embolization therapy of tumors, and NIR-II image-guided orthotopic tumor surgery and sentinel lymph node biopsy (SLNB) with high spatial and temporal resolution. Overall, excellent biocompatibility, favorable hydrophilicity, and desirable chemical and optical properties make the semiconducting polymer nanoparticle PDFT1032 a highly promising NIR-II imaging probe with the potential to be widely applicable in clinical imaging and the surgical treatment of malignancy.","author":[{"dropping-particle":"","family":"Shou","given":"Kangquan","non-dropping-particle":"","parse-names":false,"suffix":""},{"dropping-particle":"","family":"Tang","given":"Yufu","non-dropping-particle":"","parse-names":false,"suffix":""},{"dropping-particle":"","family":"Chen","given":"Hao","non-dropping-particle":"","parse-names":false,"suffix":""},{"dropping-particle":"","family":"Chen","given":"Si","non-dropping-particle":"","parse-names":false,"suffix":""},{"dropping-particle":"","family":"Zhang","given":"Lei","non-dropping-particle":"","parse-names":false,"suffix":""},{"dropping-particle":"","family":"Zhang","given":"Ao","non-dropping-particle":"","parse-names":false,"suffix":""},{"dropping-particle":"","family":"Fan","given":"Quli","non-dropping-particle":"","parse-names":false,"suffix":""},{"dropping-particle":"","family":"Yu","given":"Aixi","non-dropping-particle":"","parse-names":false,"suffix":""},{"dropping-particle":"","family":"Cheng","given":"Zhen","non-dropping-particle":"","parse-names":false,"suffix":""}],"container-title":"Chemical Science","id":"ITEM-1","issue":"12","issued":{"date-parts":[["2018"]]},"page":"3105-3110","publisher":"Royal Society of Chemistry","title":"Diketopyrrolopyrrole-based semiconducting polymer nanoparticles for in vivo second near-infrared window imaging and image-guided tumor surgery","type":"article-journal","volume":"9"},"uris":["http://www.mendeley.com/documents/?uuid=a2ed1639-1325-4167-aa65-9de8b747f8a2"]},{"id":"ITEM-2","itemData":{"DOI":"10.1126/sciadv.aax5208","ISSN":"2375-2548","PMID":"31840066","abstract":"Accurate detection and quantification of metastases in regional lymph nodes remain a vital prognostic predictor for cancer staging and clinical outcomes. As intratumoral heterogeneity poses a major hurdle to effective treatment planning, more reliable image-guided, cancer-targeted optical multiplexing tools are critically needed in the operative suite. For sentinel lymph node mapping indications, accurately interrogating distinct molecular signatures on cancer cells in vivo with differential levels of sensitivity and specificity remains largely unexplored. To address these challenges and demonstrate sensitivity to detecting micrometastases, we developed batches of spectrally distinct 6-nm near-infrared fluorescent core-shell silica nanoparticles, each batch surface-functionalized with different melanoma targeting ligands. Along with PET imaging, particles accurately detected and molecularly phenotyped cancerous nodes in a spontaneous melanoma miniswine model using image-guided multiplexing tools. Information afforded from these tools offers the potential to not only improve the accuracy of targeted disease removal and patient safety, but to transform surgical decision-making for oncological patients.","author":[{"dropping-particle":"","family":"Chen","given":"Feng","non-dropping-particle":"","parse-names":false,"suffix":""},{"dropping-particle":"","family":"Madajewski","given":"Brian","non-dropping-particle":"","parse-names":false,"suffix":""},{"dropping-particle":"","family":"Ma","given":"Kai","non-dropping-particle":"","parse-names":false,"suffix":""},{"dropping-particle":"","family":"Karassawa Zanoni","given":"Daniella","non-dropping-particle":"","parse-names":false,"suffix":""},{"dropping-particle":"","family":"Stambuk","given":"Hilda","non-dropping-particle":"","parse-names":false,"suffix":""},{"dropping-particle":"","family":"Turker","given":"Melik Z.","non-dropping-particle":"","parse-names":false,"suffix":""},{"dropping-particle":"","family":"Monette","given":"Sébastien","non-dropping-particle":"","parse-names":false,"suffix":""},{"dropping-particle":"","family":"Zhang","given":"Li","non-dropping-particle":"","parse-names":false,"suffix":""},{"dropping-particle":"","family":"Yoo","given":"Barney","non-dropping-particle":"","parse-names":false,"suffix":""},{"dropping-particle":"","family":"Chen","given":"Peiming","non-dropping-particle":"","parse-names":false,"suffix":""},{"dropping-particle":"","family":"Meester","given":"Richard J. C.","non-dropping-particle":"","parse-names":false,"suffix":""},{"dropping-particle":"de","family":"Jonge","given":"Sander","non-dropping-particle":"","parse-names":false,"suffix":""},{"dropping-particle":"","family":"Montero","given":"Pablo","non-dropping-particle":"","parse-names":false,"suffix":""},{"dropping-particle":"","family":"Phillips","given":"Evan","non-dropping-particle":"","parse-names":false,"suffix":""},{"dropping-particle":"","family":"Quinn","given":"Thomas P.","non-dropping-particle":"","parse-names":false,"suffix":""},{"dropping-particle":"","family":"Gönen","given":"Mithat","non-dropping-particle":"","parse-names":false,"suffix":""},{"dropping-particle":"","family":"Sequeira","given":"Sonia","non-dropping-particle":"","parse-names":false,"suffix":""},{"dropping-particle":"","family":"Stanchina","given":"Elisa","non-dropping-particle":"de","parse-names":false,"suffix":""},{"dropping-particle":"","family":"Zanzonico","given":"Pat","non-dropping-particle":"","parse-names":false,"suffix":""},{"dropping-particle":"","family":"Wiesner","given":"Ulrich","non-dropping-particle":"","parse-names":false,"suffix":""},{"dropping-particle":"","family":"Patel","given":"Snehal G.","non-dropping-particle":"","parse-names":false,"suffix":""},{"dropping-particle":"","family":"Bradbury","given":"Michelle S.","non-dropping-particle":"","parse-names":false,"suffix":""}],"container-title":"Science Advances","id":"ITEM-2","issue":"12","issued":{"date-parts":[["2019","12","4"]]},"page":"eaax5208","title":"Molecular phenotyping and image-guided surgical treatment of melanoma using spectrally distinct ultrasmall core-shell silica nanoparticles","type":"article-journal","volume":"5"},"uris":["http://www.mendeley.com/documents/?uuid=6858df76-3168-4fce-9d84-7a4fc8ca9bfe"]}],"mendeley":{"formattedCitation":"&lt;sup&gt;3,4&lt;/sup&gt;","plainTextFormattedCitation":"3,4","previouslyFormattedCitation":"&lt;sup&gt;3,4&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3,4</w:t>
      </w:r>
      <w:r w:rsidRPr="00C06183">
        <w:rPr>
          <w:rFonts w:ascii="Arial" w:hAnsi="Arial" w:cs="Arial"/>
          <w:sz w:val="24"/>
          <w:szCs w:val="24"/>
        </w:rPr>
        <w:fldChar w:fldCharType="end"/>
      </w:r>
      <w:r w:rsidRPr="00C06183">
        <w:rPr>
          <w:rFonts w:ascii="Arial" w:hAnsi="Arial" w:cs="Arial"/>
          <w:sz w:val="24"/>
          <w:szCs w:val="24"/>
        </w:rPr>
        <w:t xml:space="preserve"> as agents for localizing heat or radiation to tumors and overcoming radiation resistance</w:t>
      </w:r>
      <w:r w:rsidR="00D246D9">
        <w:rPr>
          <w:rFonts w:ascii="Arial" w:hAnsi="Arial" w:cs="Arial"/>
          <w:sz w:val="24"/>
          <w:szCs w:val="24"/>
        </w:rPr>
        <w:t>;</w:t>
      </w:r>
      <w:r w:rsidRPr="00C06183">
        <w:rPr>
          <w:rFonts w:ascii="Arial" w:hAnsi="Arial" w:cs="Arial"/>
          <w:sz w:val="24"/>
          <w:szCs w:val="24"/>
        </w:rPr>
        <w:t xml:space="preserve"> </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10.1016/j.ijrobp.2012.05.029","ISSN":"03603016","author":[{"dropping-particle":"","family":"Alqathami","given":"Mamdooh","non-dropping-particle":"","parse-names":false,"suffix":""},{"dropping-particle":"","family":"Blencowe","given":"Anton","non-dropping-particle":"","parse-names":false,"suffix":""},{"dropping-particle":"","family":"Yeo","given":"Un Jin","non-dropping-particle":"","parse-names":false,"suffix":""},{"dropping-particle":"","family":"Doran","given":"Simon J.","non-dropping-particle":"","parse-names":false,"suffix":""},{"dropping-particle":"","family":"Qiao","given":"Greg","non-dropping-particle":"","parse-names":false,"suffix":""},{"dropping-particle":"","family":"Geso","given":"Moshi","non-dropping-particle":"","parse-names":false,"suffix":""}],"container-title":"International Journal of Radiation Oncology*Biology*Physics","id":"ITEM-1","issue":"4","issued":{"date-parts":[["2012","11"]]},"page":"e549-e555","title":"Novel Multicompartment 3-Dimensional Radiochromic Radiation Dosimeters for Nanoparticle-Enhanced Radiation Therapy Dosimetry","type":"article-journal","volume":"84"},"uris":["http://www.mendeley.com/documents/?uuid=c7c4fa32-8e7c-4dba-b0d3-dbd80e423c84"]},{"id":"ITEM-2","itemData":{"DOI":"10.3978/j.issn.2218-676X.2013.08.06","ISSN":"22196803","abstract":"Acquired radiation resistance is one of the major causes of radio therapy failure and subsequent tumor relapse. Multiple approaches have been utilized to limit the radiation resistance while simultaneously enhancing the efficacy and safety of radiation therapy. The three major approaches for the improvement of radiation therapy have involved (I) ehancing radiosensitization of tumor tissue; (II) rversing of radiation resistance in tumor tissue; and (III) ehancing radioresistance of the healthy tissue. Nanoparticles have played a key role in the enhancement of the radiation therapy by acting both as a therapeutic as well as a carrier for other therapeutics. In this review we summarize the research being carried out using different species of nanoparticles for enhanced radiosensitization in cancer.","author":[{"dropping-particle":"","family":"Kwatra","given":"Deep","non-dropping-particle":"","parse-names":false,"suffix":""},{"dropping-particle":"","family":"Venugopal","given":"Anand","non-dropping-particle":"","parse-names":false,"suffix":""},{"dropping-particle":"","family":"Anant","given":"Shrikant","non-dropping-particle":"","parse-names":false,"suffix":""}],"container-title":"Translational Cancer Research","id":"ITEM-2","issue":"4","issued":{"date-parts":[["2013"]]},"page":"330-342","title":"Nanoparticles in radiation therapy: A summary of various approaches to enhance radiosensitization in cancer","type":"article-journal","volume":"2"},"uris":["http://www.mendeley.com/documents/?uuid=26ee3b3e-0be0-4775-9415-c4e94c842b59"]},{"id":"ITEM-3","itemData":{"DOI":"10.1021/nl072209h","ISSN":"1530-6984","abstract":"Destruction of hypoxic regions within tumors, virtually inaccessible to cancer therapies, may well prevent malignant progression. The tumor's recruitment of monocytes into these regions may be exploited for nanoparticle-based delivery. Monocytes containing therapeutic nanoparticles could serve as \"Trojan Horses\" for nanoparticle transport into these tumor regions. Here we report the demonstration of several key steps toward this therapeutic strategy: phagocytosis of Au nanoshells, and photoinduced cell death of monocytes/macrophages as isolates and within tumor spheroids. © 2007 American Chemical Society.","author":[{"dropping-particle":"","family":"Choi","given":"Mi-Ran","non-dropping-particle":"","parse-names":false,"suffix":""},{"dropping-particle":"","family":"Stanton-Maxey","given":"Katie J.","non-dropping-particle":"","parse-names":false,"suffix":""},{"dropping-particle":"","family":"Stanley","given":"Jennifer K.","non-dropping-particle":"","parse-names":false,"suffix":""},{"dropping-particle":"","family":"Levin","given":"Carly S.","non-dropping-particle":"","parse-names":false,"suffix":""},{"dropping-particle":"","family":"Bardhan","given":"Rizia","non-dropping-particle":"","parse-names":false,"suffix":""},{"dropping-particle":"","family":"Akin","given":"Demir","non-dropping-particle":"","parse-names":false,"suffix":""},{"dropping-particle":"","family":"Badve","given":"Sunil","non-dropping-particle":"","parse-names":false,"suffix":""},{"dropping-particle":"","family":"Sturgis","given":"Jennifer","non-dropping-particle":"","parse-names":false,"suffix":""},{"dropping-particle":"","family":"Robinson","given":"J. Paul","non-dropping-particle":"","parse-names":false,"suffix":""},{"dropping-particle":"","family":"Bashir","given":"Rashid","non-dropping-particle":"","parse-names":false,"suffix":""},{"dropping-particle":"","family":"Halas","given":"Naomi J.","non-dropping-particle":"","parse-names":false,"suffix":""},{"dropping-particle":"","family":"Clare","given":"Susan E.","non-dropping-particle":"","parse-names":false,"suffix":""}],"container-title":"Nano Letters","id":"ITEM-3","issue":"12","issued":{"date-parts":[["2007","12"]]},"page":"3759-3765","title":"A Cellular Trojan Horse for Delivery of Therapeutic Nanoparticles into Tumors","type":"article-journal","volume":"7"},"uris":["http://www.mendeley.com/documents/?uuid=b0eeefa3-2f4b-41df-9361-57242c25fced"]}],"mendeley":{"formattedCitation":"&lt;sup&gt;5–7&lt;/sup&gt;","plainTextFormattedCitation":"5–7","previouslyFormattedCitation":"&lt;sup&gt;5–7&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5–7</w:t>
      </w:r>
      <w:r w:rsidRPr="00C06183">
        <w:rPr>
          <w:rFonts w:ascii="Arial" w:hAnsi="Arial" w:cs="Arial"/>
          <w:sz w:val="24"/>
          <w:szCs w:val="24"/>
        </w:rPr>
        <w:fldChar w:fldCharType="end"/>
      </w:r>
      <w:r w:rsidRPr="00C06183">
        <w:rPr>
          <w:rFonts w:ascii="Arial" w:hAnsi="Arial" w:cs="Arial"/>
          <w:sz w:val="24"/>
          <w:szCs w:val="24"/>
        </w:rPr>
        <w:t xml:space="preserve"> as clinically approved chemotherapeutic drugs, such as </w:t>
      </w:r>
      <w:proofErr w:type="spellStart"/>
      <w:r w:rsidRPr="00C06183">
        <w:rPr>
          <w:rFonts w:ascii="Arial" w:hAnsi="Arial" w:cs="Arial"/>
          <w:sz w:val="24"/>
          <w:szCs w:val="24"/>
        </w:rPr>
        <w:t>Doxil</w:t>
      </w:r>
      <w:proofErr w:type="spellEnd"/>
      <w:r w:rsidRPr="00C06183">
        <w:rPr>
          <w:rFonts w:ascii="Arial" w:hAnsi="Arial" w:cs="Arial"/>
          <w:sz w:val="24"/>
          <w:szCs w:val="24"/>
          <w:vertAlign w:val="superscript"/>
        </w:rPr>
        <w:t>®</w:t>
      </w:r>
      <w:r w:rsidRPr="00C06183">
        <w:rPr>
          <w:rFonts w:ascii="Arial" w:hAnsi="Arial" w:cs="Arial"/>
          <w:sz w:val="24"/>
          <w:szCs w:val="24"/>
        </w:rPr>
        <w:t xml:space="preserve"> and Abraxane</w:t>
      </w:r>
      <w:r w:rsidRPr="00C06183">
        <w:rPr>
          <w:rFonts w:ascii="Arial" w:hAnsi="Arial" w:cs="Arial"/>
          <w:sz w:val="24"/>
          <w:szCs w:val="24"/>
          <w:vertAlign w:val="superscript"/>
        </w:rPr>
        <w:t>®</w:t>
      </w:r>
      <w:r w:rsidR="00D246D9" w:rsidRP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{"citationItems":[{"id":"ITEM-1","itemData":{"DOI":"10.1002/btm2.10143","ISSN":"2380-6761","abstract":"Nanoparticle drug delivery systems have been used in the clinic since the early 1990's. Since that time, the field of nanomedicine has evolved alongside growing technological needs to improve the delivery of various therapeutics. Over these past decades, newer generations of nanoparticles have emerged that are capable of performing additional delivery functions that can enable treatment via new therapeutic modalities. In the current clinical landscape, many of these new generation nanoparticles have reached clinical trials and have been approved for various indications. In the first issue of Bioengineering &amp; Translational Medicine in 2016, we reviewed the history, current clinical landscape, and clinical challenges of nanoparticle delivery systems. Here, we provide a 3 year update on the current clinical landscape of nanoparticle drug delivery systems and highlight newly approved nanomedicines, provide a status update on previous clinical trials, and highlight new technologies that have recently entered the clinic.","author":[{"dropping-particle":"","family":"Anselmo","given":"Aaron C.","non-dropping-particle":"","parse-names":false,"suffix":""},{"dropping-particle":"","family":"Mitragotri","given":"Samir","non-dropping-particle":"","parse-names":false,"suffix":""}],"container-title":"Bioengineering &amp; Translational Medicine","id":"ITEM-1","issue":"3","issued":{"date-parts":[["2019"]]},"page":"1-16","title":"Nanoparticles in the clinic: An update","type":"article-journal","volume":"4"},"uris":["http://www.mendeley.com/documents/?uuid=59589dd8-d43d-422a-86cb-c68c64fe3358"]}],"mendeley":{"formattedCitation":"&lt;sup&gt;8&lt;/sup&gt;","plainTextFormattedCitation":"8","previouslyFormattedCitation":"&lt;sup&gt;8&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8</w:t>
      </w:r>
      <w:r w:rsidRPr="00C06183">
        <w:rPr>
          <w:rFonts w:ascii="Arial" w:hAnsi="Arial" w:cs="Arial"/>
          <w:sz w:val="24"/>
          <w:szCs w:val="24"/>
        </w:rPr>
        <w:fldChar w:fldCharType="end"/>
      </w:r>
      <w:r w:rsidRPr="00C06183">
        <w:rPr>
          <w:rFonts w:ascii="Arial" w:hAnsi="Arial" w:cs="Arial"/>
          <w:sz w:val="24"/>
          <w:szCs w:val="24"/>
        </w:rPr>
        <w:t xml:space="preserve"> and in the development of safer and more effective immunotherapeutics</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{"citationItems":[{"id":"ITEM-1","itemData":{"DOI":"10.7150/jbm.18877","ISSN":"2207-0001","abstract":"Cancer immunotherapy is a rapidly evolving and paradigm shifting treatment modality that adds a strong tool to the collective cancer treatment arsenal. It can be effective even for late stage diagnoses and has already received clinical approval. Tumors are known to not only avoid immune surveillance but also exploit the immune system to continue local tumor growth and metastasis. Because of this, most immunotherapies, particularly those directed against solid cancers, have thus far only benefited a small minority of patients. Early clinical substantiation lends weight to the claim that cancer immunotherapies, which are adaptive and enduring treatment methods, generate much more sustained and robust anticancer effects when they are effectively formulated in nanoparticles or scaffolds than when they are administered as free drugs. Engineering cancer immunotherapies using nanomaterials is, therefore, a very promising area worthy of further consideration and investigation. This review focuses on the recent advances in cancer immunoengineering using nanoparticles for enhancing the therapeutic efficacy of a diverse range of immunotherapies. The delivery of immunostimulatory agents to antitumor immune cells, such as dendritic or antigen presenting cells, may be a far more efficient tactic to eradicate tumors than delivery of conventional chemotherapeutic and cytotoxic drugs to cancer cells. In addition to its immense therapeutic potential, immunoengineering using nanoparticles also provides a valuable tool for unearthing and understanding the basics of tumor biology. Recent research using nanoparticles for cancer immunotherapy has demonstrated the advantage of physicochemical manipulation in improving the delivery of immunostimulatory agents. In vivo studies have tested a range of particle sizes, mostly less than 300 nm, and particles with both positive and negative zeta potentials for various applications. Material composition and surface modifications have been shown to contribute significantly in selective targeting, efficient delivery and active stimulation of immune system targets. Thus, these investigations, including a wide array of nanoparticles for cancer immunotherapy, substantiate the employment of nanocarriers for efficacious cancer immunotherapies.","author":[{"dropping-particle":"","family":"Velpurisiva","given":"Praveena","non-dropping-particle":"","parse-names":false,"suffix":""},{"dropping-particle":"","family":"Gad","given":"Aniket","non-dropping-particle":"","parse-names":false,"suffix":""},{"dropping-particle":"","family":"Piel","given":"Brandon","non-dropping-particle":"","parse-names":false,"suffix":""},{"dropping-particle":"","family":"Jadia","given":"Rahul","non-dropping-particle":"","parse-names":false,"suffix":""},{"dropping-particle":"","family":"Rai","given":"Prakash","non-dropping-particle":"","parse-names":false,"suffix":""}],"container-title":"Journal of Biomedicine","id":"ITEM-1","issued":{"date-parts":[["2017"]]},"page":"64-77","title":"Nanoparticle Design Strategies for Effective Cancer Immunotherapy","type":"article-journal","volume":"2"},"uris":["http://www.mendeley.com/documents/?uuid=1f183b05-4040-4c1c-ab49-d5c6281ae7c7"]}],"mendeley":{"formattedCitation":"&lt;sup&gt;9&lt;/sup&gt;","plainTextFormattedCitation":"9","previouslyFormattedCitation":"&lt;sup&gt;9&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9</w:t>
      </w:r>
      <w:r w:rsidRPr="00C06183">
        <w:rPr>
          <w:rFonts w:ascii="Arial" w:hAnsi="Arial" w:cs="Arial"/>
          <w:sz w:val="24"/>
          <w:szCs w:val="24"/>
        </w:rPr>
        <w:fldChar w:fldCharType="end"/>
      </w:r>
      <w:r w:rsidRPr="00C06183">
        <w:rPr>
          <w:rFonts w:ascii="Arial" w:hAnsi="Arial" w:cs="Arial"/>
          <w:sz w:val="24"/>
          <w:szCs w:val="24"/>
        </w:rPr>
        <w:t xml:space="preserve"> To elicit clinical benefits, all of these strategies have a common need for efficient nanoparticle tumor delivery.</w:t>
      </w:r>
    </w:p>
    <w:p w14:paraId="31EA0463" w14:textId="5E82C731"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t>The most direct way to deliver nanoparticles into a solid tumor is by intratumoral injection</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{"citationItems":[{"id":"ITEM-1","itemData":{"DOI":"10.1208/s12249-009-9222-5","ISSN":"15309932","abstract":"In the current study, novel paclitaxel-loaded cross-linked hyaluronan nanoparticles were engineered for the local delivery of paclitaxel as a prototype drug for cancer therapy. The nanoparticles were prepared using a desolvation method with polymer cross-linking. In vitro cytotoxicity studies demonstrated that less than 75% of the MDA-MB-231 and ZR-75-1 breast cancer cells were viable after 2-day exposure to paclitaxel-loaded hyaluronan nanoparticles or free paclitaxel, regardless of the dose. These results suggest that hyaluronan nanoparticles maintain the pharmacological activity of paclitaxel and efficiently deliver it to the cells. Furthermore, in vivo administration of the drug-loaded nanoparticles via direct intratumoral injection to 7,12-dimethylbenz[a]anthracene (DMBA)-induced mammary tumor in female rats was studied. The paclitaxel-loaded nanoparticles treated group showed effective inhibition of tumor growth in all treated rats. Interestingly, there was one case of complete remission of tumor nodule and two cases of persistent reduction of tumor size that was observed on subsequent days. In the case of free paclitaxel-treated group, the mean tumor volume increased almost linearly (R2 = 0.93) with time to a size that was 4.9-fold larger than the baseline volume at 57 days post-drug administration. Intratumoral administration of paclitaxel-loaded hyaluronan nanoparticles could be a promising treatment modality for solid mammary tumors. © American Association of Pharmaceutical Scientists 2009.","author":[{"dropping-particle":"","family":"Al-Ghananeem","given":"Abeer M.","non-dropping-particle":"","parse-names":false,"suffix":""},{"dropping-particle":"","family":"Malkawi","given":"Ahmad H.","non-dropping-particle":"","parse-names":false,"suffix":""},{"dropping-particle":"","family":"Muammer","given":"Yahya M.","non-dropping-particle":"","parse-names":false,"suffix":""},{"dropping-particle":"","family":"Balko","given":"Justin M.","non-dropping-particle":"","parse-names":false,"suffix":""},{"dropping-particle":"","family":"Black","given":"Esther P.","non-dropping-particle":"","parse-names":false,"suffix":""},{"dropping-particle":"","family":"Mourad","given":"Walid","non-dropping-particle":"","parse-names":false,"suffix":""},{"dropping-particle":"","family":"Romond","given":"Edward","non-dropping-particle":"","parse-names":false,"suffix":""}],"container-title":"AAPS PharmSciTech","id":"ITEM-1","issue":"2","issued":{"date-parts":[["2009"]]},"page":"410-417","title":"Intratumoral delivery of paclitaxel in solid tumor from biodegradable hyaluronan nanoparticle formulations","type":"article-journal","volume":"10"},"uris":["http://www.mendeley.com/documents/?uuid=89feb03c-e823-47af-b796-dc69957133bc"]}],"mendeley":{"formattedCitation":"&lt;sup&gt;10&lt;/sup&gt;","plainTextFormattedCitation":"10","previouslyFormattedCitation":"&lt;sup&gt;10&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10</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While this approach may result in a large number of nanoparticles localized within the tumor, its usefulness and practicality are limited. For example, nanoparticles tend to distribute inhomogeneously throughout the tumor microenvironment upon local administration due to the relatively dense extracellular matrix that limits nanoparticle diffusion</w:t>
      </w:r>
      <w:r w:rsidR="00D246D9">
        <w:rPr>
          <w:rStyle w:val="normaltextrun"/>
          <w:rFonts w:ascii="Arial" w:hAnsi="Arial" w:cs="Arial"/>
          <w:color w:val="000000"/>
          <w:sz w:val="24"/>
          <w:szCs w:val="24"/>
          <w:bdr w:val="none" w:sz="0" w:space="0" w:color="auto" w:frame="1"/>
        </w:rPr>
        <w:t>.</w:t>
      </w:r>
      <w:r w:rsidRPr="00C06183">
        <w:rPr>
          <w:rStyle w:val="normaltextrun"/>
          <w:rFonts w:ascii="Arial" w:hAnsi="Arial" w:cs="Arial"/>
          <w:color w:val="000000"/>
          <w:sz w:val="24"/>
          <w:szCs w:val="24"/>
          <w:bdr w:val="none" w:sz="0" w:space="0" w:color="auto" w:frame="1"/>
        </w:rPr>
        <w:fldChar w:fldCharType="begin" w:fldLock="1"/>
      </w:r>
      <w:r w:rsidR="00A22975">
        <w:rPr>
          <w:rStyle w:val="normaltextrun"/>
          <w:rFonts w:ascii="Arial" w:hAnsi="Arial" w:cs="Arial"/>
          <w:color w:val="000000"/>
          <w:sz w:val="24"/>
          <w:szCs w:val="24"/>
          <w:bdr w:val="none" w:sz="0" w:space="0" w:color="auto" w:frame="1"/>
        </w:rPr>
        <w:instrText>ADDIN CSL_CITATION {"citationItems":[{"id":"ITEM-1","itemData":{"DOI":"10.1021/acs.bioconjchem.9b00448","ISSN":"15204812","abstract":"Compared to normal tissues, the tumor microenvironment (TME) has a number of aberrant characteristics including hypoxia, acidosis, and vascular abnormalities. Many researchers have sought to exploit these anomalous features of the TME to develop anticancer therapies, and several nanoparticle-based cancer therapeutics have resulted. In this Review, we discuss the composition and pathophysiology of the TME, introduce nanoparticles (NPs) used in cancer therapy, and address the interaction between the TME and NPs. Finally, we outline both the potential problems that affect TME-based nanotherapy and potential strategies to overcome these challenges.","author":[{"dropping-particle":"","family":"Huai","given":"Yanyan","non-dropping-particle":"","parse-names":false,"suffix":""},{"dropping-particle":"","family":"Hossen","given":"Md Nazir","non-dropping-particle":"","parse-names":false,"suffix":""},{"dropping-particle":"","family":"Wilhelm","given":"Stefan","non-dropping-particle":"","parse-names":false,"suffix":""},{"dropping-particle":"","family":"Bhattacharya","given":"Resham","non-dropping-particle":"","parse-names":false,"suffix":""},{"dropping-particle":"","family":"Mukherjee","given":"Priyabrata","non-dropping-particle":"","parse-names":false,"suffix":""}],"container-title":"Bioconjugate Chemistry","id":"ITEM-1","issue":"9","issued":{"date-parts":[["2019"]]},"page":"2247-2263","title":"Nanoparticle Interactions with the Tumor Microenvironment","type":"article-journal","volume":"30"},"uris":["http://www.mendeley.com/documents/?uuid=aa0be546-ee57-4965-9ff5-f6f27c792632"]}],"mendeley":{"formattedCitation":"&lt;sup&gt;11&lt;/sup&gt;","plainTextFormattedCitation":"11","previouslyFormattedCitation":"&lt;sup&gt;11&lt;/sup&gt;"},"properties":{"noteIndex":0},"schema":"https://github.com/citation-style-language/schema/raw/master/csl-citation.json"}</w:instrText>
      </w:r>
      <w:r w:rsidRPr="00C06183">
        <w:rPr>
          <w:rStyle w:val="normaltextrun"/>
          <w:rFonts w:ascii="Arial" w:hAnsi="Arial" w:cs="Arial"/>
          <w:color w:val="000000"/>
          <w:sz w:val="24"/>
          <w:szCs w:val="24"/>
          <w:bdr w:val="none" w:sz="0" w:space="0" w:color="auto" w:frame="1"/>
        </w:rPr>
        <w:fldChar w:fldCharType="separate"/>
      </w:r>
      <w:r w:rsidR="00A22975" w:rsidRPr="00A22975">
        <w:rPr>
          <w:rStyle w:val="normaltextrun"/>
          <w:rFonts w:ascii="Arial" w:hAnsi="Arial" w:cs="Arial"/>
          <w:noProof/>
          <w:color w:val="000000"/>
          <w:sz w:val="24"/>
          <w:szCs w:val="24"/>
          <w:bdr w:val="none" w:sz="0" w:space="0" w:color="auto" w:frame="1"/>
          <w:vertAlign w:val="superscript"/>
        </w:rPr>
        <w:t>11</w:t>
      </w:r>
      <w:r w:rsidRPr="00C06183">
        <w:rPr>
          <w:rStyle w:val="normaltextrun"/>
          <w:rFonts w:ascii="Arial" w:hAnsi="Arial" w:cs="Arial"/>
          <w:color w:val="000000"/>
          <w:sz w:val="24"/>
          <w:szCs w:val="24"/>
          <w:bdr w:val="none" w:sz="0" w:space="0" w:color="auto" w:frame="1"/>
        </w:rPr>
        <w:fldChar w:fldCharType="end"/>
      </w:r>
      <w:r w:rsidRPr="00C06183">
        <w:rPr>
          <w:rStyle w:val="normaltextrun"/>
          <w:rFonts w:ascii="Arial" w:hAnsi="Arial" w:cs="Arial"/>
          <w:color w:val="000000"/>
          <w:sz w:val="24"/>
          <w:szCs w:val="24"/>
          <w:bdr w:val="none" w:sz="0" w:space="0" w:color="auto" w:frame="1"/>
        </w:rPr>
        <w:t xml:space="preserve"> In addition, it may not be feasible to treat metastatic tumors with many neoplastic lesions throughout the body via local injections, meaning that systemic administration is needed</w:t>
      </w:r>
      <w:r w:rsidR="00D246D9">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{"citationItems":[{"id":"ITEM-1","itemData":{"DOI":"10.1073/pnas.1907646116","ISBN":"1907646116","ISSN":"10916490","abstract":"Metastasis of solid tumors is a key determinant of cancer patient survival. Targeting micrometastases using nanoparticles could offer a way to stop metastatic tumor growth before it causes excessive patient morbidity. However, nanoparticle delivery to micrometastases is difficult to investigate because micrometastases are small in size and lie deep within tissues. Here, we developed an imaging and image analysis workflow to analyze nanoparticle–cell interactions in metastatic tumors. This technique combines tissue clearing and 3D microscopy with machine learning-based image analysis to assess the physiology of micrometastases with single-cell resolution and quantify the delivery of nanoparticles within them. We show that nanoparticles access a higher proportion of cells in micrometastases (50% nanoparticle-positive cells) compared with primary tumors (17% nanoparticle-positive cells) because they reside close to blood vessels and require a small diffusion distance to reach all tumor cells. Furthermore, the high-throughput nature of our image analysis workflow allowed us to profile the physiology and nanoparticle delivery of 1,301 micrometastases. This enabled us to use machine learning-based modeling to predict nanoparticle delivery to individual micrometastases based on their physiology. Our imaging method allows researchers to measure nanoparticle delivery to micrometastases and highlights an opportunity to target micrometastases with nanoparticles. The development of models to predict nanoparticle delivery based on micrometastasis physiology could enable personalized treatments based on the specific physiology of a patient’s micrometastases.","author":[{"dropping-particle":"","family":"Kingston","given":"Benjamin R.","non-dropping-particle":"","parse-names":false,"suffix":""},{"dropping-particle":"","family":"Syed","given":"Abdullah Muhammad","non-dropping-particle":"","parse-names":false,"suffix":""},{"dropping-particle":"","family":"Ngai","given":"Jessica","non-dropping-particle":"","parse-names":false,"suffix":""},{"dropping-particle":"","family":"Sindhwani","given":"Shrey","non-dropping-particle":"","parse-names":false,"suffix":""},{"dropping-particle":"","family":"Chan","given":"Warren C.W.","non-dropping-particle":"","parse-names":false,"suffix":""}],"container-title":"Proceedings of the National Academy of Sciences of the United States of America","id":"ITEM-1","issue":"30","issued":{"date-parts":[["2019"]]},"page":"14937-14946","title":"Assessing micrometastases as a target for nanoparticles using 3D microscopy and machine learning","type":"article-journal","volume":"116"},"uris":["http://www.mendeley.com/documents/?uuid=a5039412-a8c0-4dc1-8057-7bedc15577dc"]}],"mendeley":{"formattedCitation":"&lt;sup&gt;12&lt;/sup&gt;","plainTextFormattedCitation":"12","previouslyFormattedCitation":"&lt;sup&gt;12&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12</w:t>
      </w:r>
      <w:r w:rsidRPr="00C06183">
        <w:rPr>
          <w:rFonts w:ascii="Arial" w:hAnsi="Arial" w:cs="Arial"/>
          <w:sz w:val="24"/>
          <w:szCs w:val="24"/>
        </w:rPr>
        <w:fldChar w:fldCharType="end"/>
      </w:r>
      <w:r w:rsidRPr="00C06183">
        <w:rPr>
          <w:rFonts w:ascii="Arial" w:hAnsi="Arial" w:cs="Arial"/>
          <w:sz w:val="24"/>
          <w:szCs w:val="24"/>
        </w:rPr>
        <w:t xml:space="preserve"> </w:t>
      </w:r>
    </w:p>
    <w:p w14:paraId="79B71B2F" w14:textId="29F8FD9D"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shd w:val="clear" w:color="auto" w:fill="FFFFFF"/>
        </w:rPr>
        <w:lastRenderedPageBreak/>
        <w:t xml:space="preserve">Systemically administered nanoparticles have shown promise at both preclinical and clinical stages for diagnosis and treatment of cancer, however, there are several delivery barriers that nanoparticles need to overcome </w:t>
      </w:r>
      <w:proofErr w:type="spellStart"/>
      <w:r w:rsidRPr="00C06183">
        <w:rPr>
          <w:rStyle w:val="normaltextrun"/>
          <w:rFonts w:ascii="Arial" w:hAnsi="Arial" w:cs="Arial"/>
          <w:i/>
          <w:iCs/>
          <w:color w:val="000000"/>
          <w:sz w:val="24"/>
          <w:szCs w:val="24"/>
          <w:shd w:val="clear" w:color="auto" w:fill="FFFFFF"/>
        </w:rPr>
        <w:t>en</w:t>
      </w:r>
      <w:proofErr w:type="spellEnd"/>
      <w:r w:rsidRPr="00C06183">
        <w:rPr>
          <w:rStyle w:val="normaltextrun"/>
          <w:rFonts w:ascii="Arial" w:hAnsi="Arial" w:cs="Arial"/>
          <w:i/>
          <w:iCs/>
          <w:color w:val="000000"/>
          <w:sz w:val="24"/>
          <w:szCs w:val="24"/>
          <w:shd w:val="clear" w:color="auto" w:fill="FFFFFF"/>
        </w:rPr>
        <w:t xml:space="preserve"> route</w:t>
      </w:r>
      <w:r w:rsidRPr="00C06183">
        <w:rPr>
          <w:rStyle w:val="normaltextrun"/>
          <w:rFonts w:ascii="Arial" w:hAnsi="Arial" w:cs="Arial"/>
          <w:color w:val="000000"/>
          <w:sz w:val="24"/>
          <w:szCs w:val="24"/>
          <w:shd w:val="clear" w:color="auto" w:fill="FFFFFF"/>
        </w:rPr>
        <w:t xml:space="preserve"> to solid tumors. Each barrier is tied to the distinct phase of the nanoparticle’s journey to reach its destination, outlined in the so-called CAPIR cascade. This 5-step cascade describes nanoparticles during: (</w:t>
      </w:r>
      <w:proofErr w:type="spellStart"/>
      <w:r w:rsidRPr="00C06183">
        <w:rPr>
          <w:rStyle w:val="normaltextrun"/>
          <w:rFonts w:ascii="Arial" w:hAnsi="Arial" w:cs="Arial"/>
          <w:color w:val="000000"/>
          <w:sz w:val="24"/>
          <w:szCs w:val="24"/>
          <w:shd w:val="clear" w:color="auto" w:fill="FFFFFF"/>
        </w:rPr>
        <w:t>i</w:t>
      </w:r>
      <w:proofErr w:type="spellEnd"/>
      <w:r w:rsidRPr="00C06183">
        <w:rPr>
          <w:rStyle w:val="normaltextrun"/>
          <w:rFonts w:ascii="Arial" w:hAnsi="Arial" w:cs="Arial"/>
          <w:color w:val="000000"/>
          <w:sz w:val="24"/>
          <w:szCs w:val="24"/>
          <w:shd w:val="clear" w:color="auto" w:fill="FFFFFF"/>
        </w:rPr>
        <w:t xml:space="preserve">) </w:t>
      </w:r>
      <w:r w:rsidRPr="00C06183">
        <w:rPr>
          <w:rStyle w:val="normaltextrun"/>
          <w:rFonts w:ascii="Arial" w:hAnsi="Arial" w:cs="Arial"/>
          <w:b/>
          <w:bCs/>
          <w:color w:val="000000"/>
          <w:sz w:val="24"/>
          <w:szCs w:val="24"/>
          <w:shd w:val="clear" w:color="auto" w:fill="FFFFFF"/>
        </w:rPr>
        <w:t>c</w:t>
      </w:r>
      <w:r w:rsidRPr="00C06183">
        <w:rPr>
          <w:rStyle w:val="normaltextrun"/>
          <w:rFonts w:ascii="Arial" w:hAnsi="Arial" w:cs="Arial"/>
          <w:color w:val="000000"/>
          <w:sz w:val="24"/>
          <w:szCs w:val="24"/>
          <w:shd w:val="clear" w:color="auto" w:fill="FFFFFF"/>
        </w:rPr>
        <w:t xml:space="preserve">irculation throughout the blood stream; (ii) </w:t>
      </w:r>
      <w:r w:rsidRPr="00C06183">
        <w:rPr>
          <w:rStyle w:val="normaltextrun"/>
          <w:rFonts w:ascii="Arial" w:hAnsi="Arial" w:cs="Arial"/>
          <w:b/>
          <w:bCs/>
          <w:color w:val="000000"/>
          <w:sz w:val="24"/>
          <w:szCs w:val="24"/>
          <w:shd w:val="clear" w:color="auto" w:fill="FFFFFF"/>
        </w:rPr>
        <w:t>a</w:t>
      </w:r>
      <w:r w:rsidRPr="00C06183">
        <w:rPr>
          <w:rStyle w:val="normaltextrun"/>
          <w:rFonts w:ascii="Arial" w:hAnsi="Arial" w:cs="Arial"/>
          <w:color w:val="000000"/>
          <w:sz w:val="24"/>
          <w:szCs w:val="24"/>
          <w:shd w:val="clear" w:color="auto" w:fill="FFFFFF"/>
        </w:rPr>
        <w:t xml:space="preserve">ccumulation in the tumor microenvironment; (iii) </w:t>
      </w:r>
      <w:r w:rsidRPr="00C06183">
        <w:rPr>
          <w:rStyle w:val="normaltextrun"/>
          <w:rFonts w:ascii="Arial" w:hAnsi="Arial" w:cs="Arial"/>
          <w:b/>
          <w:bCs/>
          <w:color w:val="000000"/>
          <w:sz w:val="24"/>
          <w:szCs w:val="24"/>
          <w:shd w:val="clear" w:color="auto" w:fill="FFFFFF"/>
        </w:rPr>
        <w:t>p</w:t>
      </w:r>
      <w:r w:rsidRPr="00C06183">
        <w:rPr>
          <w:rStyle w:val="normaltextrun"/>
          <w:rFonts w:ascii="Arial" w:hAnsi="Arial" w:cs="Arial"/>
          <w:color w:val="000000"/>
          <w:sz w:val="24"/>
          <w:szCs w:val="24"/>
          <w:shd w:val="clear" w:color="auto" w:fill="FFFFFF"/>
        </w:rPr>
        <w:t xml:space="preserve">enetration deeper through tumor tissues; (iv) </w:t>
      </w:r>
      <w:r w:rsidRPr="00C06183">
        <w:rPr>
          <w:rStyle w:val="normaltextrun"/>
          <w:rFonts w:ascii="Arial" w:hAnsi="Arial" w:cs="Arial"/>
          <w:b/>
          <w:bCs/>
          <w:color w:val="000000"/>
          <w:sz w:val="24"/>
          <w:szCs w:val="24"/>
          <w:shd w:val="clear" w:color="auto" w:fill="FFFFFF"/>
        </w:rPr>
        <w:t>i</w:t>
      </w:r>
      <w:r w:rsidRPr="00C06183">
        <w:rPr>
          <w:rStyle w:val="normaltextrun"/>
          <w:rFonts w:ascii="Arial" w:hAnsi="Arial" w:cs="Arial"/>
          <w:color w:val="000000"/>
          <w:sz w:val="24"/>
          <w:szCs w:val="24"/>
          <w:shd w:val="clear" w:color="auto" w:fill="FFFFFF"/>
        </w:rPr>
        <w:t xml:space="preserve">nternalization into tumor cells; and (v) and </w:t>
      </w:r>
      <w:r w:rsidRPr="00C06183">
        <w:rPr>
          <w:rStyle w:val="normaltextrun"/>
          <w:rFonts w:ascii="Arial" w:hAnsi="Arial" w:cs="Arial"/>
          <w:b/>
          <w:bCs/>
          <w:color w:val="000000"/>
          <w:sz w:val="24"/>
          <w:szCs w:val="24"/>
          <w:shd w:val="clear" w:color="auto" w:fill="FFFFFF"/>
        </w:rPr>
        <w:t>r</w:t>
      </w:r>
      <w:r w:rsidRPr="00C06183">
        <w:rPr>
          <w:rStyle w:val="normaltextrun"/>
          <w:rFonts w:ascii="Arial" w:hAnsi="Arial" w:cs="Arial"/>
          <w:color w:val="000000"/>
          <w:sz w:val="24"/>
          <w:szCs w:val="24"/>
          <w:shd w:val="clear" w:color="auto" w:fill="FFFFFF"/>
        </w:rPr>
        <w:t>elease of their therapeutic payloads</w:t>
      </w:r>
      <w:r w:rsidR="00D246D9">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{"citationItems":[{"id":"ITEM-1","itemData":{"DOI":"10.1016/j.addr.2017.07.021","ISSN":"18728294","abstract":"Gene therapy represents a promising cancer treatment featuring high efficacy and limited side effects, but it is stymied by a lack of safe and efficient gene-delivery vectors. Cationic polymers and lipid-based nonviral gene vectors have many advantages and have been extensively explored for cancer gene delivery, but their low gene-expression efficiencies relative to viral vectors limit their clinical translations. Great efforts have thus been devoted to developing new carrier materials and fabricating functional vectors aimed at improving gene expression, but the overall efficiencies are still more or less at the same level. This review analyzes the cancer gene-delivery cascade and the barriers, the needed nanoproperties and the current strategies for overcoming these barriers, and outlines PEGylation, surface-charge, size, and stability dilemmas in vector nanoproperties to efficiently accomplish the cancer gene-delivery cascade. Stability, surface, and size transitions (3S Transitions) are proposed to resolve those dilemmas and strategies to realize these transitions are comprehensively summarized. The review concludes with a discussion of the future research directions to design high-performance nonviral gene vectors.","author":[{"dropping-particle":"","family":"Zhou","given":"Zhuxian","non-dropping-particle":"","parse-names":false,"suffix":""},{"dropping-particle":"","family":"Liu","given":"Xiangrui","non-dropping-particle":"","parse-names":false,"suffix":""},{"dropping-particle":"","family":"Zhu","given":"Dingcheng","non-dropping-particle":"","parse-names":false,"suffix":""},{"dropping-particle":"","family":"Wang","given":"Yue","non-dropping-particle":"","parse-names":false,"suffix":""},{"dropping-particle":"","family":"Zhang","given":"Zhen","non-dropping-particle":"","parse-names":false,"suffix":""},{"dropping-particle":"","family":"Zhou","given":"Xuefei","non-dropping-particle":"","parse-names":false,"suffix":""},{"dropping-particle":"","family":"Qiu","given":"Nasha","non-dropping-particle":"","parse-names":false,"suffix":""},{"dropping-particle":"","family":"Chen","given":"Xuesi","non-dropping-particle":"","parse-names":false,"suffix":""},{"dropping-particle":"","family":"Shen","given":"Youqing","non-dropping-particle":"","parse-names":false,"suffix":""}],"container-title":"Advanced Drug Delivery Reviews","id":"ITEM-1","issued":{"date-parts":[["2017"]]},"page":"115-154","publisher":"Elsevier B.V.","title":"Nonviral cancer gene therapy: Delivery cascade and vector nanoproperty integration","type":"article-journal","volume":"115"},"uris":["http://www.mendeley.com/documents/?uuid=6678263a-0f80-4ebc-993b-8cdae8b51e45"]}],"mendeley":{"formattedCitation":"&lt;sup&gt;13&lt;/sup&gt;","plainTextFormattedCitation":"13","previouslyFormattedCitation":"&lt;sup&gt;13&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13</w:t>
      </w:r>
      <w:r w:rsidRPr="00C06183">
        <w:rPr>
          <w:rFonts w:ascii="Arial" w:hAnsi="Arial" w:cs="Arial"/>
          <w:sz w:val="24"/>
          <w:szCs w:val="24"/>
        </w:rPr>
        <w:fldChar w:fldCharType="end"/>
      </w:r>
      <w:r w:rsidRPr="00C06183">
        <w:rPr>
          <w:rFonts w:ascii="Arial" w:hAnsi="Arial" w:cs="Arial"/>
          <w:sz w:val="24"/>
          <w:szCs w:val="24"/>
        </w:rPr>
        <w:t xml:space="preserve"> </w:t>
      </w:r>
    </w:p>
    <w:p w14:paraId="009AD662" w14:textId="20D92737" w:rsidR="00A22975" w:rsidRDefault="00C06183" w:rsidP="00C06183">
      <w:pPr>
        <w:spacing w:line="480" w:lineRule="auto"/>
        <w:ind w:firstLine="720"/>
        <w:jc w:val="both"/>
        <w:rPr>
          <w:rFonts w:ascii="Arial" w:hAnsi="Arial" w:cs="Arial"/>
          <w:sz w:val="24"/>
          <w:szCs w:val="24"/>
        </w:rPr>
      </w:pPr>
      <w:r w:rsidRPr="00C06183">
        <w:rPr>
          <w:rFonts w:ascii="Arial" w:hAnsi="Arial" w:cs="Arial"/>
          <w:sz w:val="24"/>
          <w:szCs w:val="24"/>
        </w:rPr>
        <w:t>The typical nanoparticle tumor delivery efficiency has been quantified to be ~0.7% (median) of the injected nanoparticle dose</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{"citationItems":[{"id":"ITEM-1","itemData":{"DOI":"10.1038/natrevmats.2016.14","ISSN":"20588437","abstract":"Targeting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nanomedicine.","author":[{"dropping-particle":"","family":"Wilhelm","given":"Stefan","non-dropping-particle":"","parse-names":false,"suffix":""},{"dropping-particle":"","family":"Tavares","given":"Anthony J.","non-dropping-particle":"","parse-names":false,"suffix":""},{"dropping-particle":"","family":"Dai","given":"Qin","non-dropping-particle":"","parse-names":false,"suffix":""},{"dropping-particle":"","family":"Ohta","given":"Seiichi","non-dropping-particle":"","parse-names":false,"suffix":""},{"dropping-particle":"","family":"Audet","given":"Julie","non-dropping-particle":"","parse-names":false,"suffix":""},{"dropping-particle":"","family":"Dvorak","given":"Harold F.","non-dropping-particle":"","parse-names":false,"suffix":""},{"dropping-particle":"","family":"Chan","given":"Warren C.W.","non-dropping-particle":"","parse-names":false,"suffix":""}],"container-title":"Nature Reviews Materials","id":"ITEM-1","issue":"May 2018","issued":{"date-parts":[["2016"]]},"title":"Analysis of nanoparticle delivery to tumours","type":"article-journal","volume":"1"},"uris":["http://www.mendeley.com/documents/?uuid=23861e61-8fa7-4925-a7f2-17b8abdb4342"]}],"mendeley":{"formattedCitation":"&lt;sup&gt;14&lt;/sup&gt;","plainTextFormattedCitation":"14","previouslyFormattedCitation":"&lt;sup&gt;14&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14</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 xml:space="preserve">As outlined in </w:t>
      </w:r>
      <w:r w:rsidRPr="000E44BA">
        <w:rPr>
          <w:rStyle w:val="normaltextrun"/>
          <w:rFonts w:ascii="Arial" w:hAnsi="Arial" w:cs="Arial"/>
          <w:color w:val="000000"/>
          <w:sz w:val="24"/>
          <w:szCs w:val="24"/>
          <w:shd w:val="clear" w:color="auto" w:fill="FFFFFF"/>
        </w:rPr>
        <w:t>Figure 1</w:t>
      </w:r>
      <w:r w:rsidR="00A22975" w:rsidRPr="000E44BA">
        <w:rPr>
          <w:rStyle w:val="normaltextrun"/>
          <w:rFonts w:ascii="Arial" w:hAnsi="Arial" w:cs="Arial"/>
          <w:color w:val="000000"/>
          <w:sz w:val="24"/>
          <w:szCs w:val="24"/>
          <w:shd w:val="clear" w:color="auto" w:fill="FFFFFF"/>
        </w:rPr>
        <w:t>.1</w:t>
      </w:r>
      <w:r w:rsidRPr="00C06183">
        <w:rPr>
          <w:rStyle w:val="normaltextrun"/>
          <w:rFonts w:ascii="Arial" w:hAnsi="Arial" w:cs="Arial"/>
          <w:color w:val="000000"/>
          <w:sz w:val="24"/>
          <w:szCs w:val="24"/>
          <w:shd w:val="clear" w:color="auto" w:fill="FFFFFF"/>
        </w:rPr>
        <w:t>, there are several reasons for this low nanoparticle delivery efficiency. Upon injection into the blood stream, nanoparticles are subject to proteins adsorbing onto their surfaces, forming what is known as a protein corona. The protein corona changes the nanoparticle physiochemical properties from a synthetic identity to a biological identity and may affect pharmacokinetics, biodistribution, and toxicity</w:t>
      </w:r>
      <w:r w:rsidR="00D246D9">
        <w:rPr>
          <w:rStyle w:val="normaltextrun"/>
          <w:rFonts w:ascii="Arial" w:hAnsi="Arial" w:cs="Arial"/>
          <w:color w:val="000000"/>
          <w:sz w:val="24"/>
          <w:szCs w:val="24"/>
          <w:shd w:val="clear" w:color="auto" w:fill="FFFFFF"/>
        </w:rPr>
        <w:t>.</w:t>
      </w:r>
      <w:r w:rsidRPr="00C06183">
        <w:rPr>
          <w:rStyle w:val="normaltextrun"/>
          <w:rFonts w:ascii="Arial" w:hAnsi="Arial" w:cs="Arial"/>
          <w:color w:val="000000"/>
          <w:sz w:val="24"/>
          <w:szCs w:val="24"/>
          <w:shd w:val="clear" w:color="auto" w:fill="FFFFFF"/>
        </w:rPr>
        <w:fldChar w:fldCharType="begin" w:fldLock="1"/>
      </w:r>
      <w:r w:rsidR="00A22975">
        <w:rPr>
          <w:rStyle w:val="normaltextrun"/>
          <w:rFonts w:ascii="Arial" w:hAnsi="Arial" w:cs="Arial"/>
          <w:color w:val="000000"/>
          <w:sz w:val="24"/>
          <w:szCs w:val="24"/>
          <w:shd w:val="clear" w:color="auto" w:fill="FFFFFF"/>
        </w:rPr>
        <w:instrText>ADDIN CSL_CITATION {"citationItems":[{"id":"ITEM-1","itemData":{"DOI":"10.1039/c1cs15233e","ISSN":"14604744","abstract":"Nanomaterials hold promise as multifunctional diagnostic and therapeutic agents. However, the effective application of nanomaterials is hampered by limited understanding and control over their interactions with complex biological systems. When a nanomaterial enters a physiological environment, it rapidly adsorbs proteins forming what is known as the protein ‘corona’. The protein corona alters the size and interfacial composition of a nanomaterial, giving it a biological identity that is distinct from its synthetic identity. The biological identity determines the physiological response including signalling, kinetics, transport, accumulation, and toxicity. The structure and composition of the protein corona depends on the synthetic identity of the nanomaterial (size, shape, and composition), the nature of the physiological environment (blood, interstitial fluid, cell cytoplasm, etc.), and the duration of exposure. In this critical review, we discuss the formation of the protein corona, its structure and composition, and its influence on the physiological response. We also present an ‘adsorbome’ of 125 plasma proteins that are known to associate with nanomaterials. We further describe how the protein corona is related to the synthetic identity of a nanomaterial, and highlight efforts to control protein-nanomaterial interactions. We conclude by discussing gaps in the understanding of protein-nanomaterial interactions along with strategies to fill them (167 references). © The Royal Society of Chemistry 2012.","author":[{"dropping-particle":"","family":"Walkey","given":"Carl D.","non-dropping-particle":"","parse-names":false,"suffix":""},{"dropping-particle":"","family":"Chan","given":"Warren C.W.","non-dropping-particle":"","parse-names":false,"suffix":""}],"container-title":"Chemical Society Reviews","id":"ITEM-1","issue":"7","issued":{"date-parts":[["2012"]]},"page":"2780-2799","title":"Understanding and controlling the interaction of nanomaterials with proteins in a physiological environment","type":"article-journal","volume":"41"},"uris":["http://www.mendeley.com/documents/?uuid=f4483685-afdb-4754-ba93-ef9b409cf01d"]},{"id":"ITEM-2","itemData":{"DOI":"10.1021/nn406018q","ISSN":"1936086X","PMID":"24517450","abstract":"Using quantitative models to predict the biological interactions of nanoparticles will accelerate the translation of nanotechnology. Here, we characterized the serum protein corona 'fingerprint' formed around a library of 105 surface-modified gold nanoparticles. Applying a bioinformatics-inspired approach, we developed a multivariate model that uses the protein corona fingerprint to predict cell association 50% more accurately than a model that uses parameters describing nanoparticle size, aggregation state, and surface charge. Our model implicates a set of hyaluronan-binding proteins as mediators of nanoparticle-cell interactions. This study establishes a framework for developing a comprehensive database of protein corona fingerprints and biological responses for multiple nanoparticle types. Such a database can be used to develop quantitative relationships that predict the biological responses to nanoparticles and will aid in uncovering the fundamental mechanisms of nano-bio interactions. © 2014 American Chemical Society.","author":[{"dropping-particle":"","family":"Walkey","given":"Carl D","non-dropping-particle":"","parse-names":false,"suffix":""},{"dropping-particle":"","family":"Olsen","given":"Jonathan B.","non-dropping-particle":"","parse-names":false,"suffix":""},{"dropping-particle":"","family":"Song","given":"Fayi","non-dropping-particle":"","parse-names":false,"suffix":""},{"dropping-particle":"","family":"Liu","given":"Rong","non-dropping-particle":"","parse-names":false,"suffix":""},{"dropping-particle":"","family":"Guo","given":"Hongbo","non-dropping-particle":"","parse-names":false,"suffix":""},{"dropping-particle":"","family":"Olsen","given":"D Wesley H","non-dropping-particle":"","parse-names":false,"suffix":""},{"dropping-particle":"","family":"Cohen","given":"Yoram","non-dropping-particle":"","parse-names":false,"suffix":""},{"dropping-particle":"","family":"Emili","given":"Andrew","non-dropping-particle":"","parse-names":false,"suffix":""},{"dropping-particle":"","family":"Chan","given":"Warren C.W.","non-dropping-particle":"","parse-names":false,"suffix":""}],"container-title":"ACS Nano","id":"ITEM-2","issue":"3","issued":{"date-parts":[["2014","3","25"]]},"page":"2439-2455","title":"Protein corona fingerprinting predicts the cellular interaction of gold and silver nanoparticles","type":"article-journal","volume":"8"},"uris":["http://www.mendeley.com/documents/?uuid=ad473672-7e0a-4f0c-8dec-35a211e8db41"]},{"id":"ITEM-3","itemData":{"DOI":"10.1021/ja2084338","ISSN":"00027863","PMID":"22191645","abstract":"Delivery and toxicity are critical issues facing nanomedicine research. Currently, there is limited understanding and connection between the physicochemical properties of a nanomaterial and its interactions with a physiological system. As a result, it remains unclear how to optimally synthesize and chemically modify nanomaterials for in vivo applications. It has been suggested that the physicochemical properties of a nanomaterial after synthesis, known as its \"synthetic identity\", are not what a cell encounters in vivo. Adsorption of blood components and interactions with phagocytes can modify the size, aggregation state, and interfacial composition of a nanomaterial, giving it a distinct \"biological identity\". Here, we investigate the role of size and surface chemistry in mediating serum protein adsorption to gold nanoparticles and their subsequent uptake by macrophages. Using label-free liquid chromatography tandem mass spectrometry, we find that over 70 different serum proteins are heterogeneously adsorbed to the surface of gold nanoparticles. The relative density of each of these adsorbed proteins depends on nanoparticle size and poly(ethylene glycol) grafting density. Variations in serum protein adsorption correlate with differences in the mechanism and efficiency of nanoparticle uptake by a macrophage cell line. Macrophages contribute to the poor efficiency of nanomaterial delivery into diseased tissues, redistribution of nanomaterials within the body, and potential toxicity. This study establishes principles for the rational design of clinically useful nanomaterials. © 2011 American Chemical Society.","author":[{"dropping-particle":"","family":"Walkey","given":"Carl D.","non-dropping-particle":"","parse-names":false,"suffix":""},{"dropping-particle":"","family":"Olsen","given":"Jonathan B.","non-dropping-particle":"","parse-names":false,"suffix":""},{"dropping-particle":"","family":"Guo","given":"Hongbo","non-dropping-particle":"","parse-names":false,"suffix":""},{"dropping-particle":"","family":"Emili","given":"Andrew","non-dropping-particle":"","parse-names":false,"suffix":""},{"dropping-particle":"","family":"Chan","given":"Warren C.W.","non-dropping-particle":"","parse-names":false,"suffix":""}],"container-title":"Journal of the American Chemical Society","id":"ITEM-3","issue":"4","issued":{"date-parts":[["2012","2","23"]]},"page":"2139-2147","title":"Nanoparticle size and surface chemistry determine serum protein adsorption and macrophage uptake","type":"article-journal","volume":"134"},"uris":["http://www.mendeley.com/documents/?uuid=2ca23bca-7937-4992-ba78-7d3054837057"]},{"id":"ITEM-4","itemData":{"DOI":"10.1146/annurev-pharmtox-032320-110338","ISSN":"0362-1642","abstract":"Nanoparticles from natural and anthropogenic sources are abundant in the environment, thus human exposure to nanoparticles is inevitable. Due to this constant exposure, it is critically important to understand the potential acute and chronic adverse effects and toxicity that nanoparticles may cause to humans. In this review, we explore and highlight the current state of nanotoxicology research with a focus on mechanistic understanding of nanoparticle toxicity at organ, tissue, cell, and biomolecular levels. We discuss nanotoxicity mechanisms, including generation of reactive oxygen species, nanoparticle disintegration, modulation of cell signaling pathways, protein corona formation, and poly(ethylene glycol)-mediated immunogenicity. We conclude with a perspective on potential approaches to advance current understanding of nanoparticle toxicity. Such improved understanding may lead to mitigation strategies that could enable safe application of nanoparticles in humans. Advances in nanotoxicity research will ultimately inform efforts to establish standardized regulatory frameworks with the goal of fully exploiting the potential of nanotechnology while minimizing harm to humans.","author":[{"dropping-particle":"","family":"Yang","given":"Wen","non-dropping-particle":"","parse-names":false,"suffix":""},{"dropping-particle":"","family":"Wang","given":"Lin","non-dropping-particle":"","parse-names":false,"suffix":""},{"dropping-particle":"","family":"Mettenbrink","given":"Evan M.","non-dropping-particle":"","parse-names":false,"suffix":""},{"dropping-particle":"","family":"DeAngelis","given":"Paul L.","non-dropping-particle":"","parse-names":false,"suffix":""},{"dropping-particle":"","family":"Wilhelm","given":"Stefan","non-dropping-particle":"","parse-names":false,"suffix":""}],"container-title":"Annual Review of Pharmacology and Toxicology","id":"ITEM-4","issue":"1","issued":{"date-parts":[["2021","1","6"]]},"page":"annurev-pharmtox-032320-110338","title":"Nanoparticle Toxicology","type":"article-journal","volume":"61"},"uris":["http://www.mendeley.com/documents/?uuid=d57b8d78-c459-4bd1-83c2-06f9adc7028b"]}],"mendeley":{"formattedCitation":"&lt;sup&gt;15–18&lt;/sup&gt;","plainTextFormattedCitation":"15–18","previouslyFormattedCitation":"&lt;sup&gt;15–18&lt;/sup&gt;"},"properties":{"noteIndex":0},"schema":"https://github.com/citation-style-language/schema/raw/master/csl-citation.json"}</w:instrText>
      </w:r>
      <w:r w:rsidRPr="00C06183">
        <w:rPr>
          <w:rStyle w:val="normaltextrun"/>
          <w:rFonts w:ascii="Arial" w:hAnsi="Arial" w:cs="Arial"/>
          <w:color w:val="000000"/>
          <w:sz w:val="24"/>
          <w:szCs w:val="24"/>
          <w:shd w:val="clear" w:color="auto" w:fill="FFFFFF"/>
        </w:rPr>
        <w:fldChar w:fldCharType="separate"/>
      </w:r>
      <w:r w:rsidR="00A22975" w:rsidRPr="00A22975">
        <w:rPr>
          <w:rStyle w:val="normaltextrun"/>
          <w:rFonts w:ascii="Arial" w:hAnsi="Arial" w:cs="Arial"/>
          <w:noProof/>
          <w:color w:val="000000"/>
          <w:sz w:val="24"/>
          <w:szCs w:val="24"/>
          <w:shd w:val="clear" w:color="auto" w:fill="FFFFFF"/>
          <w:vertAlign w:val="superscript"/>
        </w:rPr>
        <w:t>15–18</w:t>
      </w:r>
      <w:r w:rsidRPr="00C06183">
        <w:rPr>
          <w:rStyle w:val="normaltextrun"/>
          <w:rFonts w:ascii="Arial" w:hAnsi="Arial" w:cs="Arial"/>
          <w:color w:val="000000"/>
          <w:sz w:val="24"/>
          <w:szCs w:val="24"/>
          <w:shd w:val="clear" w:color="auto" w:fill="FFFFFF"/>
        </w:rPr>
        <w:fldChar w:fldCharType="end"/>
      </w:r>
      <w:r w:rsidRPr="00C06183">
        <w:rPr>
          <w:rStyle w:val="normaltextrun"/>
          <w:rFonts w:ascii="Arial" w:hAnsi="Arial" w:cs="Arial"/>
          <w:color w:val="000000"/>
          <w:sz w:val="24"/>
          <w:szCs w:val="24"/>
          <w:shd w:val="clear" w:color="auto" w:fill="FFFFFF"/>
        </w:rPr>
        <w:t xml:space="preserve"> Among these adsorbed proteins are opsonins, which may trigger phagocytosis in macrophages and other cells to swiftly remove circulating nanoparticles from the bloodstream</w:t>
      </w:r>
      <w:r w:rsidR="00D246D9">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{"citationItems":[{"id":"ITEM-1","itemData":{"DOI":"10.2147/IJN.S129300","ISSN":"1178-2013","abstract":"© 2017 Nguyen and Lee. After administration of nanoparticle (NP) into biological fluids, an NP-protein complex is formed, which represents the “true identity” of NP in our body. Hence, protein-NP interaction should be carefully investigated to predict and control the fate of NPs or drug-loaded NPs, including systemic circulation, biodistribution, and bioavailability. In this review, we mainly focus on the formation of protein corona and its potential applications in pharmaceutical sciences such as prediction modeling based on NP-adsorbed proteins, usage of active proteins for modifying NP to achieve toxicity reduction, circulation time enhancement, and targeting effect. Validated correlative models for NP biological responses mainly based on protein corona fingerprints of NPs are more highly accurate than the models solely set up from NP properties. Based on these models, effectiveness as well as the toxicity of NPs can be predicted without in vivo tests, while novel cell receptors could be identified from prominent proteins which play important key roles in the models. The ungoverned protein adsorption onto NPs may have generally negative effects such as rapid clearance from the bloodstream, hindrance of targeting capacity, and induction of toxicity. In contrast, controlling protein adsorption by modifying NPs with diverse functional proteins or tailoring appropriate NPs which favor selective endogenous peptides and proteins will bring promising therapeutic benefits in drug delivery and targeted cancer treatment.","author":[{"dropping-particle":"","family":"Nguyen","given":"Van Hong","non-dropping-particle":"","parse-names":false,"suffix":""},{"dropping-particle":"","family":"Lee","given":"Beom-Jin","non-dropping-particle":"","parse-names":false,"suffix":""}],"container-title":"International Journal of Nanomedicine","id":"ITEM-1","issued":{"date-parts":[["2017","4","18"]]},"page":"3137-3151","publisher":"Dove Medical Press Ltd.","title":"Protein corona: a new approach for nanomedicine design","type":"article-journal","volume":"Volume 12"},"uris":["http://www.mendeley.com/documents/?uuid=98c04fd0-d14f-3b30-9207-ef85c17f1747"]},{"id":"ITEM-2","itemData":{"DOI":"10.1039/C4CC07644C","ISSN":"1359-7345","PMID":"26829150","abstract":"This review examines nanoparticle–blood interactions, their implications on solid tumour targeting, and provides an outlook to guide future nanoparticle design.","author":[{"dropping-particle":"","family":"Lazarovits","given":"James","non-dropping-particle":"","parse-names":false,"suffix":""},{"dropping-particle":"","family":"Chen","given":"Yih Yang","non-dropping-particle":"","parse-names":false,"suffix":""},{"dropping-particle":"","family":"Sykes","given":"Edward A.","non-dropping-particle":"","parse-names":false,"suffix":""},{"dropping-particle":"","family":"Chan","given":"Warren C. W.","non-dropping-particle":"","parse-names":false,"suffix":""}],"container-title":"Chemical Communications","id":"ITEM-2","issue":"14","issued":{"date-parts":[["2015"]]},"page":"2756-2767","publisher":"Royal Society of Chemistry","title":"Nanoparticle–blood interactions: the implications on solid tumour targeting","type":"article-journal","volume":"51"},"uris":["http://www.mendeley.com/documents/?uuid=2c21ed2e-ca20-4b43-9324-0c47b8cfa42c"]}],"mendeley":{"formattedCitation":"&lt;sup&gt;19,20&lt;/sup&gt;","plainTextFormattedCitation":"19,20","previouslyFormattedCitation":"&lt;sup&gt;19,20&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19,20</w:t>
      </w:r>
      <w:r w:rsidRPr="00C06183">
        <w:rPr>
          <w:rFonts w:ascii="Arial" w:hAnsi="Arial" w:cs="Arial"/>
          <w:sz w:val="24"/>
          <w:szCs w:val="24"/>
        </w:rPr>
        <w:fldChar w:fldCharType="end"/>
      </w:r>
      <w:r w:rsidRPr="00C06183">
        <w:rPr>
          <w:rFonts w:ascii="Arial" w:hAnsi="Arial" w:cs="Arial"/>
          <w:sz w:val="24"/>
          <w:szCs w:val="24"/>
        </w:rPr>
        <w:t xml:space="preserve"> Nanoparticle accumulation in off-target organs greatly reduces the amount of nanoparticles that are in circulation</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{"citationItems":[{"id":"ITEM-1","itemData":{"DOI":"10.1038/nbt.3330","ISSN":"15461696","PMID":"26348965","abstract":"Biological barriers to drug transport prevent successful accumulation of nanotherapeutics specifically at diseased sites, limiting efficacious responses in disease processes ranging from cancer to inflammation. Although substantial research efforts have aimed to incorporate multiple functionalities and moieties within the overall nanoparticle design, many of these strategies fail to adequately address these barriers. Obstacles, such as nonspecific distribution and inadequate accumulation of therapeutics, remain formidable challenges to drug developers. A reimagining of conventional nanoparticles is needed to successfully negotiate these impediments to drug delivery. Site-specific delivery of therapeutics will remain a distant reality unless nanocarrier design takes into account the majority, if not all, of the biological barriers that a particle encounters upon intravenous administration. By successively addressing each of these barriers, innovative design features can be rationally incorporated that will create a new generation of nanotherapeutics, realizing a paradigmatic shift in nanoparticle-based drug delivery.","author":[{"dropping-particle":"","family":"Blanco","given":"Elvin","non-dropping-particle":"","parse-names":false,"suffix":""},{"dropping-particle":"","family":"Shen","given":"Haifa","non-dropping-particle":"","parse-names":false,"suffix":""},{"dropping-particle":"","family":"Ferrari","given":"Mauro","non-dropping-particle":"","parse-names":false,"suffix":""}],"container-title":"Nature Biotechnology","id":"ITEM-1","issue":"9","issued":{"date-parts":[["2015"]]},"page":"941-951","title":"Principles of nanoparticle design for overcoming biological barriers to drug delivery","type":"article-journal","volume":"33"},"uris":["http://www.mendeley.com/documents/?uuid=0134014d-6434-4b4e-a152-e4957c296fe2"]}],"mendeley":{"formattedCitation":"&lt;sup&gt;21&lt;/sup&gt;","plainTextFormattedCitation":"21","previouslyFormattedCitation":"&lt;sup&gt;21&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21</w:t>
      </w:r>
      <w:r w:rsidRPr="00C06183">
        <w:rPr>
          <w:rFonts w:ascii="Arial" w:hAnsi="Arial" w:cs="Arial"/>
          <w:sz w:val="24"/>
          <w:szCs w:val="24"/>
        </w:rPr>
        <w:fldChar w:fldCharType="end"/>
      </w:r>
      <w:r w:rsidRPr="00C06183">
        <w:rPr>
          <w:rFonts w:ascii="Arial" w:hAnsi="Arial" w:cs="Arial"/>
          <w:sz w:val="24"/>
          <w:szCs w:val="24"/>
        </w:rPr>
        <w:t xml:space="preserve"> As a result, there has been much research focused on increasing the nanoparticle blood circulation time by reducing nanoparticle interactions with serum proteins and immune cells. The most common method to achieve this goal is coating nanoparticle surfaces with anti-fouling polymers, such as poly(ethylene glycol), PEG</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{"citationItems":[{"id":"ITEM-1","itemData":{"DOI":"10.1016/j.addr.2015.09.012","ISBN":"6462654600","ISSN":"0169409X","PMID":"28299348","author":[{"dropping-particle":"","family":"Suk","given":"Jung Soo","non-dropping-particle":"","parse-names":false,"suffix":""},{"dropping-particle":"","family":"Xu","given":"Qingguo","non-dropping-particle":"","parse-names":false,"suffix":""},{"dropping-particle":"","family":"Kim","given":"Namho","non-dropping-particle":"","parse-names":false,"suffix":""},{"dropping-particle":"","family":"Hanes","given":"Justin","non-dropping-particle":"","parse-names":false,"suffix":""},{"dropping-particle":"","family":"Ensign","given":"Laura M.","non-dropping-particle":"","parse-names":false,"suffix":""}],"container-title":"Advanced Drug Delivery Reviews","id":"ITEM-1","issued":{"date-parts":[["2016","4"]]},"page":"28-51","title":"PEGylation as a strategy for improving nanoparticle-based drug and gene delivery","type":"article-journal","volume":"99"},"uris":["http://www.mendeley.com/documents/?uuid=f560d0f3-8246-46e3-8eec-eea681194170"]}],"mendeley":{"formattedCitation":"&lt;sup&gt;22&lt;/sup&gt;","plainTextFormattedCitation":"22","previouslyFormattedCitation":"&lt;sup&gt;22&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22</w:t>
      </w:r>
      <w:r w:rsidRPr="00C06183">
        <w:rPr>
          <w:rFonts w:ascii="Arial" w:hAnsi="Arial" w:cs="Arial"/>
          <w:sz w:val="24"/>
          <w:szCs w:val="24"/>
        </w:rPr>
        <w:fldChar w:fldCharType="end"/>
      </w:r>
      <w:r w:rsidRPr="00C06183">
        <w:rPr>
          <w:rFonts w:ascii="Arial" w:hAnsi="Arial" w:cs="Arial"/>
          <w:sz w:val="24"/>
          <w:szCs w:val="24"/>
        </w:rPr>
        <w:t xml:space="preserve"> Recently, nanoparticle surface modification with cellular membranes, such as membranes from red blood cells, </w:t>
      </w:r>
      <w:r w:rsidRPr="00C06183">
        <w:rPr>
          <w:rFonts w:ascii="Arial" w:hAnsi="Arial" w:cs="Arial"/>
          <w:sz w:val="24"/>
          <w:szCs w:val="24"/>
        </w:rPr>
        <w:lastRenderedPageBreak/>
        <w:t>has emerged as an alternative method to camouflage nanoparticles and to increase blood circulation times</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{"citationItems":[{"id":"ITEM-1","itemData":{"DOI":"10.1073/pnas.1106634108","ISSN":"00278424","PMID":"21690347","abstract":"Efforts to extend nanoparticle residence time in vivo have inspired many strategies in particle surface modifications to bypass macrophage uptake and systemic clearance. Here we report a top-down biomimetic approach in particle functionalization by coating biodegradable polymeric nanoparticles with natural erythrocyte membranes, including both membrane lipids and associated membrane proteins for long-circulating cargo delivery. The structure, size and surface zeta potential, and protein contents of the erythrocyte membrane-coated nanoparticles were verified using transmission electron microscopy, dynamic light scattering, and gel electrophoresis, respectively. Mice injections with fluorophore-loaded nano-particles revealed superior circulation half-life by the erythrocytemimicking nanoparticles as compared to control particles coated with the state-of-the-art synthetic stealth materials. Biodistribution study revealed significant particle retention in the blood 72 h following the particle injection. The translocation of natural cellular membranes, their associated proteins, and the corresponding functionalities to the surface of synthetic particles represents a unique approach in nanoparticle functionalization.","author":[{"dropping-particle":"","family":"Hu","given":"Che Ming J.","non-dropping-particle":"","parse-names":false,"suffix":""},{"dropping-particle":"","family":"Zhang","given":"Li","non-dropping-particle":"","parse-names":false,"suffix":""},{"dropping-particle":"","family":"Aryal","given":"Santosh","non-dropping-particle":"","parse-names":false,"suffix":""},{"dropping-particle":"","family":"Cheung","given":"Connie","non-dropping-particle":"","parse-names":false,"suffix":""},{"dropping-particle":"","family":"Fang","given":"Ronnie H.","non-dropping-particle":"","parse-names":false,"suffix":""},{"dropping-particle":"","family":"Zhang","given":"Liangfang","non-dropping-particle":"","parse-names":false,"suffix":""}],"container-title":"Proceedings of the National Academy of Sciences of the United States of America","id":"ITEM-1","issue":"27","issued":{"date-parts":[["2011"]]},"page":"10980-10985","title":"Erythrocyte membrane-camouflaged polymeric nanoparticles as a biomimetic delivery platform","type":"article-journal","volume":"108"},"uris":["http://www.mendeley.com/documents/?uuid=6f1e4e68-3256-44d1-b147-643ebe6dbcee"]}],"mendeley":{"formattedCitation":"&lt;sup&gt;23&lt;/sup&gt;","plainTextFormattedCitation":"23","previouslyFormattedCitation":"&lt;sup&gt;23&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23</w:t>
      </w:r>
      <w:r w:rsidRPr="00C06183">
        <w:rPr>
          <w:rFonts w:ascii="Arial" w:hAnsi="Arial" w:cs="Arial"/>
          <w:sz w:val="24"/>
          <w:szCs w:val="24"/>
        </w:rPr>
        <w:fldChar w:fldCharType="end"/>
      </w:r>
      <w:r w:rsidRPr="00C06183">
        <w:rPr>
          <w:rFonts w:ascii="Arial" w:hAnsi="Arial" w:cs="Arial"/>
          <w:sz w:val="24"/>
          <w:szCs w:val="24"/>
        </w:rPr>
        <w:t xml:space="preserve"> In addition, Chan et al. have shown that there is a nanoparticle dose threshold for clearance from circulation. By administering doses of nanoparticles above the threshold (&gt; 1 trillion nanoparticles in mice), the nanoparticle uptake rates of liver phagocytes, such as Kupffer cells, can be overwhelmed to reduce liver clearance. This strategy has been reported to result in nanoparticle tumor delivery efficiencies of up to 12% of the injected dose, with nanoparticles being found within 93% of tumor cells</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{"citationItems":[{"id":"ITEM-1","itemData":{"DOI":"10.1038/s41563-020-0755-z","ISSN":"1476-1122","abstract":"Nanoparticle delivery to solid tumours over the past ten years has stagnated at a median of 0.7% of the injected dose. Varying nanoparticle designs and strategies have yielded only minor improvements. Here we discovered a dose threshold for improving nanoparticle tumour delivery: 1 trillion nanoparticles in mice. Doses above this threshold overwhelmed Kupffer cell uptake rates, nonlinearly decreased liver clearance, prolonged circulation and increased nanoparticle tumour delivery. This enabled up to 12% tumour delivery efficiency and delivery to 93% of cells in tumours, and also improved the therapeutic efficacy of Caelyx/Doxil. This threshold was robust across different nanoparticle types, tumour models and studies across ten years of the literature. Our results have implications for human translation and highlight a simple, but powerful, principle for designing nanoparticle cancer treatments.","author":[{"dropping-particle":"","family":"Ouyang","given":"Ben","non-dropping-particle":"","parse-names":false,"suffix":""},{"dropping-particle":"","family":"Poon","given":"Wilson","non-dropping-particle":"","parse-names":false,"suffix":""},{"dropping-particle":"","family":"Zhang","given":"Yi-Nan","non-dropping-particle":"","parse-names":false,"suffix":""},{"dropping-particle":"","family":"Lin","given":"Zachary P.","non-dropping-particle":"","parse-names":false,"suffix":""},{"dropping-particle":"","family":"Kingston","given":"Benjamin R.","non-dropping-particle":"","parse-names":false,"suffix":""},{"dropping-particle":"","family":"Tavares","given":"Anthony J.","non-dropping-particle":"","parse-names":false,"suffix":""},{"dropping-particle":"","family":"Zhang","given":"Yuwei","non-dropping-particle":"","parse-names":false,"suffix":""},{"dropping-particle":"","family":"Chen","given":"Juan","non-dropping-particle":"","parse-names":false,"suffix":""},{"dropping-particle":"","family":"Valic","given":"Michael S.","non-dropping-particle":"","parse-names":false,"suffix":""},{"dropping-particle":"","family":"Syed","given":"Abdullah M.","non-dropping-particle":"","parse-names":false,"suffix":""},{"dropping-particle":"","family":"MacMillan","given":"Presley","non-dropping-particle":"","parse-names":false,"suffix":""},{"dropping-particle":"","family":"Couture-Senécal","given":"Julien","non-dropping-particle":"","parse-names":false,"suffix":""},{"dropping-particle":"","family":"Zheng","given":"Gang","non-dropping-particle":"","parse-names":false,"suffix":""},{"dropping-particle":"","family":"Chan","given":"Warren C. W.","non-dropping-particle":"","parse-names":false,"suffix":""}],"container-title":"Nature Materials","id":"ITEM-1","issued":{"date-parts":[["2020","8","10"]]},"title":"The dose threshold for nanoparticle tumour delivery","type":"article-journal"},"uris":["http://www.mendeley.com/documents/?uuid=7d6b552f-f8b5-46dd-b7de-5cd6de6a7c1d"]}],"mendeley":{"formattedCitation":"&lt;sup&gt;24&lt;/sup&gt;","plainTextFormattedCitation":"24","previouslyFormattedCitation":"&lt;sup&gt;24&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24</w:t>
      </w:r>
      <w:r w:rsidRPr="00C06183">
        <w:rPr>
          <w:rFonts w:ascii="Arial" w:hAnsi="Arial" w:cs="Arial"/>
          <w:sz w:val="24"/>
          <w:szCs w:val="24"/>
        </w:rPr>
        <w:fldChar w:fldCharType="end"/>
      </w:r>
      <w:r w:rsidRPr="00C06183">
        <w:rPr>
          <w:rFonts w:ascii="Arial" w:hAnsi="Arial" w:cs="Arial"/>
          <w:sz w:val="24"/>
          <w:szCs w:val="24"/>
        </w:rPr>
        <w:t xml:space="preserve"> </w:t>
      </w:r>
    </w:p>
    <w:p w14:paraId="78F23CF1" w14:textId="77777777" w:rsidR="00A22975" w:rsidRDefault="00A22975">
      <w:pPr>
        <w:rPr>
          <w:rFonts w:ascii="Arial" w:hAnsi="Arial" w:cs="Arial"/>
          <w:sz w:val="24"/>
          <w:szCs w:val="24"/>
        </w:rPr>
      </w:pPr>
      <w:r>
        <w:rPr>
          <w:rFonts w:ascii="Arial" w:hAnsi="Arial" w:cs="Arial"/>
          <w:sz w:val="24"/>
          <w:szCs w:val="24"/>
        </w:rPr>
        <w:br w:type="page"/>
      </w:r>
    </w:p>
    <w:p w14:paraId="7AD7D1DA" w14:textId="69FA3BD9" w:rsidR="00C06183" w:rsidRDefault="00CA4B64" w:rsidP="00C06183">
      <w:pPr>
        <w:spacing w:line="480" w:lineRule="auto"/>
        <w:ind w:firstLine="720"/>
        <w:jc w:val="both"/>
        <w:rPr>
          <w:rFonts w:ascii="Arial" w:hAnsi="Arial" w:cs="Arial"/>
          <w:sz w:val="24"/>
          <w:szCs w:val="24"/>
        </w:rPr>
      </w:pPr>
      <w:r>
        <w:rPr>
          <w:noProof/>
        </w:rPr>
        <w:lastRenderedPageBreak/>
        <w:drawing>
          <wp:anchor distT="0" distB="0" distL="114300" distR="114300" simplePos="0" relativeHeight="251658242" behindDoc="0" locked="0" layoutInCell="1" allowOverlap="1" wp14:anchorId="484A05E1" wp14:editId="16250A9E">
            <wp:simplePos x="0" y="0"/>
            <wp:positionH relativeFrom="column">
              <wp:posOffset>-42530</wp:posOffset>
            </wp:positionH>
            <wp:positionV relativeFrom="paragraph">
              <wp:posOffset>446567</wp:posOffset>
            </wp:positionV>
            <wp:extent cx="5943600" cy="4406900"/>
            <wp:effectExtent l="0" t="0" r="0" b="0"/>
            <wp:wrapSquare wrapText="bothSides"/>
            <wp:docPr id="1504574799" name="Picture 150457479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43600" cy="4406900"/>
                    </a:xfrm>
                    <a:prstGeom prst="rect">
                      <a:avLst/>
                    </a:prstGeom>
                  </pic:spPr>
                </pic:pic>
              </a:graphicData>
            </a:graphic>
            <wp14:sizeRelH relativeFrom="page">
              <wp14:pctWidth>0</wp14:pctWidth>
            </wp14:sizeRelH>
            <wp14:sizeRelV relativeFrom="page">
              <wp14:pctHeight>0</wp14:pctHeight>
            </wp14:sizeRelV>
          </wp:anchor>
        </w:drawing>
      </w:r>
    </w:p>
    <w:p w14:paraId="598FF902" w14:textId="583AFC9F" w:rsidR="00A22975" w:rsidRPr="00C06183" w:rsidRDefault="00A22975" w:rsidP="00CA4B64">
      <w:pPr>
        <w:spacing w:line="480" w:lineRule="auto"/>
        <w:ind w:firstLine="720"/>
        <w:rPr>
          <w:rFonts w:ascii="Arial" w:hAnsi="Arial" w:cs="Arial"/>
          <w:sz w:val="24"/>
          <w:szCs w:val="24"/>
        </w:rPr>
      </w:pPr>
    </w:p>
    <w:p w14:paraId="53C725B9" w14:textId="017B2AA8" w:rsidR="00A22975" w:rsidRDefault="00A22975" w:rsidP="00CA4B64">
      <w:pPr>
        <w:jc w:val="both"/>
        <w:rPr>
          <w:rStyle w:val="normaltextrun"/>
          <w:rFonts w:ascii="Arial" w:hAnsi="Arial" w:cs="Arial"/>
          <w:color w:val="000000"/>
          <w:sz w:val="24"/>
          <w:szCs w:val="24"/>
          <w:bdr w:val="none" w:sz="0" w:space="0" w:color="auto" w:frame="1"/>
        </w:rPr>
      </w:pPr>
      <w:r w:rsidRPr="00A22975">
        <w:rPr>
          <w:rStyle w:val="normaltextrun"/>
          <w:rFonts w:ascii="Arial" w:hAnsi="Arial" w:cs="Arial"/>
          <w:b/>
          <w:bCs/>
          <w:color w:val="000000"/>
          <w:sz w:val="24"/>
          <w:szCs w:val="24"/>
          <w:bdr w:val="none" w:sz="0" w:space="0" w:color="auto" w:frame="1"/>
        </w:rPr>
        <w:t>Figure 1.1 Barriers to nanoparticle uptake into the tumor microenvironment.</w:t>
      </w:r>
      <w:r w:rsidRPr="00A22975">
        <w:rPr>
          <w:rStyle w:val="normaltextrun"/>
          <w:rFonts w:ascii="Arial" w:hAnsi="Arial" w:cs="Arial"/>
          <w:color w:val="000000"/>
          <w:sz w:val="24"/>
          <w:szCs w:val="24"/>
          <w:bdr w:val="none" w:sz="0" w:space="0" w:color="auto" w:frame="1"/>
        </w:rPr>
        <w:t xml:space="preserve"> A) After nanoparticles are introduced to the bloodstream, various proteins adhere to their surfaces, forming what is known as the protein corona; among them are opsonins, which trigger the phagocytosis of the nanoparticles by immune cells such as free or fixed macrophages. B) Off target accumulation of nanoparticles in organs results in fewer nanoparticles reaching the tumor microenvironment. The liver and spleen are typically responsible for a majority of the nanoparticle accumulation, followed by the lungs. This accumulation is largely dependent on the size of the nanoparticle. Due to the filtration limit of kidneys being roughly 6 nm, larger nanoparticles do not greatly accumulate in kidneys, however, the kidneys have a much larger role in the accumulation of smaller nanoparticles.</w:t>
      </w:r>
      <w:r>
        <w:rPr>
          <w:rStyle w:val="normaltextrun"/>
          <w:rFonts w:ascii="Arial" w:hAnsi="Arial" w:cs="Arial"/>
          <w:color w:val="000000"/>
          <w:sz w:val="24"/>
          <w:szCs w:val="24"/>
          <w:bdr w:val="none" w:sz="0" w:space="0" w:color="auto" w:frame="1"/>
        </w:rPr>
        <w:br w:type="page"/>
      </w:r>
    </w:p>
    <w:p w14:paraId="4F1F2E44" w14:textId="00168ECA"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bdr w:val="none" w:sz="0" w:space="0" w:color="auto" w:frame="1"/>
        </w:rPr>
        <w:lastRenderedPageBreak/>
        <w:t>The next barrier for nanoparticles is the extravasation from the tumor blood vessels into the tumor microenvironment</w:t>
      </w:r>
      <w:r w:rsidR="00D246D9">
        <w:rPr>
          <w:rStyle w:val="normaltextrun"/>
          <w:rFonts w:ascii="Arial" w:hAnsi="Arial" w:cs="Arial"/>
          <w:color w:val="000000"/>
          <w:sz w:val="24"/>
          <w:szCs w:val="24"/>
          <w:bdr w:val="none" w:sz="0" w:space="0" w:color="auto" w:frame="1"/>
        </w:rPr>
        <w:t>.</w:t>
      </w:r>
      <w:r w:rsidRPr="00C06183">
        <w:rPr>
          <w:rStyle w:val="normaltextrun"/>
          <w:rFonts w:ascii="Arial" w:hAnsi="Arial" w:cs="Arial"/>
          <w:color w:val="000000"/>
          <w:sz w:val="24"/>
          <w:szCs w:val="24"/>
          <w:bdr w:val="none" w:sz="0" w:space="0" w:color="auto" w:frame="1"/>
        </w:rPr>
        <w:fldChar w:fldCharType="begin" w:fldLock="1"/>
      </w:r>
      <w:r w:rsidR="00A22975">
        <w:rPr>
          <w:rStyle w:val="normaltextrun"/>
          <w:rFonts w:ascii="Arial" w:hAnsi="Arial" w:cs="Arial"/>
          <w:color w:val="000000"/>
          <w:sz w:val="24"/>
          <w:szCs w:val="24"/>
          <w:bdr w:val="none" w:sz="0" w:space="0" w:color="auto" w:frame="1"/>
        </w:rPr>
        <w:instrText>ADDIN CSL_CITATION {"citationItems":[{"id":"ITEM-1","itemData":{"DOI":"10.1021/acs.bioconjchem.9b00448","ISSN":"15204812","abstract":"Compared to normal tissues, the tumor microenvironment (TME) has a number of aberrant characteristics including hypoxia, acidosis, and vascular abnormalities. Many researchers have sought to exploit these anomalous features of the TME to develop anticancer therapies, and several nanoparticle-based cancer therapeutics have resulted. In this Review, we discuss the composition and pathophysiology of the TME, introduce nanoparticles (NPs) used in cancer therapy, and address the interaction between the TME and NPs. Finally, we outline both the potential problems that affect TME-based nanotherapy and potential strategies to overcome these challenges.","author":[{"dropping-particle":"","family":"Huai","given":"Yanyan","non-dropping-particle":"","parse-names":false,"suffix":""},{"dropping-particle":"","family":"Hossen","given":"Md Nazir","non-dropping-particle":"","parse-names":false,"suffix":""},{"dropping-particle":"","family":"Wilhelm","given":"Stefan","non-dropping-particle":"","parse-names":false,"suffix":""},{"dropping-particle":"","family":"Bhattacharya","given":"Resham","non-dropping-particle":"","parse-names":false,"suffix":""},{"dropping-particle":"","family":"Mukherjee","given":"Priyabrata","non-dropping-particle":"","parse-names":false,"suffix":""}],"container-title":"Bioconjugate Chemistry","id":"ITEM-1","issue":"9","issued":{"date-parts":[["2019"]]},"page":"2247-2263","title":"Nanoparticle Interactions with the Tumor Microenvironment","type":"article-journal","volume":"30"},"uris":["http://www.mendeley.com/documents/?uuid=aa0be546-ee57-4965-9ff5-f6f27c792632"]},{"id":"ITEM-2","itemData":{"DOI":"10.1016/B978-0-12-816662-8.00004-7","author":[{"dropping-particle":"","family":"Narum","given":"Steven M.","non-dropping-particle":"","parse-names":false,"suffix":""},{"dropping-particle":"","family":"Le","given":"Tram","non-dropping-particle":"","parse-names":false,"suffix":""},{"dropping-particle":"","family":"Le","given":"Dao P.","non-dropping-particle":"","parse-names":false,"suffix":""},{"dropping-particle":"","family":"Lee","given":"Joanne C.","non-dropping-particle":"","parse-names":false,"suffix":""},{"dropping-particle":"","family":"Donahue","given":"Nathan D.","non-dropping-particle":"","parse-names":false,"suffix":""},{"dropping-particle":"","family":"Yang","given":"Wen","non-dropping-particle":"","parse-names":false,"suffix":""},{"dropping-particle":"","family":"Wilhelm","given":"Stefan","non-dropping-particle":"","parse-names":false,"suffix":""}],"container-title":"Nanoparticles for Biomedical Applications","id":"ITEM-2","issued":{"date-parts":[["2020"]]},"page":"37-53","publisher":"Elsevier","title":"Passive targeting in nanomedicine: fundamental concepts, body interactions, and clinical potential","type":"chapter"},"uris":["http://www.mendeley.com/documents/?uuid=ba20c28e-06ed-42e8-8f16-c30a5bbc6fc3"]}],"mendeley":{"formattedCitation":"&lt;sup&gt;11,25&lt;/sup&gt;","plainTextFormattedCitation":"11,25","previouslyFormattedCitation":"&lt;sup&gt;11,25&lt;/sup&gt;"},"properties":{"noteIndex":0},"schema":"https://github.com/citation-style-language/schema/raw/master/csl-citation.json"}</w:instrText>
      </w:r>
      <w:r w:rsidRPr="00C06183">
        <w:rPr>
          <w:rStyle w:val="normaltextrun"/>
          <w:rFonts w:ascii="Arial" w:hAnsi="Arial" w:cs="Arial"/>
          <w:color w:val="000000"/>
          <w:sz w:val="24"/>
          <w:szCs w:val="24"/>
          <w:bdr w:val="none" w:sz="0" w:space="0" w:color="auto" w:frame="1"/>
        </w:rPr>
        <w:fldChar w:fldCharType="separate"/>
      </w:r>
      <w:r w:rsidR="00A22975" w:rsidRPr="00A22975">
        <w:rPr>
          <w:rStyle w:val="normaltextrun"/>
          <w:rFonts w:ascii="Arial" w:hAnsi="Arial" w:cs="Arial"/>
          <w:noProof/>
          <w:color w:val="000000"/>
          <w:sz w:val="24"/>
          <w:szCs w:val="24"/>
          <w:bdr w:val="none" w:sz="0" w:space="0" w:color="auto" w:frame="1"/>
          <w:vertAlign w:val="superscript"/>
        </w:rPr>
        <w:t>11,25</w:t>
      </w:r>
      <w:r w:rsidRPr="00C06183">
        <w:rPr>
          <w:rStyle w:val="normaltextrun"/>
          <w:rFonts w:ascii="Arial" w:hAnsi="Arial" w:cs="Arial"/>
          <w:color w:val="000000"/>
          <w:sz w:val="24"/>
          <w:szCs w:val="24"/>
          <w:bdr w:val="none" w:sz="0" w:space="0" w:color="auto" w:frame="1"/>
        </w:rPr>
        <w:fldChar w:fldCharType="end"/>
      </w:r>
      <w:r w:rsidRPr="00C06183">
        <w:rPr>
          <w:rStyle w:val="normaltextrun"/>
          <w:rFonts w:ascii="Arial" w:hAnsi="Arial" w:cs="Arial"/>
          <w:color w:val="000000"/>
          <w:sz w:val="24"/>
          <w:szCs w:val="24"/>
          <w:bdr w:val="none" w:sz="0" w:space="0" w:color="auto" w:frame="1"/>
        </w:rPr>
        <w:t xml:space="preserve"> The longstanding paradigm of the enhanced permeability and retention (EPR) effect suggests that nanoparticles passively leak out from tumor vasculature between gaps in endothelial cells, coupled with poor lymphatic drainage of the tumor tissue</w:t>
      </w:r>
      <w:r w:rsidR="00D246D9">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10.1016/S0168-3659(99)00248-5","ISSN":"01683659","author":[{"dropping-particle":"","family":"Maeda","given":"H","non-dropping-particle":"","parse-names":false,"suffix":""},{"dropping-particle":"","family":"Wu","given":"J","non-dropping-particle":"","parse-names":false,"suffix":""},{"dropping-particle":"","family":"Sawa","given":"T","non-dropping-particle":"","parse-names":false,"suffix":""},{"dropping-particle":"","family":"Matsumura","given":"Y","non-dropping-particle":"","parse-names":false,"suffix":""},{"dropping-particle":"","family":"Hori","given":"K","non-dropping-particle":"","parse-names":false,"suffix":""}],"container-title":"Journal of Controlled Release","id":"ITEM-1","issue":"1-2","issued":{"date-parts":[["2000","3"]]},"page":"271-284","title":"Tumor vascular permeability and the EPR effect in macromolecular therapeutics: a review","type":"article-journal","volume":"65"},"uris":["http://www.mendeley.com/documents/?uuid=b583cd91-34d1-4dbd-a2ee-68f9143ea9ec"]}],"mendeley":{"formattedCitation":"&lt;sup&gt;26&lt;/sup&gt;","plainTextFormattedCitation":"26","previouslyFormattedCitation":"&lt;sup&gt;26&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26</w:t>
      </w:r>
      <w:r w:rsidRPr="00C06183">
        <w:rPr>
          <w:rFonts w:ascii="Arial" w:hAnsi="Arial" w:cs="Arial"/>
          <w:sz w:val="24"/>
          <w:szCs w:val="24"/>
        </w:rPr>
        <w:fldChar w:fldCharType="end"/>
      </w:r>
      <w:r w:rsidRPr="00C06183">
        <w:rPr>
          <w:rFonts w:ascii="Arial" w:hAnsi="Arial" w:cs="Arial"/>
          <w:sz w:val="24"/>
          <w:szCs w:val="24"/>
        </w:rPr>
        <w:t xml:space="preserve"> Nanoparticle extravasation through leaky vasculature may occur through convection and diffusion, and may be limited by the increased interstitial fluid pressure observed in solid tumors</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10.1016/j.nano.2012.07.002","ISSN":"15499634","author":[{"dropping-particle":"","family":"Torosean","given":"Sason","non-dropping-particle":"","parse-names":false,"suffix":""},{"dropping-particle":"","family":"Flynn","given":"Brendan","non-dropping-particle":"","parse-names":false,"suffix":""},{"dropping-particle":"","family":"Axelsson","given":"Johan","non-dropping-particle":"","parse-names":false,"suffix":""},{"dropping-particle":"","family":"Gunn","given":"Jason","non-dropping-particle":"","parse-names":false,"suffix":""},{"dropping-particle":"","family":"Samkoe","given":"Kimberley S","non-dropping-particle":"","parse-names":false,"suffix":""},{"dropping-particle":"","family":"Hasan","given":"Tayyaba","non-dropping-particle":"","parse-names":false,"suffix":""},{"dropping-particle":"","family":"Doyley","given":"Marvin M","non-dropping-particle":"","parse-names":false,"suffix":""},{"dropping-particle":"","family":"Pogue","given":"Brian W.","non-dropping-particle":"","parse-names":false,"suffix":""}],"container-title":"Nanomedicine: Nanotechnology, Biology and Medicine","id":"ITEM-1","issue":"2","issued":{"date-parts":[["2013","2"]]},"page":"151-158","title":"Nanoparticle uptake in tumors is mediated by the interplay of vascular and collagen density with interstitial pressure","type":"article-journal","volume":"9"},"uris":["http://www.mendeley.com/documents/?uuid=9f9f197f-a3b2-4d32-a8d5-e371e5f79cac"]},{"id":"ITEM-2","itemData":{"DOI":"10.1186/s12989-017-0199-z","ISSN":"17438977","abstract":"Extracellular matrix (ECM) is an extraordinarily complex and unique meshwork composed of structural proteins and glycosaminoglycans. The ECM provides essential physical scaffolding for the cellular constituents, as well as contributes to crucial biochemical signaling. Importantly, ECM is an indispensable part of all biological barriers and substantially modulates the interchange of the nanotechnology products through these barriers. The interactions of the ECM with nanoparticles (NPs) depend on the morphological characteristics of intercellular matrix and on the physical characteristics of the NPs and may be either deleterious or beneficial. Importantly, an altered expression of ECM molecules ultimately affects all biological processes including inflammation. This review critically discusses the specific behavior of NPs that are within the ECM domain, and passing through the biological barriers. Furthermore, regenerative and toxicological aspects of nanomaterials are debated in terms of the immune cells-NPs interactions.","author":[{"dropping-particle":"","family":"Engin","given":"Ayse Basak","non-dropping-particle":"","parse-names":false,"suffix":""},{"dropping-particle":"","family":"Nikitovic","given":"Dragana","non-dropping-particle":"","parse-names":false,"suffix":""},{"dropping-particle":"","family":"Neagu","given":"Monica","non-dropping-particle":"","parse-names":false,"suffix":""},{"dropping-particle":"","family":"Henrich-Noack","given":"Petra","non-dropping-particle":"","parse-names":false,"suffix":""},{"dropping-particle":"","family":"Docea","given":"Anca Oana","non-dropping-particle":"","parse-names":false,"suffix":""},{"dropping-particle":"","family":"Shtilman","given":"Mikhail I.","non-dropping-particle":"","parse-names":false,"suffix":""},{"dropping-particle":"","family":"Golokhvast","given":"Kirill","non-dropping-particle":"","parse-names":false,"suffix":""},{"dropping-particle":"","family":"Tsatsakis","given":"Aristidis M.","non-dropping-particle":"","parse-names":false,"suffix":""}],"container-title":"Particle and Fibre Toxicology","id":"ITEM-2","issue":"1","issued":{"date-parts":[["2017"]]},"page":"1-16","publisher":"Particle and Fibre Toxicology","title":"Mechanistic understanding of nanoparticles' interactions with extracellular matrix: The cell and immune system","type":"article-journal","volume":"14"},"uris":["http://www.mendeley.com/documents/?uuid=dadbf698-3d8d-485d-8826-063b002362b2"]}],"mendeley":{"formattedCitation":"&lt;sup&gt;27,28&lt;/sup&gt;","plainTextFormattedCitation":"27,28","previouslyFormattedCitation":"&lt;sup&gt;27,28&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27,28</w:t>
      </w:r>
      <w:r w:rsidRPr="00C06183">
        <w:rPr>
          <w:rFonts w:ascii="Arial" w:hAnsi="Arial" w:cs="Arial"/>
          <w:sz w:val="24"/>
          <w:szCs w:val="24"/>
        </w:rPr>
        <w:fldChar w:fldCharType="end"/>
      </w:r>
      <w:r w:rsidRPr="00C06183">
        <w:rPr>
          <w:rFonts w:ascii="Arial" w:hAnsi="Arial" w:cs="Arial"/>
          <w:sz w:val="24"/>
          <w:szCs w:val="24"/>
        </w:rPr>
        <w:t xml:space="preserve"> In contrast to passive nanoparticle transport across tumor blood </w:t>
      </w:r>
      <w:r w:rsidR="000F0AD7">
        <w:rPr>
          <w:rFonts w:ascii="Arial" w:hAnsi="Arial" w:cs="Arial"/>
          <w:sz w:val="24"/>
          <w:szCs w:val="24"/>
        </w:rPr>
        <w:t>vessels</w:t>
      </w:r>
      <w:r w:rsidRPr="00C06183">
        <w:rPr>
          <w:rFonts w:ascii="Arial" w:hAnsi="Arial" w:cs="Arial"/>
          <w:sz w:val="24"/>
          <w:szCs w:val="24"/>
        </w:rPr>
        <w:t xml:space="preserve"> as suggested by the EPR effect, transcytosis has been proposed as an active nanoparticle transport pathway since as early as the 1990s</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{"citationItems":[{"id":"ITEM-1","itemData":{"ISSN":"0002-9440","PMID":"8317543","abstract":"Transgenic mice bearing the HIV tat gene develop dermal lesions resembling a common malignant tumor in AIDS, Kaposi's sarcoma (KS). To evaluate the permeability characteristics of these lesions and the therapeutic potential of drug-carrying liposomes, we have studied the localization of sterically stabilized liposomes, which show long circulation time in blood and increased accumulation in tumors. Liposomes encapsulating colloidal gold were injected intravenously into transgenic mice bearing KS lesions, and tissues were processed 24 hours later for both electron microscopy and for light microscopy with silver enhancement. Liposomes and silver marker were detected predominantly in the dermis surrounding the early and mature KS lesions, which were characterized by a proliferation of fibroblast-like spindle cells and abnormal blood vessels close to the epidermis. The silver-enhanced gold marker often surrounded vascular channels and scattered erythrocytes. As determined by electron microscopy, some spindle cells and macrophages had ingested intact liposomes. Transendothelial transport of liposomes was observed both through open channels between endothelial cells and also through endothelial cells lining intact vessels. Both extravasation and transcytosis of liposomes through irregular endothelium were much higher in KS lesions than in the adjacent normal skin. The high accumulation of sterically stabilized liposomes in KS lesions and their intracellular uptake by some spindle cells enhances their potential as carriers of chemotherapeutic agents against this neoplasm.","author":[{"dropping-particle":"","family":"Huang","given":"S K","non-dropping-particle":"","parse-names":false,"suffix":""},{"dropping-particle":"","family":"Martin","given":"F J","non-dropping-particle":"","parse-names":false,"suffix":""},{"dropping-particle":"","family":"Jay","given":"G","non-dropping-particle":"","parse-names":false,"suffix":""},{"dropping-particle":"","family":"Vogel","given":"J","non-dropping-particle":"","parse-names":false,"suffix":""},{"dropping-particle":"","family":"Papahadjopoulos","given":"D","non-dropping-particle":"","parse-names":false,"suffix":""},{"dropping-particle":"","family":"Friend","given":"D S","non-dropping-particle":"","parse-names":false,"suffix":""}],"container-title":"The American journal of pathology","id":"ITEM-1","issue":"1","issued":{"date-parts":[["1993","7"]]},"page":"10-4","title":"Extravasation and transcytosis of liposomes in Kaposi's sarcoma-like dermal lesions of transgenic mice bearing the HIV tat gene.","type":"article-journal","volume":"143"},"uris":["http://www.mendeley.com/documents/?uuid=876b51e3-3958-4a9f-a028-76cc4a2d249d"]}],"mendeley":{"formattedCitation":"&lt;sup&gt;29&lt;/sup&gt;","plainTextFormattedCitation":"29","previouslyFormattedCitation":"&lt;sup&gt;29&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29</w:t>
      </w:r>
      <w:r w:rsidRPr="00C06183">
        <w:rPr>
          <w:rFonts w:ascii="Arial" w:hAnsi="Arial" w:cs="Arial"/>
          <w:sz w:val="24"/>
          <w:szCs w:val="24"/>
        </w:rPr>
        <w:fldChar w:fldCharType="end"/>
      </w:r>
      <w:r w:rsidRPr="00C06183">
        <w:rPr>
          <w:rFonts w:ascii="Arial" w:hAnsi="Arial" w:cs="Arial"/>
          <w:sz w:val="24"/>
          <w:szCs w:val="24"/>
        </w:rPr>
        <w:t xml:space="preserve"> Chan et al. reported that only 3%-25% of gold nanoparticles reach solid tumors by passive transport, depending on nanoparticle size, indicating that up to 75%-97% of nanoparticles undergo active transcytosis transport. Interestingly, these studies were done with gold nanoparticle doses higher than the dose threshold for improved tumor delivery of ~1 trillion nanoparticles in mice as reported by Chan et al. in a later study, with nanoparticle doses ranging from 2x10</w:t>
      </w:r>
      <w:r w:rsidRPr="00C06183">
        <w:rPr>
          <w:rFonts w:ascii="Arial" w:hAnsi="Arial" w:cs="Arial"/>
          <w:sz w:val="24"/>
          <w:szCs w:val="24"/>
          <w:vertAlign w:val="superscript"/>
        </w:rPr>
        <w:t>12</w:t>
      </w:r>
      <w:r w:rsidRPr="00C06183">
        <w:rPr>
          <w:rFonts w:ascii="Arial" w:hAnsi="Arial" w:cs="Arial"/>
          <w:sz w:val="24"/>
          <w:szCs w:val="24"/>
        </w:rPr>
        <w:t xml:space="preserve"> - 1x10</w:t>
      </w:r>
      <w:r w:rsidRPr="00C06183">
        <w:rPr>
          <w:rFonts w:ascii="Arial" w:hAnsi="Arial" w:cs="Arial"/>
          <w:sz w:val="24"/>
          <w:szCs w:val="24"/>
          <w:vertAlign w:val="superscript"/>
        </w:rPr>
        <w:t>14</w:t>
      </w:r>
      <w:r w:rsidRPr="00C06183">
        <w:rPr>
          <w:rFonts w:ascii="Arial" w:hAnsi="Arial" w:cs="Arial"/>
          <w:sz w:val="24"/>
          <w:szCs w:val="24"/>
        </w:rPr>
        <w:t xml:space="preserve"> nanoparticles, depending on size</w:t>
      </w:r>
      <w:r w:rsidR="00D246D9">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10.1038/s41563-019-0566-2","ISSN":"1476-1122","author":[{"dropping-particle":"","family":"Sindhwani","given":"Shrey","non-dropping-particle":"","parse-names":false,"suffix":""},{"dropping-particle":"","family":"Syed","given":"Abdullah Muhammad","non-dropping-particle":"","parse-names":false,"suffix":""},{"dropping-particle":"","family":"Ngai","given":"Jessica","non-dropping-particle":"","parse-names":false,"suffix":""},{"dropping-particle":"","family":"Kingston","given":"Benjamin R","non-dropping-particle":"","parse-names":false,"suffix":""},{"dropping-particle":"","family":"Maiorino","given":"Laura","non-dropping-particle":"","parse-names":false,"suffix":""},{"dropping-particle":"","family":"Rothschild","given":"Jeremy","non-dropping-particle":"","parse-names":false,"suffix":""},{"dropping-particle":"","family":"MacMillan","given":"Presley","non-dropping-particle":"","parse-names":false,"suffix":""},{"dropping-particle":"","family":"Zhang","given":"Yuwei","non-dropping-particle":"","parse-names":false,"suffix":""},{"dropping-particle":"","family":"Rajesh","given":"Netra Unni","non-dropping-particle":"","parse-names":false,"suffix":""},{"dropping-particle":"","family":"Hoang","given":"Tran","non-dropping-particle":"","parse-names":false,"suffix":""},{"dropping-particle":"","family":"Wu","given":"Jamie L Y","non-dropping-particle":"","parse-names":false,"suffix":""},{"dropping-particle":"","family":"Wilhelm","given":"Stefan","non-dropping-particle":"","parse-names":false,"suffix":""},{"dropping-particle":"","family":"Zilman","given":"Anton","non-dropping-particle":"","parse-names":false,"suffix":""},{"dropping-particle":"","family":"Gadde","given":"Suresh","non-dropping-particle":"","parse-names":false,"suffix":""},{"dropping-particle":"","family":"Sulaiman","given":"Andrew","non-dropping-particle":"","parse-names":false,"suffix":""},{"dropping-particle":"","family":"Ouyang","given":"Ben","non-dropping-particle":"","parse-names":false,"suffix":""},{"dropping-particle":"","family":"Lin","given":"Zachary","non-dropping-particle":"","parse-names":false,"suffix":""},{"dropping-particle":"","family":"Wang","given":"Lisheng","non-dropping-particle":"","parse-names":false,"suffix":""},{"dropping-particle":"","family":"Egeblad","given":"Mikala","non-dropping-particle":"","parse-names":false,"suffix":""},{"dropping-particle":"","family":"Chan","given":"Warren C W","non-dropping-particle":"","parse-names":false,"suffix":""}],"container-title":"Nature Materials","id":"ITEM-1","issue":"5","issued":{"date-parts":[["2020","5","13"]]},"page":"566-575","publisher":"Springer US","title":"The entry of nanoparticles into solid tumours","type":"article-journal","volume":"19"},"uris":["http://www.mendeley.com/documents/?uuid=6caf5b47-28aa-463f-96e8-0fddd5b09d36"]},{"id":"ITEM-2","itemData":{"DOI":"10.1038/s41563-020-0755-z","ISSN":"1476-1122","abstract":"Nanoparticle delivery to solid tumours over the past ten years has stagnated at a median of 0.7% of the injected dose. Varying nanoparticle designs and strategies have yielded only minor improvements. Here we discovered a dose threshold for improving nanoparticle tumour delivery: 1 trillion nanoparticles in mice. Doses above this threshold overwhelmed Kupffer cell uptake rates, nonlinearly decreased liver clearance, prolonged circulation and increased nanoparticle tumour delivery. This enabled up to 12% tumour delivery efficiency and delivery to 93% of cells in tumours, and also improved the therapeutic efficacy of Caelyx/Doxil. This threshold was robust across different nanoparticle types, tumour models and studies across ten years of the literature. Our results have implications for human translation and highlight a simple, but powerful, principle for designing nanoparticle cancer treatments.","author":[{"dropping-particle":"","family":"Ouyang","given":"Ben","non-dropping-particle":"","parse-names":false,"suffix":""},{"dropping-particle":"","family":"Poon","given":"Wilson","non-dropping-particle":"","parse-names":false,"suffix":""},{"dropping-particle":"","family":"Zhang","given":"Yi-Nan","non-dropping-particle":"","parse-names":false,"suffix":""},{"dropping-particle":"","family":"Lin","given":"Zachary P.","non-dropping-particle":"","parse-names":false,"suffix":""},{"dropping-particle":"","family":"Kingston","given":"Benjamin R.","non-dropping-particle":"","parse-names":false,"suffix":""},{"dropping-particle":"","family":"Tavares","given":"Anthony J.","non-dropping-particle":"","parse-names":false,"suffix":""},{"dropping-particle":"","family":"Zhang","given":"Yuwei","non-dropping-particle":"","parse-names":false,"suffix":""},{"dropping-particle":"","family":"Chen","given":"Juan","non-dropping-particle":"","parse-names":false,"suffix":""},{"dropping-particle":"","family":"Valic","given":"Michael S.","non-dropping-particle":"","parse-names":false,"suffix":""},{"dropping-particle":"","family":"Syed","given":"Abdullah M.","non-dropping-particle":"","parse-names":false,"suffix":""},{"dropping-particle":"","family":"MacMillan","given":"Presley","non-dropping-particle":"","parse-names":false,"suffix":""},{"dropping-particle":"","family":"Couture-Senécal","given":"Julien","non-dropping-particle":"","parse-names":false,"suffix":""},{"dropping-particle":"","family":"Zheng","given":"Gang","non-dropping-particle":"","parse-names":false,"suffix":""},{"dropping-particle":"","family":"Chan","given":"Warren C. W.","non-dropping-particle":"","parse-names":false,"suffix":""}],"container-title":"Nature Materials","id":"ITEM-2","issued":{"date-parts":[["2020","8","10"]]},"title":"The dose threshold for nanoparticle tumour delivery","type":"article-journal"},"uris":["http://www.mendeley.com/documents/?uuid=7d6b552f-f8b5-46dd-b7de-5cd6de6a7c1d"]}],"mendeley":{"formattedCitation":"&lt;sup&gt;24,30&lt;/sup&gt;","plainTextFormattedCitation":"24,30","previouslyFormattedCitation":"&lt;sup&gt;24,30&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24,30</w:t>
      </w:r>
      <w:r w:rsidRPr="00C06183">
        <w:rPr>
          <w:rFonts w:ascii="Arial" w:hAnsi="Arial" w:cs="Arial"/>
          <w:sz w:val="24"/>
          <w:szCs w:val="24"/>
        </w:rPr>
        <w:fldChar w:fldCharType="end"/>
      </w:r>
      <w:r w:rsidRPr="00C06183">
        <w:rPr>
          <w:rFonts w:ascii="Arial" w:hAnsi="Arial" w:cs="Arial"/>
          <w:sz w:val="24"/>
          <w:szCs w:val="24"/>
        </w:rPr>
        <w:t xml:space="preserve"> There may be a possibility that the nanoparticle extravasation mechanisms are affected by changes in nanoparticle dose. More research is needed to determine how nanoparticle dose may alter and affect extravasation mechanisms, pathways, and tumor delivery efficiency. </w:t>
      </w:r>
    </w:p>
    <w:p w14:paraId="7A3EB72D" w14:textId="657DB100" w:rsidR="00C06183" w:rsidRDefault="00C06183" w:rsidP="00C06183">
      <w:pPr>
        <w:spacing w:line="480" w:lineRule="auto"/>
        <w:ind w:firstLine="720"/>
        <w:jc w:val="both"/>
        <w:rPr>
          <w:rStyle w:val="normaltextrun"/>
          <w:rFonts w:ascii="Arial" w:hAnsi="Arial" w:cs="Arial"/>
          <w:color w:val="000000"/>
          <w:sz w:val="24"/>
          <w:szCs w:val="24"/>
          <w:shd w:val="clear" w:color="auto" w:fill="FFFFFF"/>
        </w:rPr>
      </w:pPr>
      <w:r w:rsidRPr="00C06183">
        <w:rPr>
          <w:rStyle w:val="normaltextrun"/>
          <w:rFonts w:ascii="Arial" w:hAnsi="Arial" w:cs="Arial"/>
          <w:color w:val="000000"/>
          <w:sz w:val="24"/>
          <w:szCs w:val="24"/>
          <w:shd w:val="clear" w:color="auto" w:fill="FFFFFF"/>
        </w:rPr>
        <w:t xml:space="preserve">In this </w:t>
      </w:r>
      <w:r w:rsidR="000F0AD7">
        <w:rPr>
          <w:rStyle w:val="normaltextrun"/>
          <w:rFonts w:ascii="Arial" w:hAnsi="Arial" w:cs="Arial"/>
          <w:color w:val="000000"/>
          <w:sz w:val="24"/>
          <w:szCs w:val="24"/>
          <w:shd w:val="clear" w:color="auto" w:fill="FFFFFF"/>
        </w:rPr>
        <w:t>chapter</w:t>
      </w:r>
      <w:r w:rsidRPr="00C06183">
        <w:rPr>
          <w:rStyle w:val="normaltextrun"/>
          <w:rFonts w:ascii="Arial" w:hAnsi="Arial" w:cs="Arial"/>
          <w:color w:val="000000"/>
          <w:sz w:val="24"/>
          <w:szCs w:val="24"/>
          <w:shd w:val="clear" w:color="auto" w:fill="FFFFFF"/>
        </w:rPr>
        <w:t xml:space="preserve">, we discuss the specific properties of the tumor microenvironment and vasculature that need be considered for effective nanoparticle transport and tumor delivery. We review the common endocytic pathways that nanoparticles may undergo for transcellular transport across tumor endothelial cells, and how these endocytic pathways </w:t>
      </w:r>
      <w:r w:rsidRPr="00C06183">
        <w:rPr>
          <w:rStyle w:val="normaltextrun"/>
          <w:rFonts w:ascii="Arial" w:hAnsi="Arial" w:cs="Arial"/>
          <w:color w:val="000000"/>
          <w:sz w:val="24"/>
          <w:szCs w:val="24"/>
          <w:shd w:val="clear" w:color="auto" w:fill="FFFFFF"/>
        </w:rPr>
        <w:lastRenderedPageBreak/>
        <w:t>may be exploited by specific nanoparticle designs for delivering nanomedicines to solid tumors.</w:t>
      </w:r>
    </w:p>
    <w:p w14:paraId="72746B4C" w14:textId="77777777" w:rsidR="00A22975" w:rsidRPr="00C06183" w:rsidRDefault="00A22975" w:rsidP="00C06183">
      <w:pPr>
        <w:spacing w:line="480" w:lineRule="auto"/>
        <w:ind w:firstLine="720"/>
        <w:jc w:val="both"/>
        <w:rPr>
          <w:rStyle w:val="normaltextrun"/>
          <w:rFonts w:ascii="Arial" w:hAnsi="Arial" w:cs="Arial"/>
          <w:color w:val="000000"/>
          <w:sz w:val="24"/>
          <w:szCs w:val="24"/>
          <w:shd w:val="clear" w:color="auto" w:fill="FFFFFF"/>
        </w:rPr>
      </w:pPr>
    </w:p>
    <w:p w14:paraId="530621CC" w14:textId="364E00D3" w:rsidR="00C06183" w:rsidRDefault="00C06183" w:rsidP="00721691">
      <w:pPr>
        <w:pStyle w:val="Heading2"/>
        <w:numPr>
          <w:ilvl w:val="1"/>
          <w:numId w:val="15"/>
        </w:numPr>
        <w:rPr>
          <w:rStyle w:val="normaltextrun"/>
          <w:rFonts w:cs="Arial"/>
          <w:bCs/>
        </w:rPr>
      </w:pPr>
      <w:bookmarkStart w:id="8" w:name="_Toc151032407"/>
      <w:r w:rsidRPr="00C06183">
        <w:rPr>
          <w:rStyle w:val="normaltextrun"/>
          <w:rFonts w:cs="Arial"/>
          <w:bCs/>
        </w:rPr>
        <w:t>The tumor microenvironment and vasculature</w:t>
      </w:r>
      <w:bookmarkEnd w:id="8"/>
    </w:p>
    <w:p w14:paraId="7DEE3401" w14:textId="77777777" w:rsidR="00721691" w:rsidRPr="00721691" w:rsidRDefault="00721691" w:rsidP="00721691">
      <w:pPr>
        <w:pStyle w:val="ListParagraph"/>
      </w:pPr>
    </w:p>
    <w:p w14:paraId="2D4B710B" w14:textId="32517584" w:rsidR="00C06183" w:rsidRDefault="00E34AB4" w:rsidP="00721691">
      <w:pPr>
        <w:pStyle w:val="Heading3"/>
        <w:rPr>
          <w:rStyle w:val="normaltextrun"/>
          <w:rFonts w:cs="Arial"/>
          <w:bCs/>
        </w:rPr>
      </w:pPr>
      <w:bookmarkStart w:id="9" w:name="_Toc151032408"/>
      <w:r>
        <w:rPr>
          <w:rStyle w:val="normaltextrun"/>
          <w:rFonts w:cs="Arial"/>
          <w:bCs/>
        </w:rPr>
        <w:t>1.</w:t>
      </w:r>
      <w:r w:rsidR="00C06183" w:rsidRPr="00C06183">
        <w:rPr>
          <w:rStyle w:val="normaltextrun"/>
          <w:rFonts w:cs="Arial"/>
          <w:bCs/>
        </w:rPr>
        <w:t xml:space="preserve">2.1 </w:t>
      </w:r>
      <w:r w:rsidR="00C06183" w:rsidRPr="00C06183">
        <w:rPr>
          <w:rStyle w:val="normaltextrun"/>
          <w:rFonts w:cs="Arial"/>
          <w:bCs/>
        </w:rPr>
        <w:tab/>
        <w:t>The tumor microenvironment</w:t>
      </w:r>
      <w:bookmarkEnd w:id="9"/>
    </w:p>
    <w:p w14:paraId="43AE7A24" w14:textId="77777777" w:rsidR="00721691" w:rsidRPr="00721691" w:rsidRDefault="00721691" w:rsidP="00721691"/>
    <w:p w14:paraId="423C75FB" w14:textId="4FBA877D" w:rsidR="00C06183" w:rsidRPr="00C06183" w:rsidRDefault="00C06183" w:rsidP="00C06183">
      <w:pPr>
        <w:pStyle w:val="paragraph"/>
        <w:spacing w:before="0" w:beforeAutospacing="0" w:after="0" w:afterAutospacing="0" w:line="480" w:lineRule="auto"/>
        <w:ind w:firstLine="720"/>
        <w:jc w:val="both"/>
        <w:textAlignment w:val="baseline"/>
        <w:rPr>
          <w:rStyle w:val="normaltextrun"/>
          <w:rFonts w:ascii="Arial" w:hAnsi="Arial" w:cs="Arial"/>
          <w:color w:val="000000"/>
          <w:shd w:val="clear" w:color="auto" w:fill="FFFFFF"/>
        </w:rPr>
      </w:pPr>
      <w:r w:rsidRPr="00C06183">
        <w:rPr>
          <w:rStyle w:val="normaltextrun"/>
          <w:rFonts w:ascii="Arial" w:hAnsi="Arial" w:cs="Arial"/>
          <w:color w:val="000000"/>
          <w:shd w:val="clear" w:color="auto" w:fill="FFFFFF"/>
        </w:rPr>
        <w:t>Solid tumors are generally composed of malignant parenchyma, and the surrounding benign tumor stroma</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{"citationItems":[{"id":"ITEM-1","itemData":{"DOI":"10.1038/natrevmats.2016.14","ISSN":"20588437","abstract":"Targeting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nanomedicine.","author":[{"dropping-particle":"","family":"Wilhelm","given":"Stefan","non-dropping-particle":"","parse-names":false,"suffix":""},{"dropping-particle":"","family":"Tavares","given":"Anthony J.","non-dropping-particle":"","parse-names":false,"suffix":""},{"dropping-particle":"","family":"Dai","given":"Qin","non-dropping-particle":"","parse-names":false,"suffix":""},{"dropping-particle":"","family":"Ohta","given":"Seiichi","non-dropping-particle":"","parse-names":false,"suffix":""},{"dropping-particle":"","family":"Audet","given":"Julie","non-dropping-particle":"","parse-names":false,"suffix":""},{"dropping-particle":"","family":"Dvorak","given":"Harold F.","non-dropping-particle":"","parse-names":false,"suffix":""},{"dropping-particle":"","family":"Chan","given":"Warren C.W.","non-dropping-particle":"","parse-names":false,"suffix":""}],"container-title":"Nature Reviews Materials","id":"ITEM-1","issue":"May 2018","issued":{"date-parts":[["2016"]]},"title":"Analysis of nanoparticle delivery to tumours","type":"article-journal","volume":"1"},"uris":["http://www.mendeley.com/documents/?uuid=23861e61-8fa7-4925-a7f2-17b8abdb4342"]}],"mendeley":{"formattedCitation":"&lt;sup&gt;14&lt;/sup&gt;","plainTextFormattedCitation":"14","previouslyFormattedCitation":"&lt;sup&gt;14&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14</w:t>
      </w:r>
      <w:r w:rsidRPr="00C06183">
        <w:rPr>
          <w:rStyle w:val="normaltextrun"/>
          <w:rFonts w:ascii="Arial" w:hAnsi="Arial" w:cs="Arial"/>
          <w:color w:val="000000"/>
          <w:shd w:val="clear" w:color="auto" w:fill="FFFFFF"/>
        </w:rPr>
        <w:fldChar w:fldCharType="end"/>
      </w:r>
      <w:r w:rsidRPr="00C06183">
        <w:rPr>
          <w:rStyle w:val="normaltextrun"/>
          <w:rFonts w:ascii="Arial" w:hAnsi="Arial" w:cs="Arial"/>
          <w:color w:val="000000"/>
          <w:shd w:val="clear" w:color="auto" w:fill="FFFFFF"/>
        </w:rPr>
        <w:t xml:space="preserve"> Although the isolated stroma cannot form tumors when planted into host animals, it is essential in supporting tumor growth and architecture of the tumor microenvironment</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{"citationItems":[{"id":"ITEM-1","itemData":{"DOI":"10.1097/PPO.0000000000000124","ISSN":"1540336X","abstract":"Solid tumors generally require a vascularized connective tissue stroma if they are to grow beyond minimal size. They generate that stroma in part by secreting vascular endothelial growth factor (VEGF), a potent vascular permeability and angiogenic factor. Increased vascular permeability leads to deposition of a provisional fibrin stroma, which supports tumor, connective tissue, and inflammatory cell migration and plays an active role in the formation of mature vascularized stroma. Vascular endothelial growth factor-induced tumor blood vessels are heterogeneous, of at least 6 distinct types, and develop linearly over time. They include both angiogenic (mother vessels, glomeruloid microvascular proliferations, vascular malformations, capillaries) and arteriovenogenic (feeding arteries, draining veins) blood vessels. Attacking the tumor vasculature with drugs that target VEGF or its receptors (VEGFR) has come into vogue but has been less effective than had been hope for. One reason for this is that anti-VEGF/VEGFR therapy attacks only a subset of tumor blood vessels, the earliest to form. New targets on late-forming blood vessels such as feeding arteries would be useful in helping antivascular cancer therapy fulfill its promise. ©","author":[{"dropping-particle":"","family":"Dvorak","given":"Harold F.","non-dropping-particle":"","parse-names":false,"suffix":""}],"container-title":"Cancer Journal (United States)","id":"ITEM-1","issue":"4","issued":{"date-parts":[["2015"]]},"page":"237-243","title":"Tumor Stroma, Tumor Blood Vessels, and Antiangiogenesis Therapy","type":"article-journal","volume":"21"},"uris":["http://www.mendeley.com/documents/?uuid=ae3ea6c5-d028-4c9b-a4ff-e776b764cdd1"]}],"mendeley":{"formattedCitation":"&lt;sup&gt;31&lt;/sup&gt;","plainTextFormattedCitation":"31","previouslyFormattedCitation":"&lt;sup&gt;31&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31</w:t>
      </w:r>
      <w:r w:rsidRPr="00C06183">
        <w:rPr>
          <w:rStyle w:val="normaltextrun"/>
          <w:rFonts w:ascii="Arial" w:hAnsi="Arial" w:cs="Arial"/>
          <w:color w:val="000000"/>
          <w:shd w:val="clear" w:color="auto" w:fill="FFFFFF"/>
        </w:rPr>
        <w:fldChar w:fldCharType="end"/>
      </w:r>
      <w:r w:rsidRPr="00C06183">
        <w:rPr>
          <w:rStyle w:val="normaltextrun"/>
          <w:rFonts w:ascii="Arial" w:hAnsi="Arial" w:cs="Arial"/>
          <w:color w:val="000000"/>
          <w:shd w:val="clear" w:color="auto" w:fill="FFFFFF"/>
        </w:rPr>
        <w:t xml:space="preserve"> </w:t>
      </w:r>
      <w:r w:rsidRPr="00C06183">
        <w:rPr>
          <w:rFonts w:ascii="Arial" w:hAnsi="Arial" w:cs="Arial"/>
        </w:rPr>
        <w:t>The tumor stroma is composed of diverse cell types, including can</w:t>
      </w:r>
      <w:r w:rsidR="00022129">
        <w:rPr>
          <w:rFonts w:ascii="Arial" w:hAnsi="Arial" w:cs="Arial"/>
        </w:rPr>
        <w:t>c</w:t>
      </w:r>
      <w:r w:rsidRPr="00C06183">
        <w:rPr>
          <w:rFonts w:ascii="Arial" w:hAnsi="Arial" w:cs="Arial"/>
        </w:rPr>
        <w:t>er-associated fibroblasts and immune cells.</w:t>
      </w:r>
      <w:r w:rsidRPr="00C06183">
        <w:rPr>
          <w:rStyle w:val="normaltextrun"/>
          <w:rFonts w:ascii="Arial" w:hAnsi="Arial" w:cs="Arial"/>
          <w:color w:val="000000"/>
          <w:shd w:val="clear" w:color="auto" w:fill="FFFFFF"/>
        </w:rPr>
        <w:t xml:space="preserve"> Cancer-associated fibroblasts produce and remodel the extracellular matrix (ECM), and at the same time secret growth factors that induce angiogenesis or suppress immune cells with the goal </w:t>
      </w:r>
      <w:proofErr w:type="gramStart"/>
      <w:r w:rsidRPr="00C06183">
        <w:rPr>
          <w:rStyle w:val="normaltextrun"/>
          <w:rFonts w:ascii="Arial" w:hAnsi="Arial" w:cs="Arial"/>
          <w:color w:val="000000"/>
          <w:shd w:val="clear" w:color="auto" w:fill="FFFFFF"/>
        </w:rPr>
        <w:t>to support</w:t>
      </w:r>
      <w:proofErr w:type="gramEnd"/>
      <w:r w:rsidRPr="00C06183">
        <w:rPr>
          <w:rStyle w:val="normaltextrun"/>
          <w:rFonts w:ascii="Arial" w:hAnsi="Arial" w:cs="Arial"/>
          <w:color w:val="000000"/>
          <w:shd w:val="clear" w:color="auto" w:fill="FFFFFF"/>
        </w:rPr>
        <w:t xml:space="preserve"> tumor growth. </w:t>
      </w:r>
    </w:p>
    <w:p w14:paraId="248706DC" w14:textId="710012A3" w:rsidR="00A22975" w:rsidRDefault="00C06183" w:rsidP="00C06183">
      <w:pPr>
        <w:pStyle w:val="paragraph"/>
        <w:spacing w:before="0" w:beforeAutospacing="0" w:after="0" w:afterAutospacing="0" w:line="480" w:lineRule="auto"/>
        <w:ind w:firstLine="720"/>
        <w:jc w:val="both"/>
        <w:textAlignment w:val="baseline"/>
        <w:rPr>
          <w:rStyle w:val="normaltextrun"/>
          <w:rFonts w:ascii="Arial" w:hAnsi="Arial" w:cs="Arial"/>
          <w:color w:val="000000"/>
          <w:shd w:val="clear" w:color="auto" w:fill="FFFFFF"/>
        </w:rPr>
      </w:pPr>
      <w:r w:rsidRPr="00C06183">
        <w:rPr>
          <w:rStyle w:val="normaltextrun"/>
          <w:rFonts w:ascii="Arial" w:hAnsi="Arial" w:cs="Arial"/>
          <w:color w:val="000000"/>
          <w:shd w:val="clear" w:color="auto" w:fill="FFFFFF"/>
        </w:rPr>
        <w:t>Many types of immune cells are found in solid tumors and execute various functions. Briefly, CD8+ cytotoxic T Cells, CD4+ Th1 helper T cells, NK cells, M1 macrophages and dendritic cells are generally considered as tumor inhibiting, while regulatory T cells (Treg), CD4+ Th2 helper T cells and M2 macrophages are immune suppressing, thus promoting angiogenesis, tumor growth, and metastasis</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{"citationItems":[{"id":"ITEM-1","itemData":{"DOI":"10.1038/nrc.2017.51","ISSN":"14741768","PMID":"28706266","abstract":"Tumours display considerable variation in the patterning and properties of angiogenic blood vessels, as well as in their responses to anti-angiogenic therapy. Angiogenic programming of neoplastic tissue is a multidimensional process regulated by cancer cells in concert with a variety of tumour-associated stromal cells and their bioactive products, which encompass cytokines and growth factors, the extracellular matrix and secreted microvesicles. In this Review, we discuss the extrinsic regulation of angiogenesis by the tumour microenvironment, highlighting potential vulnerabilities that could be targeted to improve the applicability and reach of anti-angiogenic cancer therapies.","author":[{"dropping-particle":"","family":"Palma","given":"Michele","non-dropping-particle":"De","parse-names":false,"suffix":""},{"dropping-particle":"","family":"Biziato","given":"Daniela","non-dropping-particle":"","parse-names":false,"suffix":""},{"dropping-particle":"V.","family":"Petrova","given":"Tatiana","non-dropping-particle":"","parse-names":false,"suffix":""}],"container-title":"Nature Reviews Cancer","id":"ITEM-1","issue":"8","issued":{"date-parts":[["2017"]]},"page":"457-474","publisher":"Nature Publishing Group","title":"Microenvironmental regulation of tumour angiogenesis","type":"article-journal","volume":"17"},"uris":["http://www.mendeley.com/documents/?uuid=63495862-3a72-4cc0-83c6-2b46b24594a8"]},{"id":"ITEM-2","itemData":{"DOI":"10.1155/2020/6283796","ISSN":"22107185","PMID":"32377504","abstract":"Tumors are surrounded by complex environmental components, including blood and lymph vessels, fibroblasts, endothelial cells, immune cells, cytokines, extracellular vesicles, and extracellular matrix. All the stromal components together with the tumor cells form the tumor microenvironment (TME). In addition, extracellular physical and chemical factors, including extracellular pH, hypoxia, elevated interstitial fluid pressure, and fibrosis, are closely associated with tumor progression, metastasis, immunosuppression, and drug resistance. Cellular and extracellular components in TME contribute to nearly all procedures of carcinogenesis. By summarizing the recent work in this field, we make a comprehensive review on the role of cellular and extracellular components in the process of carcinogenesis and their potential application in early diagnosis of cancer. We hope that a systematic review of the diverse aspects of TME will help both research scientists and clinicians in this field.","author":[{"dropping-particle":"","family":"Wei","given":"Rui","non-dropping-particle":"","parse-names":false,"suffix":""},{"dropping-particle":"","family":"Liu","given":"Si","non-dropping-particle":"","parse-names":false,"suffix":""},{"dropping-particle":"","family":"Zhang","given":"Shutian","non-dropping-particle":"","parse-names":false,"suffix":""},{"dropping-particle":"","family":"Min","given":"Li","non-dropping-particle":"","parse-names":false,"suffix":""},{"dropping-particle":"","family":"Zhu","given":"Shengtao","non-dropping-particle":"","parse-names":false,"suffix":""}],"container-title":"Analytical Cellular Pathology","id":"ITEM-2","issue":"Figure 1","issued":{"date-parts":[["2020"]]},"title":"Cellular and Extracellular Components in Tumor Microenvironment and Their Application in Early Diagnosis of Cancers","type":"article-journal","volume":"2020"},"uris":["http://www.mendeley.com/documents/?uuid=a9ff933f-6c0c-4355-8674-6cafb76406d8"]}],"mendeley":{"formattedCitation":"&lt;sup&gt;32,33&lt;/sup&gt;","plainTextFormattedCitation":"32,33","previouslyFormattedCitation":"&lt;sup&gt;32,33&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32,33</w:t>
      </w:r>
      <w:r w:rsidRPr="00C06183">
        <w:rPr>
          <w:rStyle w:val="normaltextrun"/>
          <w:rFonts w:ascii="Arial" w:hAnsi="Arial" w:cs="Arial"/>
          <w:color w:val="000000"/>
          <w:shd w:val="clear" w:color="auto" w:fill="FFFFFF"/>
        </w:rPr>
        <w:fldChar w:fldCharType="end"/>
      </w:r>
      <w:r w:rsidRPr="00C06183">
        <w:rPr>
          <w:rFonts w:ascii="Arial" w:hAnsi="Arial" w:cs="Arial"/>
        </w:rPr>
        <w:t xml:space="preserve"> </w:t>
      </w:r>
      <w:r w:rsidRPr="00C06183">
        <w:rPr>
          <w:rStyle w:val="normaltextrun"/>
          <w:rFonts w:ascii="Arial" w:hAnsi="Arial" w:cs="Arial"/>
          <w:color w:val="000000"/>
          <w:shd w:val="clear" w:color="auto" w:fill="FFFFFF"/>
        </w:rPr>
        <w:t xml:space="preserve">Tumor and stromal cells are embedded in the ECM composed of collagen, fibronectin, fibrin, hyaluronan, and proteoglycans, which provide the mechanical support of the tumor microenvironment. At the same time, plenty of functional cytokines and growth factors, such as vascular endothelial growth factor (VEGF), disperse throughout the entire tumor </w:t>
      </w:r>
      <w:r w:rsidRPr="00C06183">
        <w:rPr>
          <w:rStyle w:val="normaltextrun"/>
          <w:rFonts w:ascii="Arial" w:hAnsi="Arial" w:cs="Arial"/>
          <w:color w:val="000000"/>
          <w:shd w:val="clear" w:color="auto" w:fill="FFFFFF"/>
        </w:rPr>
        <w:lastRenderedPageBreak/>
        <w:t>forming the non-cellular stroma together with the ECM. In addition, solid tumors are characterized by abnormal vasculature, low pH, hypoxia, high interstitial pressure, and crosstalk between individual tumor cell types</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{"citationItems":[{"id":"ITEM-1","itemData":{"DOI":"10.1016/j.bioactmat.2020.08.009","ISSN":"2452199X","abstract":"Cancer-associated fibroblasts (CAFs) are a major constituent of the tumor microenvironment (TME) and an important contributor to cancer progression and therapeutic resistance. Regulation of CAF activation is a promising strategy to influence cancer outcomes. Here, we report that ovarian cancer cells (OCs) and TME cells promote the activation of ovarian CAFs, whereas gold nanoparticles (GNPs) of 20 nm in diameter inhibit the activation, as demonstrated by the changes in cell morphology, migration, and molecular markers. GNPs exert the effect by altering the levels of multiple fibroblast activation or inactivation proteins, such as TGF-β1, PDGF, uPA and TSP1, secreted by OCs and TME cells. Thus, GNPs represent a potential tool to help understand multicellular communications existing in the TME as well as devise strategies to disrupt the communication.","author":[{"dropping-particle":"","family":"Zhang","given":"Yushan","non-dropping-particle":"","parse-names":false,"suffix":""},{"dropping-particle":"","family":"Elechalawar","given":"Chandra Kumar","non-dropping-particle":"","parse-names":false,"suffix":""},{"dropping-particle":"","family":"Hossen","given":"Md Nazir","non-dropping-particle":"","parse-names":false,"suffix":""},{"dropping-particle":"","family":"Francek","given":"Emmy R.","non-dropping-particle":"","parse-names":false,"suffix":""},{"dropping-particle":"","family":"Dey","given":"Anindya","non-dropping-particle":"","parse-names":false,"suffix":""},{"dropping-particle":"","family":"Wilhelm","given":"Stefan","non-dropping-particle":"","parse-names":false,"suffix":""},{"dropping-particle":"","family":"Bhattacharya","given":"Resham","non-dropping-particle":"","parse-names":false,"suffix":""},{"dropping-particle":"","family":"Mukherjee","given":"Priyabrata","non-dropping-particle":"","parse-names":false,"suffix":""}],"container-title":"Bioactive Materials","id":"ITEM-1","issue":"2","issued":{"date-parts":[["2021"]]},"page":"326-332","publisher":"Elsevier","title":"Gold nanoparticles inhibit activation of cancer-associated fibroblasts by disrupting communication from tumor and microenvironmental cells","type":"article-journal","volume":"6"},"uris":["http://www.mendeley.com/documents/?uuid=027debde-b60d-4d9a-8c8e-d75a41c77fa8"]},{"id":"ITEM-2","itemData":{"DOI":"10.1021/acs.bioconjchem.9b00448","ISSN":"15204812","abstract":"Compared to normal tissues, the tumor microenvironment (TME) has a number of aberrant characteristics including hypoxia, acidosis, and vascular abnormalities. Many researchers have sought to exploit these anomalous features of the TME to develop anticancer therapies, and several nanoparticle-based cancer therapeutics have resulted. In this Review, we discuss the composition and pathophysiology of the TME, introduce nanoparticles (NPs) used in cancer therapy, and address the interaction between the TME and NPs. Finally, we outline both the potential problems that affect TME-based nanotherapy and potential strategies to overcome these challenges.","author":[{"dropping-particle":"","family":"Huai","given":"Yanyan","non-dropping-particle":"","parse-names":false,"suffix":""},{"dropping-particle":"","family":"Hossen","given":"Md Nazir","non-dropping-particle":"","parse-names":false,"suffix":""},{"dropping-particle":"","family":"Wilhelm","given":"Stefan","non-dropping-particle":"","parse-names":false,"suffix":""},{"dropping-particle":"","family":"Bhattacharya","given":"Resham","non-dropping-particle":"","parse-names":false,"suffix":""},{"dropping-particle":"","family":"Mukherjee","given":"Priyabrata","non-dropping-particle":"","parse-names":false,"suffix":""}],"container-title":"Bioconjugate Chemistry","id":"ITEM-2","issue":"9","issued":{"date-parts":[["2019"]]},"page":"2247-2263","title":"Nanoparticle Interactions with the Tumor Microenvironment","type":"article-journal","volume":"30"},"uris":["http://www.mendeley.com/documents/?uuid=aa0be546-ee57-4965-9ff5-f6f27c792632"]}],"mendeley":{"formattedCitation":"&lt;sup&gt;11,34&lt;/sup&gt;","plainTextFormattedCitation":"11,34","previouslyFormattedCitation":"&lt;sup&gt;11,34&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11,34</w:t>
      </w:r>
      <w:r w:rsidRPr="00C06183">
        <w:rPr>
          <w:rStyle w:val="normaltextrun"/>
          <w:rFonts w:ascii="Arial" w:hAnsi="Arial" w:cs="Arial"/>
          <w:color w:val="000000"/>
          <w:shd w:val="clear" w:color="auto" w:fill="FFFFFF"/>
        </w:rPr>
        <w:fldChar w:fldCharType="end"/>
      </w:r>
      <w:r w:rsidRPr="00C06183">
        <w:rPr>
          <w:rStyle w:val="normaltextrun"/>
          <w:rFonts w:ascii="Arial" w:hAnsi="Arial" w:cs="Arial"/>
          <w:color w:val="000000"/>
          <w:shd w:val="clear" w:color="auto" w:fill="FFFFFF"/>
        </w:rPr>
        <w:t xml:space="preserve"> All these complex components interplay in forming the tumor microenvironment and affect tumor development as well treatment responses (</w:t>
      </w:r>
      <w:r w:rsidRPr="000E44BA">
        <w:rPr>
          <w:rStyle w:val="normaltextrun"/>
          <w:rFonts w:ascii="Arial" w:hAnsi="Arial" w:cs="Arial"/>
          <w:color w:val="000000"/>
          <w:shd w:val="clear" w:color="auto" w:fill="FFFFFF"/>
        </w:rPr>
        <w:t xml:space="preserve">Figure </w:t>
      </w:r>
      <w:r w:rsidR="00A22975" w:rsidRPr="000E44BA">
        <w:rPr>
          <w:rStyle w:val="normaltextrun"/>
          <w:rFonts w:ascii="Arial" w:hAnsi="Arial" w:cs="Arial"/>
          <w:color w:val="000000"/>
          <w:shd w:val="clear" w:color="auto" w:fill="FFFFFF"/>
        </w:rPr>
        <w:t>1.</w:t>
      </w:r>
      <w:r w:rsidRPr="000E44BA">
        <w:rPr>
          <w:rStyle w:val="normaltextrun"/>
          <w:rFonts w:ascii="Arial" w:hAnsi="Arial" w:cs="Arial"/>
          <w:color w:val="000000"/>
          <w:shd w:val="clear" w:color="auto" w:fill="FFFFFF"/>
        </w:rPr>
        <w:t>2</w:t>
      </w:r>
      <w:r w:rsidRPr="00C06183">
        <w:rPr>
          <w:rStyle w:val="normaltextrun"/>
          <w:rFonts w:ascii="Arial" w:hAnsi="Arial" w:cs="Arial"/>
          <w:color w:val="000000"/>
          <w:shd w:val="clear" w:color="auto" w:fill="FFFFFF"/>
        </w:rPr>
        <w:t>).</w:t>
      </w:r>
    </w:p>
    <w:p w14:paraId="16D602EE" w14:textId="77777777" w:rsidR="00A22975" w:rsidRDefault="00A22975">
      <w:pPr>
        <w:rPr>
          <w:rStyle w:val="normaltextrun"/>
          <w:rFonts w:ascii="Arial" w:eastAsia="Times New Roman" w:hAnsi="Arial" w:cs="Arial"/>
          <w:color w:val="000000"/>
          <w:sz w:val="24"/>
          <w:szCs w:val="24"/>
          <w:shd w:val="clear" w:color="auto" w:fill="FFFFFF"/>
          <w:lang w:eastAsia="zh-CN"/>
        </w:rPr>
      </w:pPr>
      <w:r>
        <w:rPr>
          <w:rStyle w:val="normaltextrun"/>
          <w:rFonts w:ascii="Arial" w:hAnsi="Arial" w:cs="Arial"/>
          <w:color w:val="000000"/>
          <w:shd w:val="clear" w:color="auto" w:fill="FFFFFF"/>
        </w:rPr>
        <w:br w:type="page"/>
      </w:r>
    </w:p>
    <w:p w14:paraId="7C47132A" w14:textId="78E636B5" w:rsidR="00A22975" w:rsidRDefault="00A22975" w:rsidP="00A22975">
      <w:pPr>
        <w:jc w:val="both"/>
        <w:rPr>
          <w:rFonts w:ascii="Arial" w:hAnsi="Arial" w:cs="Arial"/>
          <w:b/>
          <w:bCs/>
          <w:color w:val="000000" w:themeColor="text1"/>
          <w:sz w:val="24"/>
          <w:szCs w:val="24"/>
        </w:rPr>
      </w:pPr>
      <w:r>
        <w:rPr>
          <w:noProof/>
        </w:rPr>
        <w:lastRenderedPageBreak/>
        <w:drawing>
          <wp:anchor distT="0" distB="0" distL="114300" distR="114300" simplePos="0" relativeHeight="251658240" behindDoc="0" locked="0" layoutInCell="1" allowOverlap="1" wp14:anchorId="32CDA6A8" wp14:editId="3220F661">
            <wp:simplePos x="0" y="0"/>
            <wp:positionH relativeFrom="margin">
              <wp:posOffset>250124</wp:posOffset>
            </wp:positionH>
            <wp:positionV relativeFrom="paragraph">
              <wp:posOffset>285115</wp:posOffset>
            </wp:positionV>
            <wp:extent cx="5653882" cy="6477000"/>
            <wp:effectExtent l="0" t="0" r="4445" b="0"/>
            <wp:wrapSquare wrapText="bothSides"/>
            <wp:docPr id="997485177" name="Picture 997485177" descr="A diagram of a blood vess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5177" name="Picture 997485177" descr="A diagram of a blood vesse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53882" cy="6477000"/>
                    </a:xfrm>
                    <a:prstGeom prst="rect">
                      <a:avLst/>
                    </a:prstGeom>
                  </pic:spPr>
                </pic:pic>
              </a:graphicData>
            </a:graphic>
            <wp14:sizeRelH relativeFrom="page">
              <wp14:pctWidth>0</wp14:pctWidth>
            </wp14:sizeRelH>
            <wp14:sizeRelV relativeFrom="page">
              <wp14:pctHeight>0</wp14:pctHeight>
            </wp14:sizeRelV>
          </wp:anchor>
        </w:drawing>
      </w:r>
    </w:p>
    <w:p w14:paraId="468E6B96" w14:textId="3D7CAC9C" w:rsidR="00A22975" w:rsidRDefault="00A22975" w:rsidP="00A22975">
      <w:pPr>
        <w:jc w:val="both"/>
        <w:rPr>
          <w:rFonts w:ascii="Arial" w:hAnsi="Arial" w:cs="Arial"/>
        </w:rPr>
      </w:pPr>
      <w:r w:rsidRPr="00A22975">
        <w:rPr>
          <w:rFonts w:ascii="Arial" w:hAnsi="Arial" w:cs="Arial"/>
          <w:b/>
          <w:bCs/>
          <w:color w:val="000000" w:themeColor="text1"/>
          <w:sz w:val="24"/>
          <w:szCs w:val="24"/>
        </w:rPr>
        <w:t xml:space="preserve">Figure 1.2: </w:t>
      </w:r>
      <w:r w:rsidRPr="00A22975">
        <w:rPr>
          <w:rFonts w:ascii="Arial" w:eastAsia="Times New Roman" w:hAnsi="Arial" w:cs="Arial"/>
          <w:b/>
          <w:bCs/>
          <w:sz w:val="24"/>
          <w:szCs w:val="24"/>
        </w:rPr>
        <w:t>Tumor architecture.</w:t>
      </w:r>
      <w:r w:rsidRPr="00A22975">
        <w:rPr>
          <w:rFonts w:ascii="Arial" w:eastAsia="Times New Roman" w:hAnsi="Arial" w:cs="Arial"/>
          <w:sz w:val="24"/>
          <w:szCs w:val="24"/>
        </w:rPr>
        <w:t xml:space="preserve"> A solid tumor is composed of malignant parenchyma and benign tumor stroma that supports tumor growth and</w:t>
      </w:r>
      <w:r>
        <w:rPr>
          <w:rFonts w:ascii="Arial" w:eastAsia="Times New Roman" w:hAnsi="Arial" w:cs="Arial"/>
          <w:sz w:val="24"/>
          <w:szCs w:val="24"/>
        </w:rPr>
        <w:t xml:space="preserve"> </w:t>
      </w:r>
      <w:r w:rsidRPr="00A22975">
        <w:rPr>
          <w:rFonts w:ascii="Arial" w:eastAsia="Times New Roman" w:hAnsi="Arial" w:cs="Arial"/>
          <w:sz w:val="24"/>
          <w:szCs w:val="24"/>
        </w:rPr>
        <w:t>structure. There are diverse types of stromal cells including cancer-associated fibroblasts, immune cells, and other cells forming the cellular part of</w:t>
      </w:r>
      <w:r>
        <w:rPr>
          <w:rFonts w:ascii="Arial" w:eastAsia="Times New Roman" w:hAnsi="Arial" w:cs="Arial"/>
          <w:sz w:val="24"/>
          <w:szCs w:val="24"/>
        </w:rPr>
        <w:t xml:space="preserve"> </w:t>
      </w:r>
      <w:r w:rsidRPr="00A22975">
        <w:rPr>
          <w:rFonts w:ascii="Arial" w:eastAsia="Times New Roman" w:hAnsi="Arial" w:cs="Arial"/>
          <w:sz w:val="24"/>
          <w:szCs w:val="24"/>
        </w:rPr>
        <w:t>tumor stroma. The noncellular parts of the tumor stroma including extracellular matrix and cytokines surround and interact with the embedded cells.</w:t>
      </w:r>
      <w:r>
        <w:rPr>
          <w:rFonts w:ascii="Arial" w:eastAsia="Times New Roman" w:hAnsi="Arial" w:cs="Arial"/>
          <w:sz w:val="24"/>
          <w:szCs w:val="24"/>
        </w:rPr>
        <w:t xml:space="preserve"> </w:t>
      </w:r>
      <w:r w:rsidRPr="00A22975">
        <w:rPr>
          <w:rFonts w:ascii="Arial" w:eastAsia="Times New Roman" w:hAnsi="Arial" w:cs="Arial"/>
          <w:sz w:val="24"/>
          <w:szCs w:val="24"/>
        </w:rPr>
        <w:t>An abnormal vascular network is always observed in a solid tumor, which is essential for tumor supply. In addition, low pH, hypoxia, and high interstitial</w:t>
      </w:r>
      <w:r>
        <w:rPr>
          <w:rFonts w:ascii="Arial" w:eastAsia="Times New Roman" w:hAnsi="Arial" w:cs="Arial"/>
          <w:sz w:val="24"/>
          <w:szCs w:val="24"/>
        </w:rPr>
        <w:t xml:space="preserve"> </w:t>
      </w:r>
      <w:r w:rsidRPr="00A22975">
        <w:rPr>
          <w:rFonts w:ascii="Arial" w:eastAsia="Times New Roman" w:hAnsi="Arial" w:cs="Arial"/>
          <w:sz w:val="24"/>
          <w:szCs w:val="24"/>
        </w:rPr>
        <w:t xml:space="preserve">pressure are </w:t>
      </w:r>
      <w:r w:rsidRPr="00A22975">
        <w:rPr>
          <w:rFonts w:ascii="Arial" w:eastAsia="Times New Roman" w:hAnsi="Arial" w:cs="Arial"/>
          <w:sz w:val="24"/>
          <w:szCs w:val="24"/>
        </w:rPr>
        <w:lastRenderedPageBreak/>
        <w:t>characteristics of solid tumors. All these tumor components interplay to form a complex microenvironment and drive the tumor development.</w:t>
      </w:r>
      <w:r>
        <w:rPr>
          <w:rFonts w:ascii="Arial" w:eastAsia="Times New Roman" w:hAnsi="Arial" w:cs="Arial"/>
          <w:sz w:val="24"/>
          <w:szCs w:val="24"/>
        </w:rPr>
        <w:t xml:space="preserve"> </w:t>
      </w:r>
      <w:r w:rsidRPr="00A22975">
        <w:rPr>
          <w:rFonts w:ascii="Arial" w:eastAsia="Times New Roman" w:hAnsi="Arial" w:cs="Arial"/>
          <w:sz w:val="24"/>
          <w:szCs w:val="24"/>
        </w:rPr>
        <w:t>B) The tumor vasculature is highly abnormal and at least six types of blood vessels with different characteristics have been distinguished.</w:t>
      </w:r>
      <w:r>
        <w:rPr>
          <w:rFonts w:ascii="Arial" w:hAnsi="Arial" w:cs="Arial"/>
        </w:rPr>
        <w:br w:type="page"/>
      </w:r>
    </w:p>
    <w:p w14:paraId="6B1EF63E" w14:textId="05DDC08E" w:rsidR="00C06183" w:rsidRPr="00C06183" w:rsidRDefault="00C06183" w:rsidP="00C06183">
      <w:pPr>
        <w:pStyle w:val="paragraph"/>
        <w:spacing w:before="0" w:beforeAutospacing="0" w:after="0" w:afterAutospacing="0" w:line="480" w:lineRule="auto"/>
        <w:ind w:firstLine="720"/>
        <w:jc w:val="both"/>
        <w:textAlignment w:val="baseline"/>
        <w:rPr>
          <w:rStyle w:val="eop"/>
          <w:rFonts w:ascii="Arial" w:eastAsia="MS Mincho" w:hAnsi="Arial" w:cs="Arial"/>
        </w:rPr>
      </w:pPr>
      <w:r w:rsidRPr="00C06183">
        <w:rPr>
          <w:rStyle w:val="normaltextrun"/>
          <w:rFonts w:ascii="Arial" w:hAnsi="Arial" w:cs="Arial"/>
        </w:rPr>
        <w:lastRenderedPageBreak/>
        <w:t>Besides the complex composition of solid tumors, the phenotype and ratio of both tumor and stroma cells are highly heterogeneous between different patients, different loci within the same patient, and even different sites within the same tumor</w:t>
      </w:r>
      <w:r w:rsidR="00715A23">
        <w:rPr>
          <w:rStyle w:val="normaltextrun"/>
          <w:rFonts w:ascii="Arial" w:hAnsi="Arial" w:cs="Arial"/>
        </w:rPr>
        <w:t>.</w:t>
      </w:r>
      <w:r w:rsidRPr="00C06183">
        <w:rPr>
          <w:rStyle w:val="normaltextrun"/>
          <w:rFonts w:ascii="Arial" w:hAnsi="Arial" w:cs="Arial"/>
        </w:rPr>
        <w:fldChar w:fldCharType="begin" w:fldLock="1"/>
      </w:r>
      <w:r w:rsidR="00A22975">
        <w:rPr>
          <w:rStyle w:val="normaltextrun"/>
          <w:rFonts w:ascii="Arial" w:hAnsi="Arial" w:cs="Arial"/>
        </w:rPr>
        <w:instrText>ADDIN CSL_CITATION {"citationItems":[{"id":"ITEM-1","itemData":{"DOI":"10.1038/nrclinonc.2017.166","ISSN":"17594782","PMID":"29115304","abstract":"Cancer is a dynamic disease. During the course of disease, cancers generally become more heterogeneous. As a result of this heterogeneity, the bulk tumour might include a diverse collection of cells harbouring distinct molecular signatures with differential levels of sensitivity to treatment. This heterogeneity might result in a non-uniform distribution of genetically distinct tumour-cell subpopulations across and within disease sites (spatial heterogeneity) or temporal variations in the molecular makeup of cancer cells (temporal heterogeneity). Heterogeneity provides the fuel for resistance; therefore, an accurate assessment of tumour heterogeneity is essential for the development of effective therapies. Multiregion sequencing, single-cell sequencing, analysis of autopsy samples, and longitudinal analysis of liquid biopsy samples are all emerging technologies with considerable potential to dissect the complex clonal architecture of cancers. In this Review, we discuss the driving forces behind intratumoural heterogeneity and the current approaches used to combat this heterogeneity and its consequences. We also explore how clinical assessments of tumour heterogeneity might facilitate the development of more-effective personalized therapies.","author":[{"dropping-particle":"","family":"Dagogo-Jack","given":"Ibiayi","non-dropping-particle":"","parse-names":false,"suffix":""},{"dropping-particle":"","family":"Shaw","given":"Alice T.","non-dropping-particle":"","parse-names":false,"suffix":""}],"container-title":"Nature Reviews Clinical Oncology","id":"ITEM-1","issue":"2","issued":{"date-parts":[["2018"]]},"page":"81-94","publisher":"Nature Publishing Group","title":"Tumour heterogeneity and resistance to cancer therapies","type":"article-journal","volume":"15"},"uris":["http://www.mendeley.com/documents/?uuid=c2106a32-8a57-4604-a321-766bcd132dc0"]},{"id":"ITEM-2","itemData":{"DOI":"10.1021/acsnano.8b03900","ISSN":"1936086X","abstract":"Coating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author":[{"dropping-particle":"","family":"Dai","given":"Qin","non-dropping-particle":"","parse-names":false,"suffix":""},{"dropping-particle":"","family":"Wilhelm","given":"Stefan","non-dropping-particle":"","parse-names":false,"suffix":""},{"dropping-particle":"","family":"Ding","given":"Ding","non-dropping-particle":"","parse-names":false,"suffix":""},{"dropping-particle":"","family":"Syed","given":"Abdullah Muhammad","non-dropping-particle":"","parse-names":false,"suffix":""},{"dropping-particle":"","family":"Sindhwani","given":"Shrey","non-dropping-particle":"","parse-names":false,"suffix":""},{"dropping-particle":"","family":"Zhang","given":"Yuwei","non-dropping-particle":"","parse-names":false,"suffix":""},{"dropping-particle":"","family":"Chen","given":"Yih Yang","non-dropping-particle":"","parse-names":false,"suffix":""},{"dropping-particle":"","family":"Macmillan","given":"Presley","non-dropping-particle":"","parse-names":false,"suffix":""},{"dropping-particle":"","family":"Chan","given":"Warren C.W.","non-dropping-particle":"","parse-names":false,"suffix":""}],"container-title":"ACS Nano","id":"ITEM-2","issue":"8","issued":{"date-parts":[["2018"]]},"page":"8423-8435","title":"Quantifying the Ligand-Coated Nanoparticle Delivery to Cancer Cells in Solid Tumors","type":"article-journal","volume":"12"},"uris":["http://www.mendeley.com/documents/?uuid=47f65992-134a-451f-bfbe-26867c4b078b"]}],"mendeley":{"formattedCitation":"&lt;sup&gt;35,36&lt;/sup&gt;","plainTextFormattedCitation":"35,36","previouslyFormattedCitation":"&lt;sup&gt;35,36&lt;/sup&gt;"},"properties":{"noteIndex":0},"schema":"https://github.com/citation-style-language/schema/raw/master/csl-citation.json"}</w:instrText>
      </w:r>
      <w:r w:rsidRPr="00C06183">
        <w:rPr>
          <w:rStyle w:val="normaltextrun"/>
          <w:rFonts w:ascii="Arial" w:hAnsi="Arial" w:cs="Arial"/>
        </w:rPr>
        <w:fldChar w:fldCharType="separate"/>
      </w:r>
      <w:r w:rsidR="00A22975" w:rsidRPr="00A22975">
        <w:rPr>
          <w:rStyle w:val="normaltextrun"/>
          <w:rFonts w:ascii="Arial" w:hAnsi="Arial" w:cs="Arial"/>
          <w:noProof/>
          <w:vertAlign w:val="superscript"/>
        </w:rPr>
        <w:t>35,36</w:t>
      </w:r>
      <w:r w:rsidRPr="00C06183">
        <w:rPr>
          <w:rStyle w:val="normaltextrun"/>
          <w:rFonts w:ascii="Arial" w:hAnsi="Arial" w:cs="Arial"/>
        </w:rPr>
        <w:fldChar w:fldCharType="end"/>
      </w:r>
      <w:r w:rsidRPr="00C06183">
        <w:rPr>
          <w:rStyle w:val="normaltextrun"/>
          <w:rFonts w:ascii="Arial" w:hAnsi="Arial" w:cs="Arial"/>
        </w:rPr>
        <w:t xml:space="preserve"> </w:t>
      </w:r>
      <w:r w:rsidRPr="00C06183">
        <w:rPr>
          <w:rStyle w:val="normaltextrun"/>
          <w:rFonts w:ascii="Arial" w:hAnsi="Arial" w:cs="Arial"/>
          <w:color w:val="000000"/>
          <w:shd w:val="clear" w:color="auto" w:fill="FFFFFF"/>
        </w:rPr>
        <w:t>The tumor development is dynamic and at different development stages, the microenvironment shows variable characteristics</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{"citationItems":[{"id":"ITEM-1","itemData":{"DOI":"10.1073/pnas.1521265113","ISSN":"0027-8424","PMID":"26884153","abstract":"Nanoparticles can provide significant improvements in the diagnosis and treatment of cancer. How nanoparticle size, shape, and surface chemistry can affect their accumulation, retention, and penetration in tumors remains heavily investigated, because such findings provide guiding principles for engineering optimal nanosystems for tumor targeting. Currently, the experimental focus has been on particle design and not the biological system. Here, we varied tumor volume to determine whether cancer pathophysiology can influence tumor accumulation and penetration of different sized nanoparticles. Monte Carlo simulations were also used to model the process of nanoparticle accumulation. We discovered that changes in pathophysiology associated with tumor volume can selectively change tumor uptake of nanoparticles of varying size. We further determine that nanoparticle retention within tumors depends on the frequency of interaction of particles with the perivascular extracellular matrix for smaller nanoparticles, whereas transport of larger nanomaterials is dominated by Brownian motion. These results reveal that nanoparticles can potentially be personalized according to a patient’s disease state to achieve optimal diagnostic and therapeutic outcomes.","author":[{"dropping-particle":"","family":"Sykes","given":"Edward A.","non-dropping-particle":"","parse-names":false,"suffix":""},{"dropping-particle":"","family":"Dai","given":"Qin","non-dropping-particle":"","parse-names":false,"suffix":""},{"dropping-particle":"","family":"Sarsons","given":"Christopher D.","non-dropping-particle":"","parse-names":false,"suffix":""},{"dropping-particle":"","family":"Chen","given":"Juan","non-dropping-particle":"","parse-names":false,"suffix":""},{"dropping-particle":"V.","family":"Rocheleau","given":"Jonathan","non-dropping-particle":"","parse-names":false,"suffix":""},{"dropping-particle":"","family":"Hwang","given":"David M.","non-dropping-particle":"","parse-names":false,"suffix":""},{"dropping-particle":"","family":"Zheng","given":"Gang","non-dropping-particle":"","parse-names":false,"suffix":""},{"dropping-particle":"","family":"Cramb","given":"David T.","non-dropping-particle":"","parse-names":false,"suffix":""},{"dropping-particle":"","family":"Rinker","given":"Kristina D.","non-dropping-particle":"","parse-names":false,"suffix":""},{"dropping-particle":"","family":"Chan","given":"Warren C. W.","non-dropping-particle":"","parse-names":false,"suffix":""}],"container-title":"Proceedings of the National Academy of Sciences","id":"ITEM-1","issue":"9","issued":{"date-parts":[["2016","3","1"]]},"page":"E1142-E1151","title":"Tailoring nanoparticle designs to target cancer based on tumor pathophysiology","type":"article-journal","volume":"113"},"uris":["http://www.mendeley.com/documents/?uuid=66f4237d-2306-4e6f-ac26-bf567fb6426e"]}],"mendeley":{"formattedCitation":"&lt;sup&gt;37&lt;/sup&gt;","plainTextFormattedCitation":"37","previouslyFormattedCitation":"&lt;sup&gt;37&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37</w:t>
      </w:r>
      <w:r w:rsidRPr="00C06183">
        <w:rPr>
          <w:rStyle w:val="normaltextrun"/>
          <w:rFonts w:ascii="Arial" w:hAnsi="Arial" w:cs="Arial"/>
          <w:color w:val="000000"/>
          <w:shd w:val="clear" w:color="auto" w:fill="FFFFFF"/>
        </w:rPr>
        <w:fldChar w:fldCharType="end"/>
      </w:r>
      <w:r w:rsidRPr="00C06183">
        <w:rPr>
          <w:rStyle w:val="normaltextrun"/>
          <w:rFonts w:ascii="Arial" w:hAnsi="Arial" w:cs="Arial"/>
          <w:color w:val="000000"/>
          <w:shd w:val="clear" w:color="auto" w:fill="FFFFFF"/>
        </w:rPr>
        <w:t xml:space="preserve"> For example, cell plasticity, i.e., the ability of tumor cells to transform and switch their phenotype, is </w:t>
      </w:r>
      <w:r w:rsidRPr="00C06183">
        <w:rPr>
          <w:rStyle w:val="normaltextrun"/>
          <w:rFonts w:ascii="Arial" w:hAnsi="Arial" w:cs="Arial"/>
          <w:shd w:val="clear" w:color="auto" w:fill="FFFFFF"/>
        </w:rPr>
        <w:t>a considerable challenge in the development of cell targeted therapies</w:t>
      </w:r>
      <w:r w:rsidR="00715A23">
        <w:rPr>
          <w:rStyle w:val="normaltextrun"/>
          <w:rFonts w:ascii="Arial" w:hAnsi="Arial" w:cs="Arial"/>
          <w:shd w:val="clear" w:color="auto" w:fill="FFFFFF"/>
        </w:rPr>
        <w:t>.</w:t>
      </w:r>
      <w:r w:rsidRPr="00C06183">
        <w:rPr>
          <w:rStyle w:val="normaltextrun"/>
          <w:rFonts w:ascii="Arial" w:hAnsi="Arial" w:cs="Arial"/>
          <w:shd w:val="clear" w:color="auto" w:fill="FFFFFF"/>
        </w:rPr>
        <w:fldChar w:fldCharType="begin" w:fldLock="1"/>
      </w:r>
      <w:r w:rsidR="00A22975">
        <w:rPr>
          <w:rStyle w:val="normaltextrun"/>
          <w:rFonts w:ascii="Arial" w:hAnsi="Arial" w:cs="Arial"/>
          <w:shd w:val="clear" w:color="auto" w:fill="FFFFFF"/>
        </w:rPr>
        <w:instrText>ADDIN CSL_CITATION {"citationItems":[{"id":"ITEM-1","itemData":{"DOI":"10.1038/s41573-019-0044-1","ISBN":"4157301900","ISSN":"14741784","PMID":"31601994","abstract":"The success of targeted therapies in cancer treatment has been impeded by various mechanisms of resistance. Besides the acquisition of resistance-conferring genetic mutations, reversible mechanisms that lead to drug tolerance have emerged. Plasticity in tumour cells drives their transformation towards a phenotypic state that no longer depends on the drug-targeted pathway. These drug-refractory cells constitute a pool of slow-cycling cells that can either regain drug sensitivity upon treatment discontinuation or acquire permanent resistance to therapy and drive relapse. In the past few years, cell plasticity has emerged as a mode of targeted therapy evasion in various cancers, ranging from prostate and lung adenocarcinoma to melanoma and basal cell carcinoma. Our understanding of the mechanisms that control this phenotypic switch has also expanded, revealing the crucial role of reprogramming factors and chromatin remodelling. Further deciphering the molecular basis of tumour cell plasticity has the potential to contribute to new therapeutic strategies which, combined with existing anticancer treatments, could lead to deeper and longer-lasting clinical responses.","author":[{"dropping-particle":"","family":"Boumahdi","given":"Soufiane","non-dropping-particle":"","parse-names":false,"suffix":""},{"dropping-particle":"","family":"Sauvage","given":"Frederic J.","non-dropping-particle":"de","parse-names":false,"suffix":""}],"container-title":"Nature Reviews Drug Discovery","id":"ITEM-1","issue":"1","issued":{"date-parts":[["2020"]]},"page":"39-56","publisher":"Springer US","title":"The great escape: tumour cell plasticity in resistance to targeted therapy","type":"article-journal","volume":"19"},"uris":["http://www.mendeley.com/documents/?uuid=d81d780a-3eb5-4c97-a505-55b554af2e88"]},{"id":"ITEM-2","itemData":{"DOI":"10.1038/s41388-019-1128-4","ISSN":"14765594","PMID":"31801972","abstract":"Tumorigenesis is associated with the development of a highly variable pattern of cellular diversity, consequence of genetic and epigenetic diversification, followed by clonal selection and expansion. This process is shaped by the microenvironment and leads to intratumoral heterogeneity, which is characterized by differences between cancer cells in terms of gene expression, phenotypic markers, growth dynamics, and resistance to treatment. Another relevant aspect in intratumor heterogeneity is cell plasticity—the ability of a cell to switch to new identities. In this review, we focus on the mechanisms that regulate cancer cell plasticity within a tumor, and explore the concept of tumor propagating cells, or TPCs, a cancer cell able to propagate/phenocopy the parental tumor and recapitulate tumor heterogeneity. We discuss the influence of the microenvironment and driver mutations on TPCs formation and function, the existence of phenotypically distinct TPC clones within a tumor, the evolution of TPCs with disease progression, and their implications for therapy.","author":[{"dropping-particle":"","family":"Vessoni","given":"Alexandre Teixeira","non-dropping-particle":"","parse-names":false,"suffix":""},{"dropping-particle":"","family":"Filippi-Chiela","given":"Eduardo Cremonese","non-dropping-particle":"","parse-names":false,"suffix":""},{"dropping-particle":"","family":"Lenz","given":"Guido","non-dropping-particle":"","parse-names":false,"suffix":""},{"dropping-particle":"","family":"Batista","given":"Luis Francisco Zirnberger","non-dropping-particle":"","parse-names":false,"suffix":""}],"container-title":"Oncogene","id":"ITEM-2","issue":"10","issued":{"date-parts":[["2020"]]},"page":"2055-2068","publisher":"Springer US","title":"Tumor propagating cells: drivers of tumor plasticity, heterogeneity, and recurrence","type":"article-journal","volume":"39"},"uris":["http://www.mendeley.com/documents/?uuid=6fad6b89-a642-47eb-86d0-fac4089a4150"]}],"mendeley":{"formattedCitation":"&lt;sup&gt;38,39&lt;/sup&gt;","plainTextFormattedCitation":"38,39","previouslyFormattedCitation":"&lt;sup&gt;38,39&lt;/sup&gt;"},"properties":{"noteIndex":0},"schema":"https://github.com/citation-style-language/schema/raw/master/csl-citation.json"}</w:instrText>
      </w:r>
      <w:r w:rsidRPr="00C06183">
        <w:rPr>
          <w:rStyle w:val="normaltextrun"/>
          <w:rFonts w:ascii="Arial" w:hAnsi="Arial" w:cs="Arial"/>
          <w:shd w:val="clear" w:color="auto" w:fill="FFFFFF"/>
        </w:rPr>
        <w:fldChar w:fldCharType="separate"/>
      </w:r>
      <w:r w:rsidR="00A22975" w:rsidRPr="00A22975">
        <w:rPr>
          <w:rStyle w:val="normaltextrun"/>
          <w:rFonts w:ascii="Arial" w:hAnsi="Arial" w:cs="Arial"/>
          <w:noProof/>
          <w:shd w:val="clear" w:color="auto" w:fill="FFFFFF"/>
          <w:vertAlign w:val="superscript"/>
        </w:rPr>
        <w:t>38,39</w:t>
      </w:r>
      <w:r w:rsidRPr="00C06183">
        <w:rPr>
          <w:rStyle w:val="normaltextrun"/>
          <w:rFonts w:ascii="Arial" w:hAnsi="Arial" w:cs="Arial"/>
          <w:shd w:val="clear" w:color="auto" w:fill="FFFFFF"/>
        </w:rPr>
        <w:fldChar w:fldCharType="end"/>
      </w:r>
      <w:r w:rsidRPr="00C06183">
        <w:rPr>
          <w:rStyle w:val="normaltextrun"/>
          <w:rFonts w:ascii="Arial" w:hAnsi="Arial" w:cs="Arial"/>
        </w:rPr>
        <w:t xml:space="preserve"> Characteristics of the tumor microenvironment, as well as its interactions with nanoparticles, have been reviewed in greater detail by Mukherjee et al.</w:t>
      </w:r>
      <w:r w:rsidRPr="00C06183">
        <w:rPr>
          <w:rFonts w:ascii="Arial" w:hAnsi="Arial" w:cs="Arial"/>
        </w:rPr>
        <w:fldChar w:fldCharType="begin" w:fldLock="1"/>
      </w:r>
      <w:r w:rsidR="00A22975">
        <w:rPr>
          <w:rFonts w:ascii="Arial" w:hAnsi="Arial" w:cs="Arial"/>
        </w:rPr>
        <w:instrText>ADDIN CSL_CITATION {"citationItems":[{"id":"ITEM-1","itemData":{"DOI":"10.1021/acs.bioconjchem.9b00448","ISSN":"15204812","abstract":"Compared to normal tissues, the tumor microenvironment (TME) has a number of aberrant characteristics including hypoxia, acidosis, and vascular abnormalities. Many researchers have sought to exploit these anomalous features of the TME to develop anticancer therapies, and several nanoparticle-based cancer therapeutics have resulted. In this Review, we discuss the composition and pathophysiology of the TME, introduce nanoparticles (NPs) used in cancer therapy, and address the interaction between the TME and NPs. Finally, we outline both the potential problems that affect TME-based nanotherapy and potential strategies to overcome these challenges.","author":[{"dropping-particle":"","family":"Huai","given":"Yanyan","non-dropping-particle":"","parse-names":false,"suffix":""},{"dropping-particle":"","family":"Hossen","given":"Md Nazir","non-dropping-particle":"","parse-names":false,"suffix":""},{"dropping-particle":"","family":"Wilhelm","given":"Stefan","non-dropping-particle":"","parse-names":false,"suffix":""},{"dropping-particle":"","family":"Bhattacharya","given":"Resham","non-dropping-particle":"","parse-names":false,"suffix":""},{"dropping-particle":"","family":"Mukherjee","given":"Priyabrata","non-dropping-particle":"","parse-names":false,"suffix":""}],"container-title":"Bioconjugate Chemistry","id":"ITEM-1","issue":"9","issued":{"date-parts":[["2019"]]},"page":"2247-2263","title":"Nanoparticle Interactions with the Tumor Microenvironment","type":"article-journal","volume":"30"},"uris":["http://www.mendeley.com/documents/?uuid=aa0be546-ee57-4965-9ff5-f6f27c792632"]}],"mendeley":{"formattedCitation":"&lt;sup&gt;11&lt;/sup&gt;","plainTextFormattedCitation":"11","previouslyFormattedCitation":"&lt;sup&gt;11&lt;/sup&gt;"},"properties":{"noteIndex":0},"schema":"https://github.com/citation-style-language/schema/raw/master/csl-citation.json"}</w:instrText>
      </w:r>
      <w:r w:rsidRPr="00C06183">
        <w:rPr>
          <w:rFonts w:ascii="Arial" w:hAnsi="Arial" w:cs="Arial"/>
        </w:rPr>
        <w:fldChar w:fldCharType="separate"/>
      </w:r>
      <w:r w:rsidR="00A22975" w:rsidRPr="00A22975">
        <w:rPr>
          <w:rFonts w:ascii="Arial" w:hAnsi="Arial" w:cs="Arial"/>
          <w:noProof/>
          <w:vertAlign w:val="superscript"/>
        </w:rPr>
        <w:t>11</w:t>
      </w:r>
      <w:r w:rsidRPr="00C06183">
        <w:rPr>
          <w:rFonts w:ascii="Arial" w:hAnsi="Arial" w:cs="Arial"/>
        </w:rPr>
        <w:fldChar w:fldCharType="end"/>
      </w:r>
    </w:p>
    <w:p w14:paraId="1DD99DF0" w14:textId="77777777" w:rsidR="00C06183" w:rsidRPr="00C06183" w:rsidRDefault="00C06183" w:rsidP="00C06183">
      <w:pPr>
        <w:pStyle w:val="paragraph"/>
        <w:spacing w:before="0" w:beforeAutospacing="0" w:after="0" w:afterAutospacing="0" w:line="480" w:lineRule="auto"/>
        <w:ind w:firstLine="720"/>
        <w:jc w:val="both"/>
        <w:textAlignment w:val="baseline"/>
        <w:rPr>
          <w:rFonts w:ascii="Arial" w:hAnsi="Arial" w:cs="Arial"/>
        </w:rPr>
      </w:pPr>
    </w:p>
    <w:p w14:paraId="408CCBF1" w14:textId="3EA632E4" w:rsidR="00C06183" w:rsidRPr="00C06183" w:rsidRDefault="00E34AB4" w:rsidP="00022129">
      <w:pPr>
        <w:pStyle w:val="Heading3"/>
        <w:spacing w:line="480" w:lineRule="auto"/>
      </w:pPr>
      <w:bookmarkStart w:id="10" w:name="_Toc151032409"/>
      <w:r>
        <w:rPr>
          <w:rStyle w:val="normaltextrun"/>
          <w:rFonts w:cs="Arial"/>
          <w:bCs/>
        </w:rPr>
        <w:t>1.</w:t>
      </w:r>
      <w:r w:rsidR="00C06183" w:rsidRPr="00C06183">
        <w:rPr>
          <w:rStyle w:val="normaltextrun"/>
          <w:rFonts w:cs="Arial"/>
          <w:bCs/>
        </w:rPr>
        <w:t xml:space="preserve">2.2 </w:t>
      </w:r>
      <w:r w:rsidR="00C06183" w:rsidRPr="00C06183">
        <w:rPr>
          <w:rStyle w:val="normaltextrun"/>
          <w:rFonts w:cs="Arial"/>
          <w:bCs/>
        </w:rPr>
        <w:tab/>
        <w:t>Angiogenesis and tumor vasculature</w:t>
      </w:r>
      <w:bookmarkEnd w:id="10"/>
    </w:p>
    <w:p w14:paraId="7478A886" w14:textId="5624CB0E" w:rsidR="00C06183" w:rsidRPr="00C06183" w:rsidRDefault="00C06183" w:rsidP="00022129">
      <w:pPr>
        <w:pStyle w:val="paragraph"/>
        <w:spacing w:before="0" w:beforeAutospacing="0" w:after="0" w:afterAutospacing="0" w:line="480" w:lineRule="auto"/>
        <w:ind w:firstLine="720"/>
        <w:jc w:val="both"/>
        <w:textAlignment w:val="baseline"/>
        <w:rPr>
          <w:rStyle w:val="eop"/>
          <w:rFonts w:ascii="Arial" w:eastAsia="MS Mincho" w:hAnsi="Arial" w:cs="Arial"/>
        </w:rPr>
      </w:pPr>
      <w:r w:rsidRPr="00C06183">
        <w:rPr>
          <w:rStyle w:val="eop"/>
          <w:rFonts w:ascii="Arial" w:eastAsia="MS Mincho" w:hAnsi="Arial" w:cs="Arial"/>
        </w:rPr>
        <w:t xml:space="preserve">Angiogenesis and </w:t>
      </w:r>
      <w:proofErr w:type="spellStart"/>
      <w:r w:rsidRPr="00C06183">
        <w:rPr>
          <w:rStyle w:val="eop"/>
          <w:rFonts w:ascii="Arial" w:eastAsia="MS Mincho" w:hAnsi="Arial" w:cs="Arial"/>
        </w:rPr>
        <w:t>neoangiogenesis</w:t>
      </w:r>
      <w:proofErr w:type="spellEnd"/>
      <w:r w:rsidRPr="00C06183">
        <w:rPr>
          <w:rStyle w:val="eop"/>
          <w:rFonts w:ascii="Arial" w:eastAsia="MS Mincho" w:hAnsi="Arial" w:cs="Arial"/>
        </w:rPr>
        <w:t xml:space="preserve"> are VEGF-dependent processes of forming new blood vessels from preexisting vessels to supply nutrients and oxygen to tumors for development and growth</w:t>
      </w:r>
      <w:r w:rsidR="00715A23">
        <w:rPr>
          <w:rStyle w:val="eop"/>
          <w:rFonts w:ascii="Arial" w:eastAsia="MS Mincho" w:hAnsi="Arial" w:cs="Arial"/>
        </w:rPr>
        <w:t>.</w:t>
      </w:r>
      <w:r w:rsidRPr="00C06183">
        <w:rPr>
          <w:rStyle w:val="eop"/>
          <w:rFonts w:ascii="Arial" w:eastAsia="MS Mincho" w:hAnsi="Arial" w:cs="Arial"/>
        </w:rPr>
        <w:fldChar w:fldCharType="begin" w:fldLock="1"/>
      </w:r>
      <w:r w:rsidR="00A22975">
        <w:rPr>
          <w:rStyle w:val="eop"/>
          <w:rFonts w:ascii="Arial" w:eastAsia="MS Mincho" w:hAnsi="Arial" w:cs="Arial"/>
        </w:rPr>
        <w:instrText>ADDIN CSL_CITATION {"citationItems":[{"id":"ITEM-1","itemData":{"DOI":"10.1172/JCI0214940","ISSN":"00219738","author":[{"dropping-particle":"","family":"Moore","given":"Malcolm A.S.","non-dropping-particle":"","parse-names":false,"suffix":""}],"container-title":"Journal of Clinical Investigation","id":"ITEM-1","issue":"3","issued":{"date-parts":[["2002"]]},"page":"313-315","title":"Putting the neo into neoangiogenesis","type":"article-journal","volume":"109"},"uris":["http://www.mendeley.com/documents/?uuid=9119fe18-5283-418d-8c90-f1f0f657b764"]}],"mendeley":{"formattedCitation":"&lt;sup&gt;40&lt;/sup&gt;","plainTextFormattedCitation":"40","previouslyFormattedCitation":"&lt;sup&gt;40&lt;/sup&gt;"},"properties":{"noteIndex":0},"schema":"https://github.com/citation-style-language/schema/raw/master/csl-citation.json"}</w:instrText>
      </w:r>
      <w:r w:rsidRPr="00C06183">
        <w:rPr>
          <w:rStyle w:val="eop"/>
          <w:rFonts w:ascii="Arial" w:eastAsia="MS Mincho" w:hAnsi="Arial" w:cs="Arial"/>
        </w:rPr>
        <w:fldChar w:fldCharType="separate"/>
      </w:r>
      <w:r w:rsidR="00A22975" w:rsidRPr="00A22975">
        <w:rPr>
          <w:rStyle w:val="eop"/>
          <w:rFonts w:ascii="Arial" w:eastAsia="MS Mincho" w:hAnsi="Arial" w:cs="Arial"/>
          <w:noProof/>
          <w:vertAlign w:val="superscript"/>
        </w:rPr>
        <w:t>40</w:t>
      </w:r>
      <w:r w:rsidRPr="00C06183">
        <w:rPr>
          <w:rStyle w:val="eop"/>
          <w:rFonts w:ascii="Arial" w:eastAsia="MS Mincho" w:hAnsi="Arial" w:cs="Arial"/>
        </w:rPr>
        <w:fldChar w:fldCharType="end"/>
      </w:r>
      <w:r w:rsidRPr="00C06183">
        <w:rPr>
          <w:rStyle w:val="eop"/>
          <w:rFonts w:ascii="Arial" w:eastAsia="MS Mincho" w:hAnsi="Arial" w:cs="Arial"/>
        </w:rPr>
        <w:t xml:space="preserve"> In some tumors, tissue growth is so fast that tumor cells are located relatively far away from blood vessels, which induces hypoxia, i.e., oxygen deprivation. Hypoxic cells then overexpress VEGF leading to </w:t>
      </w:r>
      <w:proofErr w:type="spellStart"/>
      <w:r w:rsidRPr="00C06183">
        <w:rPr>
          <w:rStyle w:val="eop"/>
          <w:rFonts w:ascii="Arial" w:eastAsia="MS Mincho" w:hAnsi="Arial" w:cs="Arial"/>
        </w:rPr>
        <w:t>neoangiogenesis</w:t>
      </w:r>
      <w:proofErr w:type="spellEnd"/>
      <w:r w:rsidRPr="00C06183">
        <w:rPr>
          <w:rStyle w:val="eop"/>
          <w:rFonts w:ascii="Arial" w:eastAsia="MS Mincho" w:hAnsi="Arial" w:cs="Arial"/>
        </w:rPr>
        <w:t xml:space="preserve"> by recruitment of bone marrow derived endothelial progenitor cells to the tumor vascular bed, where these cells mature and release other pro-angiogenic growth factors</w:t>
      </w:r>
      <w:r w:rsidR="00715A23">
        <w:rPr>
          <w:rStyle w:val="eop"/>
          <w:rFonts w:ascii="Arial" w:eastAsia="MS Mincho" w:hAnsi="Arial" w:cs="Arial"/>
        </w:rPr>
        <w:t>.</w:t>
      </w:r>
      <w:r w:rsidRPr="00C06183">
        <w:rPr>
          <w:rStyle w:val="eop"/>
          <w:rFonts w:ascii="Arial" w:eastAsia="MS Mincho" w:hAnsi="Arial" w:cs="Arial"/>
        </w:rPr>
        <w:fldChar w:fldCharType="begin" w:fldLock="1"/>
      </w:r>
      <w:r w:rsidR="00A22975">
        <w:rPr>
          <w:rStyle w:val="eop"/>
          <w:rFonts w:ascii="Arial" w:eastAsia="MS Mincho" w:hAnsi="Arial" w:cs="Arial"/>
        </w:rPr>
        <w:instrText>ADDIN CSL_CITATION {"citationItems":[{"id":"ITEM-1","itemData":{"DOI":"10.1021/acs.bioconjchem.9b00448","ISSN":"15204812","abstract":"Compared to normal tissues, the tumor microenvironment (TME) has a number of aberrant characteristics including hypoxia, acidosis, and vascular abnormalities. Many researchers have sought to exploit these anomalous features of the TME to develop anticancer therapies, and several nanoparticle-based cancer therapeutics have resulted. In this Review, we discuss the composition and pathophysiology of the TME, introduce nanoparticles (NPs) used in cancer therapy, and address the interaction between the TME and NPs. Finally, we outline both the potential problems that affect TME-based nanotherapy and potential strategies to overcome these challenges.","author":[{"dropping-particle":"","family":"Huai","given":"Yanyan","non-dropping-particle":"","parse-names":false,"suffix":""},{"dropping-particle":"","family":"Hossen","given":"Md Nazir","non-dropping-particle":"","parse-names":false,"suffix":""},{"dropping-particle":"","family":"Wilhelm","given":"Stefan","non-dropping-particle":"","parse-names":false,"suffix":""},{"dropping-particle":"","family":"Bhattacharya","given":"Resham","non-dropping-particle":"","parse-names":false,"suffix":""},{"dropping-particle":"","family":"Mukherjee","given":"Priyabrata","non-dropping-particle":"","parse-names":false,"suffix":""}],"container-title":"Bioconjugate Chemistry","id":"ITEM-1","issue":"9","issued":{"date-parts":[["2019"]]},"page":"2247-2263","title":"Nanoparticle Interactions with the Tumor Microenvironment","type":"article-journal","volume":"30"},"uris":["http://www.mendeley.com/documents/?uuid=aa0be546-ee57-4965-9ff5-f6f27c792632"]},{"id":"ITEM-2","itemData":{"DOI":"10.3892/ol.2016.4733","ISSN":"17921082","abstract":"Tumor growth and progression require new blood vessel formation to deliver nutrients and oxygen for further cell proliferation and to create a neovascular network exit for tumor cell metastasis. Endothelial progenitor cells (EPCs) are a bone marrow (BM)-derived stem cell population that circulates in the peripheral circulation and homes to the tumor bed to participate in new blood vessel formation. In addition to structural support to nascent vessels, these cells can also regulate the angiogenic process by paracrine secretion of a number of proangiogenic growth factors and cytokines, thus playing a crucial role in tumor neovascularization and development. Inhibition of EPC-mediated new vessel formation may be a promising therapeutic strategy in tumor treatment. EPC-mediated neovascularization is a complex process that includes multiple steps and requires a series of cytokines and modulators, thus understanding the underlying mechanisms may provide anti-neovasculogenesis targets that may be blocked for the prevention of tumor development. The present review stresses the process and contribution of EPCs to the formation of new blood vessels in solid tumors, in an attempt to gain an improved understanding of the underlying cellular and molecular mechanisms involved, and to provide a potential effective therapeutic target for cancer treatment.","author":[{"dropping-particle":"","family":"Zhao","given":"Xin","non-dropping-particle":"","parse-names":false,"suffix":""},{"dropping-particle":"","family":"Liu","given":"Huan Qiu","non-dropping-particle":"","parse-names":false,"suffix":""},{"dropping-particle":"","family":"Li","given":"Ji","non-dropping-particle":"","parse-names":false,"suffix":""},{"dropping-particle":"","family":"Liu","given":"Xiao Liang","non-dropping-particle":"","parse-names":false,"suffix":""}],"container-title":"Oncology Letters","id":"ITEM-2","issue":"2","issued":{"date-parts":[["2016"]]},"page":"793-799","title":"Endothelial progenitor cells promote tumor growth and progression by enhancing new vessel formation (Review)","type":"article-journal","volume":"12"},"uris":["http://www.mendeley.com/documents/?uuid=cb5178c2-737a-4801-a3d5-b077185ee19a"]}],"mendeley":{"formattedCitation":"&lt;sup&gt;11,41&lt;/sup&gt;","plainTextFormattedCitation":"11,41","previouslyFormattedCitation":"&lt;sup&gt;11,41&lt;/sup&gt;"},"properties":{"noteIndex":0},"schema":"https://github.com/citation-style-language/schema/raw/master/csl-citation.json"}</w:instrText>
      </w:r>
      <w:r w:rsidRPr="00C06183">
        <w:rPr>
          <w:rStyle w:val="eop"/>
          <w:rFonts w:ascii="Arial" w:eastAsia="MS Mincho" w:hAnsi="Arial" w:cs="Arial"/>
        </w:rPr>
        <w:fldChar w:fldCharType="separate"/>
      </w:r>
      <w:r w:rsidR="00A22975" w:rsidRPr="00A22975">
        <w:rPr>
          <w:rStyle w:val="eop"/>
          <w:rFonts w:ascii="Arial" w:eastAsia="MS Mincho" w:hAnsi="Arial" w:cs="Arial"/>
          <w:noProof/>
          <w:vertAlign w:val="superscript"/>
        </w:rPr>
        <w:t>11,41</w:t>
      </w:r>
      <w:r w:rsidRPr="00C06183">
        <w:rPr>
          <w:rStyle w:val="eop"/>
          <w:rFonts w:ascii="Arial" w:eastAsia="MS Mincho" w:hAnsi="Arial" w:cs="Arial"/>
        </w:rPr>
        <w:fldChar w:fldCharType="end"/>
      </w:r>
      <w:r w:rsidRPr="00C06183">
        <w:rPr>
          <w:rStyle w:val="eop"/>
          <w:rFonts w:ascii="Arial" w:eastAsia="MS Mincho" w:hAnsi="Arial" w:cs="Arial"/>
        </w:rPr>
        <w:t xml:space="preserve"> </w:t>
      </w:r>
      <w:r w:rsidRPr="00C06183">
        <w:rPr>
          <w:rStyle w:val="normaltextrun"/>
          <w:rFonts w:ascii="Arial" w:hAnsi="Arial" w:cs="Arial"/>
          <w:color w:val="000000"/>
          <w:bdr w:val="none" w:sz="0" w:space="0" w:color="auto" w:frame="1"/>
        </w:rPr>
        <w:t>The newly formed tumor blood vessels are known to lack some of the structural integrity that is seen in healthy blood vessels. For example, tumor blood vessels may exhibit gaps between endothelial cells, and smooth muscle cells, pericytes, and basement membrane may be missing or exhibit discontinuity as a result of an abnormal expression of certain growth factors, such as angiopoietin-1</w:t>
      </w:r>
      <w:r w:rsidR="00715A23">
        <w:rPr>
          <w:rStyle w:val="normaltextrun"/>
          <w:rFonts w:ascii="Arial" w:hAnsi="Arial" w:cs="Arial"/>
          <w:color w:val="000000"/>
          <w:bdr w:val="none" w:sz="0" w:space="0" w:color="auto" w:frame="1"/>
        </w:rPr>
        <w:t>.</w:t>
      </w:r>
      <w:r w:rsidRPr="00C06183">
        <w:rPr>
          <w:rStyle w:val="eop"/>
          <w:rFonts w:ascii="Arial" w:eastAsia="MS Mincho" w:hAnsi="Arial" w:cs="Arial"/>
        </w:rPr>
        <w:fldChar w:fldCharType="begin" w:fldLock="1"/>
      </w:r>
      <w:r w:rsidR="00A22975">
        <w:rPr>
          <w:rStyle w:val="eop"/>
          <w:rFonts w:ascii="Arial" w:eastAsia="MS Mincho" w:hAnsi="Arial" w:cs="Arial"/>
        </w:rPr>
        <w:instrText>ADDIN CSL_CITATION {"citationItems":[{"id":"ITEM-1","itemData":{"DOI":"10.1038/sj.cr.7290176","ISSN":"10010602","abstract":"A tumor vasculature is highly unstable and immature, characterized by a high proliferation rate of endothelial cells, hyper-permeability, and chaotic blood flow. The dysfunctional vasculature gives rise to continual plasma leakage and hypoxia in the tumor, resulting in constant on-sets of inflammation and angiogenesis. Tumors are thus likened to wounds that will not heal. The lack of functional mural cells, including pericytes and vascular smooth muscle cells, in tumor vascular structure contributes significantly to the abnormality of tumor vessels. Angiopoietin-1 (Ang1) is a physiological angiogenesis promoter during embryonic development. The function of Ang1 is essential to endothelial cell survival, vascular branching, and pericyte recruitment. However, an increasing amount of experimental data suggest that Ang1-stimulated association of mural cells with endothelial cells lead to stabilization of newly formed blood vessels. This in turn may limit the otherwise continuous angiogenesis in the tumor, and consequently give rise to inhibition of tumor growth. We discuss the enigmatic role of Ang1 in tumor angiogenesis in this review.","author":[{"dropping-particle":"","family":"Metheny-Barlow","given":"Linda J.","non-dropping-particle":"","parse-names":false,"suffix":""},{"dropping-particle":"","family":"Li","given":"Lu Yuan","non-dropping-particle":"","parse-names":false,"suffix":""}],"container-title":"Cell Research","id":"ITEM-1","issue":"5","issued":{"date-parts":[["2003"]]},"page":"309-317","title":"The enigmatic role of angiopoietin-1 in tumor angiogenesis","type":"article-journal","volume":"13"},"uris":["http://www.mendeley.com/documents/?uuid=2f0b0445-b81c-4591-b2b8-e56475498f89"]}],"mendeley":{"formattedCitation":"&lt;sup&gt;42&lt;/sup&gt;","plainTextFormattedCitation":"42","previouslyFormattedCitation":"&lt;sup&gt;42&lt;/sup&gt;"},"properties":{"noteIndex":0},"schema":"https://github.com/citation-style-language/schema/raw/master/csl-citation.json"}</w:instrText>
      </w:r>
      <w:r w:rsidRPr="00C06183">
        <w:rPr>
          <w:rStyle w:val="eop"/>
          <w:rFonts w:ascii="Arial" w:eastAsia="MS Mincho" w:hAnsi="Arial" w:cs="Arial"/>
        </w:rPr>
        <w:fldChar w:fldCharType="separate"/>
      </w:r>
      <w:r w:rsidR="00A22975" w:rsidRPr="00A22975">
        <w:rPr>
          <w:rStyle w:val="eop"/>
          <w:rFonts w:ascii="Arial" w:eastAsia="MS Mincho" w:hAnsi="Arial" w:cs="Arial"/>
          <w:noProof/>
          <w:vertAlign w:val="superscript"/>
        </w:rPr>
        <w:t>42</w:t>
      </w:r>
      <w:r w:rsidRPr="00C06183">
        <w:rPr>
          <w:rStyle w:val="eop"/>
          <w:rFonts w:ascii="Arial" w:eastAsia="MS Mincho" w:hAnsi="Arial" w:cs="Arial"/>
        </w:rPr>
        <w:fldChar w:fldCharType="end"/>
      </w:r>
      <w:r w:rsidRPr="00C06183">
        <w:rPr>
          <w:rStyle w:val="eop"/>
          <w:rFonts w:ascii="Arial" w:eastAsia="MS Mincho" w:hAnsi="Arial" w:cs="Arial"/>
        </w:rPr>
        <w:t xml:space="preserve"> </w:t>
      </w:r>
    </w:p>
    <w:p w14:paraId="53E623ED" w14:textId="276CE1E9" w:rsidR="00C06183" w:rsidRPr="00C06183" w:rsidRDefault="00C06183" w:rsidP="00C06183">
      <w:pPr>
        <w:pStyle w:val="paragraph"/>
        <w:spacing w:before="0" w:beforeAutospacing="0" w:after="0" w:afterAutospacing="0" w:line="480" w:lineRule="auto"/>
        <w:ind w:firstLine="720"/>
        <w:jc w:val="both"/>
        <w:textAlignment w:val="baseline"/>
        <w:rPr>
          <w:rStyle w:val="eop"/>
          <w:rFonts w:ascii="Arial" w:eastAsia="MS Mincho" w:hAnsi="Arial" w:cs="Arial"/>
        </w:rPr>
      </w:pPr>
      <w:r w:rsidRPr="00C06183">
        <w:rPr>
          <w:rStyle w:val="normaltextrun"/>
          <w:rFonts w:ascii="Arial" w:hAnsi="Arial" w:cs="Arial"/>
          <w:color w:val="000000"/>
          <w:shd w:val="clear" w:color="auto" w:fill="FFFFFF"/>
        </w:rPr>
        <w:lastRenderedPageBreak/>
        <w:t>Dvorak et al. described six distinct types of tumor blood vessels: (</w:t>
      </w:r>
      <w:proofErr w:type="spellStart"/>
      <w:r w:rsidRPr="00C06183">
        <w:rPr>
          <w:rStyle w:val="normaltextrun"/>
          <w:rFonts w:ascii="Arial" w:hAnsi="Arial" w:cs="Arial"/>
          <w:color w:val="000000"/>
          <w:shd w:val="clear" w:color="auto" w:fill="FFFFFF"/>
        </w:rPr>
        <w:t>i</w:t>
      </w:r>
      <w:proofErr w:type="spellEnd"/>
      <w:r w:rsidRPr="00C06183">
        <w:rPr>
          <w:rStyle w:val="normaltextrun"/>
          <w:rFonts w:ascii="Arial" w:hAnsi="Arial" w:cs="Arial"/>
          <w:color w:val="000000"/>
          <w:shd w:val="clear" w:color="auto" w:fill="FFFFFF"/>
        </w:rPr>
        <w:t xml:space="preserve">) mother vessels (MVs); (ii) </w:t>
      </w:r>
      <w:proofErr w:type="spellStart"/>
      <w:r w:rsidRPr="00C06183">
        <w:rPr>
          <w:rStyle w:val="normaltextrun"/>
          <w:rFonts w:ascii="Arial" w:hAnsi="Arial" w:cs="Arial"/>
          <w:color w:val="000000"/>
          <w:shd w:val="clear" w:color="auto" w:fill="FFFFFF"/>
        </w:rPr>
        <w:t>glomeruloid</w:t>
      </w:r>
      <w:proofErr w:type="spellEnd"/>
      <w:r w:rsidRPr="00C06183">
        <w:rPr>
          <w:rStyle w:val="normaltextrun"/>
          <w:rFonts w:ascii="Arial" w:hAnsi="Arial" w:cs="Arial"/>
          <w:color w:val="000000"/>
          <w:shd w:val="clear" w:color="auto" w:fill="FFFFFF"/>
        </w:rPr>
        <w:t xml:space="preserve"> microvascular proliferations (GMPs); (iii) capillaries; (iv) vascular malformations (VMs); (v) feeding arteries (FAs); and (vi) draining veins (DVs) (Figure </w:t>
      </w:r>
      <w:r w:rsidR="000E44BA">
        <w:rPr>
          <w:rStyle w:val="normaltextrun"/>
          <w:rFonts w:ascii="Arial" w:hAnsi="Arial" w:cs="Arial"/>
          <w:color w:val="000000"/>
          <w:shd w:val="clear" w:color="auto" w:fill="FFFFFF"/>
        </w:rPr>
        <w:t>1.</w:t>
      </w:r>
      <w:r w:rsidRPr="00C06183">
        <w:rPr>
          <w:rStyle w:val="normaltextrun"/>
          <w:rFonts w:ascii="Arial" w:hAnsi="Arial" w:cs="Arial"/>
          <w:color w:val="000000"/>
          <w:shd w:val="clear" w:color="auto" w:fill="FFFFFF"/>
        </w:rPr>
        <w:t>2)</w:t>
      </w:r>
      <w:r w:rsidR="00715A23">
        <w:rPr>
          <w:rStyle w:val="normaltextrun"/>
          <w:rFonts w:ascii="Arial" w:hAnsi="Arial" w:cs="Arial"/>
          <w:color w:val="000000"/>
          <w:shd w:val="clear" w:color="auto" w:fill="FFFFFF"/>
        </w:rPr>
        <w:t>.</w:t>
      </w:r>
      <w:r w:rsidRPr="00C06183">
        <w:rPr>
          <w:rStyle w:val="eop"/>
          <w:rFonts w:ascii="Arial" w:eastAsia="MS Mincho" w:hAnsi="Arial" w:cs="Arial"/>
        </w:rPr>
        <w:fldChar w:fldCharType="begin" w:fldLock="1"/>
      </w:r>
      <w:r w:rsidR="00A22975">
        <w:rPr>
          <w:rStyle w:val="eop"/>
          <w:rFonts w:ascii="Arial" w:eastAsia="MS Mincho" w:hAnsi="Arial" w:cs="Arial"/>
        </w:rPr>
        <w:instrText>ADDIN CSL_CITATION {"citationItems":[{"id":"ITEM-1","itemData":{"DOI":"10.1038/sj.bjc.6604929","ISSN":"00070920","PMID":"19240721","abstract":"Tumour blood vessels differ from their normal counterparts for reasons that have received little attention. We report here that they are of at least six distinct types, we describe how each forms, and, looking forward, encourage the targeting of tumour vessel subsets that have lost their vascular endothelial growth factor-A (VEGF-A) dependency and so are likely unresponsive to anti-VEGF-A therapies. © 2009 Cancer Research.","author":[{"dropping-particle":"","family":"Nagy","given":"J. A.","non-dropping-particle":"","parse-names":false,"suffix":""},{"dropping-particle":"","family":"Chang","given":"S. H.","non-dropping-particle":"","parse-names":false,"suffix":""},{"dropping-particle":"","family":"Dvorak","given":"A. M.","non-dropping-particle":"","parse-names":false,"suffix":""},{"dropping-particle":"","family":"Dvorak","given":"H. F.","non-dropping-particle":"","parse-names":false,"suffix":""}],"container-title":"British Journal of Cancer","id":"ITEM-1","issue":"6","issued":{"date-parts":[["2009"]]},"page":"865-869","title":"Why are tumour blood vessels abnormal and why is it important to know?","type":"article-journal","volume":"100"},"uris":["http://www.mendeley.com/documents/?uuid=83395f0f-fb69-405e-bac4-02c8bde423b3"]}],"mendeley":{"formattedCitation":"&lt;sup&gt;43&lt;/sup&gt;","plainTextFormattedCitation":"43","previouslyFormattedCitation":"&lt;sup&gt;43&lt;/sup&gt;"},"properties":{"noteIndex":0},"schema":"https://github.com/citation-style-language/schema/raw/master/csl-citation.json"}</w:instrText>
      </w:r>
      <w:r w:rsidRPr="00C06183">
        <w:rPr>
          <w:rStyle w:val="eop"/>
          <w:rFonts w:ascii="Arial" w:eastAsia="MS Mincho" w:hAnsi="Arial" w:cs="Arial"/>
        </w:rPr>
        <w:fldChar w:fldCharType="separate"/>
      </w:r>
      <w:r w:rsidR="00A22975" w:rsidRPr="00A22975">
        <w:rPr>
          <w:rStyle w:val="eop"/>
          <w:rFonts w:ascii="Arial" w:eastAsia="MS Mincho" w:hAnsi="Arial" w:cs="Arial"/>
          <w:noProof/>
          <w:vertAlign w:val="superscript"/>
        </w:rPr>
        <w:t>43</w:t>
      </w:r>
      <w:r w:rsidRPr="00C06183">
        <w:rPr>
          <w:rStyle w:val="eop"/>
          <w:rFonts w:ascii="Arial" w:eastAsia="MS Mincho" w:hAnsi="Arial" w:cs="Arial"/>
        </w:rPr>
        <w:fldChar w:fldCharType="end"/>
      </w:r>
      <w:r w:rsidRPr="00C06183">
        <w:rPr>
          <w:rStyle w:val="eop"/>
          <w:rFonts w:ascii="Arial" w:eastAsia="MS Mincho" w:hAnsi="Arial" w:cs="Arial"/>
        </w:rPr>
        <w:t xml:space="preserve"> </w:t>
      </w:r>
      <w:r w:rsidRPr="00C06183">
        <w:rPr>
          <w:rStyle w:val="normaltextrun"/>
          <w:rFonts w:ascii="Arial" w:hAnsi="Arial" w:cs="Arial"/>
          <w:color w:val="000000"/>
          <w:shd w:val="clear" w:color="auto" w:fill="FFFFFF"/>
        </w:rPr>
        <w:t>Mother vessels are the first angiogenic blood vessels to form from existing venules and capillaries after the degradation of basement membrane, which provides structural support, and the detachment of pericytes, which help control blood flow</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{"citationItems":[{"id":"ITEM-1","itemData":{"DOI":"10.1215/s1152851705000232","ISBN":"1152851705","ISSN":"1522-8517","abstract":"Blood vessels are composed of two interacting cell types. Endothelial cells form the inner lining of the vessel wall, and perivascular cells--referred to as pericytes, vascular smooth muscle cells or mural cells--envelop the surface of the vascular tube. Over the last decades, studies of blood vessels have concentrated mainly on the endothelial cell component, especially when the first angiogenic factors were discovered, while the interest in pericytes has lagged behind. Pericytes are, however, functionally significant; when vessels lose pericytes, they become hemorrhagic and hyperdilated, which leads to conditions such as edema, diabetic retinopathy, and even embryonic lethality. Recently, pericytes have gained new attention as functional and critical contributors to tumor angiogenesis and therefore as potential new targets for antiangiogenic therapies. Pericytes are complex. Their ontogeny is not completely understood, and they perform various functions throughout the body. This review article describes the current knowledge about the nature of pericytes and their functions during vessel growth, vessel maintenance, and pathological angiogenesis.","author":[{"dropping-particle":"","family":"Bergers","given":"Gabriele","non-dropping-particle":"","parse-names":false,"suffix":""},{"dropping-particle":"","family":"Song","given":"Steven","non-dropping-particle":"","parse-names":false,"suffix":""}],"container-title":"Neuro-Oncology","id":"ITEM-1","issue":"4","issued":{"date-parts":[["2005"]]},"page":"452-464","title":"The role of pericytes in blood-vessel formation and maintenance","type":"article-journal","volume":"7"},"uris":["http://www.mendeley.com/documents/?uuid=1e5fdf35-08a4-49ad-b2cb-088241ea44b4"]}],"mendeley":{"formattedCitation":"&lt;sup&gt;44&lt;/sup&gt;","plainTextFormattedCitation":"44","previouslyFormattedCitation":"&lt;sup&gt;44&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44</w:t>
      </w:r>
      <w:r w:rsidRPr="00C06183">
        <w:rPr>
          <w:rStyle w:val="normaltextrun"/>
          <w:rFonts w:ascii="Arial" w:hAnsi="Arial" w:cs="Arial"/>
          <w:color w:val="000000"/>
          <w:shd w:val="clear" w:color="auto" w:fill="FFFFFF"/>
        </w:rPr>
        <w:fldChar w:fldCharType="end"/>
      </w:r>
      <w:r w:rsidRPr="00C06183">
        <w:rPr>
          <w:rStyle w:val="normaltextrun"/>
          <w:rFonts w:ascii="Arial" w:hAnsi="Arial" w:cs="Arial"/>
          <w:color w:val="000000"/>
          <w:shd w:val="clear" w:color="auto" w:fill="FFFFFF"/>
        </w:rPr>
        <w:t xml:space="preserve"> This process allows for blood vessel expansion through the intravascular hydrostatic pressure, given that the two aforementioned vessel features that prevent vessel growth are removed, resulting in a thinned and highly permeable endothelium. When MVs collapse, GMPs are formed that accumulate pericytes and macrophages, while also making new basement membrane. Alternatively, MVs can accumulate smooth muscle cells and perivascular collagen to become VMs, which effectively reduces their permeability. Through </w:t>
      </w:r>
      <w:proofErr w:type="spellStart"/>
      <w:r w:rsidRPr="00C06183">
        <w:rPr>
          <w:rStyle w:val="normaltextrun"/>
          <w:rFonts w:ascii="Arial" w:hAnsi="Arial" w:cs="Arial"/>
          <w:color w:val="000000"/>
          <w:shd w:val="clear" w:color="auto" w:fill="FFFFFF"/>
        </w:rPr>
        <w:t>arteriovenogenesis</w:t>
      </w:r>
      <w:proofErr w:type="spellEnd"/>
      <w:r w:rsidRPr="00C06183">
        <w:rPr>
          <w:rStyle w:val="normaltextrun"/>
          <w:rFonts w:ascii="Arial" w:hAnsi="Arial" w:cs="Arial"/>
          <w:color w:val="000000"/>
          <w:shd w:val="clear" w:color="auto" w:fill="FFFFFF"/>
        </w:rPr>
        <w:t>, FAs and DVs are formed from existing healthy veins and arteries, to supply and drain blood to and from the other types of tumor blood vessels</w:t>
      </w:r>
      <w:r w:rsidR="00715A23">
        <w:rPr>
          <w:rStyle w:val="normaltextrun"/>
          <w:rFonts w:ascii="Arial" w:hAnsi="Arial" w:cs="Arial"/>
          <w:color w:val="000000"/>
          <w:shd w:val="clear" w:color="auto" w:fill="FFFFFF"/>
        </w:rPr>
        <w:t>.</w:t>
      </w:r>
      <w:r w:rsidRPr="00C06183">
        <w:rPr>
          <w:rStyle w:val="eop"/>
          <w:rFonts w:ascii="Arial" w:eastAsia="MS Mincho" w:hAnsi="Arial" w:cs="Arial"/>
        </w:rPr>
        <w:fldChar w:fldCharType="begin" w:fldLock="1"/>
      </w:r>
      <w:r w:rsidR="00A22975">
        <w:rPr>
          <w:rStyle w:val="eop"/>
          <w:rFonts w:ascii="Arial" w:eastAsia="MS Mincho" w:hAnsi="Arial" w:cs="Arial"/>
        </w:rPr>
        <w:instrText>ADDIN CSL_CITATION {"citationItems":[{"id":"ITEM-1","itemData":{"DOI":"10.1097/PPO.0000000000000124","ISSN":"1540336X","abstract":"Solid tumors generally require a vascularized connective tissue stroma if they are to grow beyond minimal size. They generate that stroma in part by secreting vascular endothelial growth factor (VEGF), a potent vascular permeability and angiogenic factor. Increased vascular permeability leads to deposition of a provisional fibrin stroma, which supports tumor, connective tissue, and inflammatory cell migration and plays an active role in the formation of mature vascularized stroma. Vascular endothelial growth factor-induced tumor blood vessels are heterogeneous, of at least 6 distinct types, and develop linearly over time. They include both angiogenic (mother vessels, glomeruloid microvascular proliferations, vascular malformations, capillaries) and arteriovenogenic (feeding arteries, draining veins) blood vessels. Attacking the tumor vasculature with drugs that target VEGF or its receptors (VEGFR) has come into vogue but has been less effective than had been hope for. One reason for this is that anti-VEGF/VEGFR therapy attacks only a subset of tumor blood vessels, the earliest to form. New targets on late-forming blood vessels such as feeding arteries would be useful in helping antivascular cancer therapy fulfill its promise. ©","author":[{"dropping-particle":"","family":"Dvorak","given":"Harold F.","non-dropping-particle":"","parse-names":false,"suffix":""}],"container-title":"Cancer Journal (United States)","id":"ITEM-1","issue":"4","issued":{"date-parts":[["2015"]]},"page":"237-243","title":"Tumor Stroma, Tumor Blood Vessels, and Antiangiogenesis Therapy","type":"article-journal","volume":"21"},"uris":["http://www.mendeley.com/documents/?uuid=ae3ea6c5-d028-4c9b-a4ff-e776b764cdd1"]}],"mendeley":{"formattedCitation":"&lt;sup&gt;31&lt;/sup&gt;","plainTextFormattedCitation":"31","previouslyFormattedCitation":"&lt;sup&gt;31&lt;/sup&gt;"},"properties":{"noteIndex":0},"schema":"https://github.com/citation-style-language/schema/raw/master/csl-citation.json"}</w:instrText>
      </w:r>
      <w:r w:rsidRPr="00C06183">
        <w:rPr>
          <w:rStyle w:val="eop"/>
          <w:rFonts w:ascii="Arial" w:eastAsia="MS Mincho" w:hAnsi="Arial" w:cs="Arial"/>
        </w:rPr>
        <w:fldChar w:fldCharType="separate"/>
      </w:r>
      <w:r w:rsidR="00A22975" w:rsidRPr="00A22975">
        <w:rPr>
          <w:rStyle w:val="eop"/>
          <w:rFonts w:ascii="Arial" w:eastAsia="MS Mincho" w:hAnsi="Arial" w:cs="Arial"/>
          <w:noProof/>
          <w:vertAlign w:val="superscript"/>
        </w:rPr>
        <w:t>31</w:t>
      </w:r>
      <w:r w:rsidRPr="00C06183">
        <w:rPr>
          <w:rStyle w:val="eop"/>
          <w:rFonts w:ascii="Arial" w:eastAsia="MS Mincho" w:hAnsi="Arial" w:cs="Arial"/>
        </w:rPr>
        <w:fldChar w:fldCharType="end"/>
      </w:r>
      <w:r w:rsidRPr="00C06183">
        <w:rPr>
          <w:rStyle w:val="eop"/>
          <w:rFonts w:ascii="Arial" w:eastAsia="MS Mincho" w:hAnsi="Arial" w:cs="Arial"/>
        </w:rPr>
        <w:t xml:space="preserve"> </w:t>
      </w:r>
    </w:p>
    <w:p w14:paraId="3EFD0FB1" w14:textId="1A13447D" w:rsidR="00C06183" w:rsidRPr="00C06183" w:rsidRDefault="00C06183" w:rsidP="00C06183">
      <w:pPr>
        <w:pStyle w:val="paragraph"/>
        <w:spacing w:before="0" w:beforeAutospacing="0" w:after="0" w:afterAutospacing="0" w:line="480" w:lineRule="auto"/>
        <w:ind w:firstLine="720"/>
        <w:jc w:val="both"/>
        <w:textAlignment w:val="baseline"/>
        <w:rPr>
          <w:rStyle w:val="eop"/>
          <w:rFonts w:ascii="Arial" w:eastAsia="MS Mincho" w:hAnsi="Arial" w:cs="Arial"/>
          <w:color w:val="000000"/>
          <w:shd w:val="clear" w:color="auto" w:fill="FFFFFF"/>
        </w:rPr>
      </w:pPr>
      <w:r w:rsidRPr="00C06183">
        <w:rPr>
          <w:rStyle w:val="normaltextrun"/>
          <w:rFonts w:ascii="Arial" w:hAnsi="Arial" w:cs="Arial"/>
          <w:color w:val="000000"/>
          <w:shd w:val="clear" w:color="auto" w:fill="FFFFFF"/>
        </w:rPr>
        <w:t>These differences in blood vessel structure are important to note for nanomedicine delivery purposes, as nanoparticles may likely interact with each type of blood vessel differently, which could result in varying nanoparticle delivery efficiencies throughout a single solid tumor. The differences could be potentially exploited, however, by designing nanoparticles that specifically target features that are present in some types of tumor vessels but not others, such as pericytes</w:t>
      </w:r>
      <w:r w:rsidR="00715A23">
        <w:rPr>
          <w:rStyle w:val="normaltextrun"/>
          <w:rFonts w:ascii="Arial" w:hAnsi="Arial" w:cs="Arial"/>
          <w:color w:val="000000"/>
          <w:shd w:val="clear" w:color="auto" w:fill="FFFFFF"/>
        </w:rPr>
        <w:t>,</w:t>
      </w:r>
      <w:r w:rsidRPr="00C06183">
        <w:rPr>
          <w:rStyle w:val="normaltextrun"/>
          <w:rFonts w:ascii="Arial" w:hAnsi="Arial" w:cs="Arial"/>
          <w:color w:val="000000"/>
          <w:shd w:val="clear" w:color="auto" w:fill="FFFFFF"/>
        </w:rPr>
        <w:fldChar w:fldCharType="begin" w:fldLock="1"/>
      </w:r>
      <w:r w:rsidR="00A22975">
        <w:rPr>
          <w:rStyle w:val="normaltextrun"/>
          <w:rFonts w:ascii="Arial" w:hAnsi="Arial" w:cs="Arial"/>
          <w:color w:val="000000"/>
          <w:shd w:val="clear" w:color="auto" w:fill="FFFFFF"/>
        </w:rPr>
        <w:instrText>ADDIN CSL_CITATION {"citationItems":[{"id":"ITEM-1","itemData":{"DOI":"10.2147/IJN.S105274","ISSN":"11782013","abstract":"Pericytes are contractile mural cells that wrap around the endothelial cells of capillaries and venules. Depending on the triggers by cellular signals, pericytes have specific functionality in tumor microenvironments, properties of potent stem cells, and plasticity in cellular pathology. These features of pericytes can be activated for the promotion or reduction of angiogenesis. Frontier studies have exploited pericyte-targeting drug delivery, using pericyte-specific peptides, small molecules, and DNA in tumor therapy. Moreover, the communication between pericytes and endothelial cells has been applied to the induction of vessel neoformation in tissue engineering. Pericytes may prove to be a novel target for tumor therapy and tissue engineering. The present paper specifically reviews pericyte-specific drug delivery and tissue engineering, allowing insight into the emerging research targeting pericytes.","author":[{"dropping-particle":"","family":"Kang","given":"Eunah","non-dropping-particle":"","parse-names":false,"suffix":""},{"dropping-particle":"","family":"Shin","given":"Jong Wook","non-dropping-particle":"","parse-names":false,"suffix":""}],"container-title":"International Journal of Nanomedicine","id":"ITEM-1","issued":{"date-parts":[["2016"]]},"page":"2397-2406","title":"Pericyte-targeting drug delivery and tissue engineering","type":"article-journal","volume":"11"},"uris":["http://www.mendeley.com/documents/?uuid=dc424265-31d5-48ba-acb2-4482e2c3e3d4"]}],"mendeley":{"formattedCitation":"&lt;sup&gt;45&lt;/sup&gt;","plainTextFormattedCitation":"45","previouslyFormattedCitation":"&lt;sup&gt;45&lt;/sup&gt;"},"properties":{"noteIndex":0},"schema":"https://github.com/citation-style-language/schema/raw/master/csl-citation.json"}</w:instrText>
      </w:r>
      <w:r w:rsidRPr="00C06183">
        <w:rPr>
          <w:rStyle w:val="normaltextrun"/>
          <w:rFonts w:ascii="Arial" w:hAnsi="Arial" w:cs="Arial"/>
          <w:color w:val="000000"/>
          <w:shd w:val="clear" w:color="auto" w:fill="FFFFFF"/>
        </w:rPr>
        <w:fldChar w:fldCharType="separate"/>
      </w:r>
      <w:r w:rsidR="00A22975" w:rsidRPr="00A22975">
        <w:rPr>
          <w:rStyle w:val="normaltextrun"/>
          <w:rFonts w:ascii="Arial" w:hAnsi="Arial" w:cs="Arial"/>
          <w:noProof/>
          <w:color w:val="000000"/>
          <w:shd w:val="clear" w:color="auto" w:fill="FFFFFF"/>
          <w:vertAlign w:val="superscript"/>
        </w:rPr>
        <w:t>45</w:t>
      </w:r>
      <w:r w:rsidRPr="00C06183">
        <w:rPr>
          <w:rStyle w:val="normaltextrun"/>
          <w:rFonts w:ascii="Arial" w:hAnsi="Arial" w:cs="Arial"/>
          <w:color w:val="000000"/>
          <w:shd w:val="clear" w:color="auto" w:fill="FFFFFF"/>
        </w:rPr>
        <w:fldChar w:fldCharType="end"/>
      </w:r>
      <w:r w:rsidRPr="00C06183">
        <w:rPr>
          <w:rStyle w:val="normaltextrun"/>
          <w:rFonts w:ascii="Arial" w:hAnsi="Arial" w:cs="Arial"/>
          <w:color w:val="000000"/>
          <w:shd w:val="clear" w:color="auto" w:fill="FFFFFF"/>
        </w:rPr>
        <w:t xml:space="preserve"> for better tumor accumulation and localization. </w:t>
      </w:r>
    </w:p>
    <w:p w14:paraId="40E24153" w14:textId="33F0B573" w:rsidR="00A22975" w:rsidRDefault="00C06183" w:rsidP="00A22975">
      <w:pPr>
        <w:pStyle w:val="paragraph"/>
        <w:spacing w:before="0" w:beforeAutospacing="0" w:after="0" w:afterAutospacing="0" w:line="480" w:lineRule="auto"/>
        <w:ind w:firstLine="720"/>
        <w:jc w:val="both"/>
        <w:textAlignment w:val="baseline"/>
        <w:rPr>
          <w:rStyle w:val="normaltextrun"/>
          <w:rFonts w:ascii="Arial" w:hAnsi="Arial" w:cs="Arial"/>
          <w:color w:val="000000"/>
          <w:shd w:val="clear" w:color="auto" w:fill="FFFFFF"/>
        </w:rPr>
      </w:pPr>
      <w:r w:rsidRPr="00C06183">
        <w:rPr>
          <w:rStyle w:val="normaltextrun"/>
          <w:rFonts w:ascii="Arial" w:hAnsi="Arial" w:cs="Arial"/>
          <w:color w:val="000000"/>
          <w:bdr w:val="none" w:sz="0" w:space="0" w:color="auto" w:frame="1"/>
        </w:rPr>
        <w:t xml:space="preserve">The intercellular gaps between endothelial cells in tumor blood vessels form the basis for nanoparticle extravasation according to the EPR effect. The EPR effect suggests that nanoparticles extravasate passively from tumor blood vessels to the tumor </w:t>
      </w:r>
      <w:r w:rsidRPr="00C06183">
        <w:rPr>
          <w:rStyle w:val="normaltextrun"/>
          <w:rFonts w:ascii="Arial" w:hAnsi="Arial" w:cs="Arial"/>
          <w:color w:val="000000"/>
          <w:bdr w:val="none" w:sz="0" w:space="0" w:color="auto" w:frame="1"/>
        </w:rPr>
        <w:lastRenderedPageBreak/>
        <w:t xml:space="preserve">microenvironment by convection and diffusion through the leaky vasculature. In addition, it is suggested that the impaired lymphatic system within solid tumors reduces </w:t>
      </w:r>
      <w:r w:rsidRPr="008D2F80">
        <w:rPr>
          <w:rStyle w:val="normaltextrun"/>
          <w:rFonts w:ascii="Arial" w:hAnsi="Arial" w:cs="Arial"/>
          <w:color w:val="000000"/>
          <w:bdr w:val="none" w:sz="0" w:space="0" w:color="auto" w:frame="1"/>
        </w:rPr>
        <w:t>nanoparticle clearance</w:t>
      </w:r>
      <w:r w:rsidR="00715A23" w:rsidRPr="008D2F80">
        <w:rPr>
          <w:rStyle w:val="normaltextrun"/>
          <w:rFonts w:ascii="Arial" w:hAnsi="Arial" w:cs="Arial"/>
          <w:color w:val="000000"/>
          <w:bdr w:val="none" w:sz="0" w:space="0" w:color="auto" w:frame="1"/>
        </w:rPr>
        <w:t>.</w:t>
      </w:r>
      <w:r w:rsidRPr="008D2F80">
        <w:rPr>
          <w:rStyle w:val="eop"/>
          <w:rFonts w:ascii="Arial" w:eastAsia="MS Mincho" w:hAnsi="Arial" w:cs="Arial"/>
        </w:rPr>
        <w:fldChar w:fldCharType="begin" w:fldLock="1"/>
      </w:r>
      <w:r w:rsidR="00A22975" w:rsidRPr="008D2F80">
        <w:rPr>
          <w:rStyle w:val="eop"/>
          <w:rFonts w:ascii="Arial" w:eastAsia="MS Mincho" w:hAnsi="Arial" w:cs="Arial"/>
        </w:rPr>
        <w:instrText>ADDIN CSL_CITATION {"citationItems":[{"id":"ITEM-1","itemData":{"DOI":"10.1016/S0168-3659(99)00248-5","ISSN":"01683659","author":[{"dropping-particle":"","family":"Maeda","given":"H","non-dropping-particle":"","parse-names":false,"suffix":""},{"dropping-particle":"","family":"Wu","given":"J","non-dropping-particle":"","parse-names":false,"suffix":""},{"dropping-particle":"","family":"Sawa","given":"T","non-dropping-particle":"","parse-names":false,"suffix":""},{"dropping-particle":"","family":"Matsumura","given":"Y","non-dropping-particle":"","parse-names":false,"suffix":""},{"dropping-particle":"","family":"Hori","given":"K","non-dropping-particle":"","parse-names":false,"suffix":""}],"container-title":"Journal of Controlled Release","id":"ITEM-1","issue":"1-2","issued":{"date-parts":[["2000","3"]]},"page":"271-284","title":"Tumor vascular permeability and the EPR effect in macromolecular therapeutics: a review","type":"article-journal","volume":"65"},"uris":["http://www.mendeley.com/documents/?uuid=b583cd91-34d1-4dbd-a2ee-68f9143ea9ec"]}],"mendeley":{"formattedCitation":"&lt;sup&gt;26&lt;/sup&gt;","plainTextFormattedCitation":"26","previouslyFormattedCitation":"&lt;sup&gt;26&lt;/sup&gt;"},"properties":{"noteIndex":0},"schema":"https://github.com/citation-style-language/schema/raw/master/csl-citation.json"}</w:instrText>
      </w:r>
      <w:r w:rsidRPr="008D2F80">
        <w:rPr>
          <w:rStyle w:val="eop"/>
          <w:rFonts w:ascii="Arial" w:eastAsia="MS Mincho" w:hAnsi="Arial" w:cs="Arial"/>
        </w:rPr>
        <w:fldChar w:fldCharType="separate"/>
      </w:r>
      <w:r w:rsidR="00A22975" w:rsidRPr="008D2F80">
        <w:rPr>
          <w:rStyle w:val="eop"/>
          <w:rFonts w:ascii="Arial" w:eastAsia="MS Mincho" w:hAnsi="Arial" w:cs="Arial"/>
          <w:noProof/>
          <w:vertAlign w:val="superscript"/>
        </w:rPr>
        <w:t>26</w:t>
      </w:r>
      <w:r w:rsidRPr="008D2F80">
        <w:rPr>
          <w:rStyle w:val="eop"/>
          <w:rFonts w:ascii="Arial" w:eastAsia="MS Mincho" w:hAnsi="Arial" w:cs="Arial"/>
        </w:rPr>
        <w:fldChar w:fldCharType="end"/>
      </w:r>
      <w:r w:rsidR="001F30BB" w:rsidRPr="008D2F80">
        <w:rPr>
          <w:rStyle w:val="eop"/>
          <w:rFonts w:ascii="Arial" w:eastAsia="MS Mincho" w:hAnsi="Arial" w:cs="Arial"/>
        </w:rPr>
        <w:t xml:space="preserve"> </w:t>
      </w:r>
      <w:r w:rsidR="001F30BB" w:rsidRPr="008C387C">
        <w:rPr>
          <w:rStyle w:val="normaltextrun"/>
          <w:rFonts w:ascii="Arial" w:hAnsi="Arial" w:cs="Arial"/>
          <w:color w:val="000000"/>
          <w:shd w:val="clear" w:color="auto" w:fill="FFFFFF"/>
        </w:rPr>
        <w:t>However, it has recently been suggested that the peritumoral lymphatic system drains nanoparticles from tumors and returns them to blood circulation in a size dependent manner.</w:t>
      </w:r>
      <w:r w:rsidR="001F30BB" w:rsidRPr="008C387C">
        <w:rPr>
          <w:rStyle w:val="normaltextrun"/>
          <w:rFonts w:ascii="Arial" w:hAnsi="Arial" w:cs="Arial"/>
          <w:color w:val="000000"/>
          <w:shd w:val="clear" w:color="auto" w:fill="FFFFFF"/>
        </w:rPr>
        <w:fldChar w:fldCharType="begin" w:fldLock="1"/>
      </w:r>
      <w:r w:rsidR="009E6E61" w:rsidRPr="008C387C">
        <w:rPr>
          <w:rStyle w:val="normaltextrun"/>
          <w:rFonts w:ascii="Arial" w:hAnsi="Arial" w:cs="Arial"/>
          <w:color w:val="000000"/>
          <w:shd w:val="clear" w:color="auto" w:fill="FFFFFF"/>
        </w:rPr>
        <w:instrText>ADDIN CSL_CITATION {"citationItems":[{"id":"ITEM-1","itemData":{"DOI":"10.1038/s41563-023-01630-0","ISSN":"1476-1122","abstract":"Nanoparticles enter tumours through endothelial cells, gaps or other mechanisms, but how they exit is unclear. The current paradigm states that collapsed tumour lymphatic vessels impair the exit of nanoparticles and lead to enhanced retention. Here we show that nanoparticles exit the tumour through the lymphatic vessels within or surrounding the tumour. The dominant lymphatic exit mechanism depends on the nanoparticle size. Nanoparticles that exit the tumour through the lymphatics are returned to the blood system, allowing them to recirculate and interact with the tumour in another pass. Our results enable us to define a mechanism of nanoparticle delivery to solid tumours alternative to the enhanced permeability and retention effect. We call this mechanism the active transport and retention principle. This delivery principle provides a new framework to engineer nanomedicines for cancer treatment and detection.","author":[{"dropping-particle":"","family":"Nguyen","given":"Luan N. M.","non-dropping-particle":"","parse-names":false,"suffix":""},{"dropping-particle":"","family":"Lin","given":"Zachary P.","non-dropping-particle":"","parse-names":false,"suffix":""},{"dropping-particle":"","family":"Sindhwani","given":"Shrey","non-dropping-particle":"","parse-names":false,"suffix":""},{"dropping-particle":"","family":"MacMillan","given":"Presley","non-dropping-particle":"","parse-names":false,"suffix":""},{"dropping-particle":"","family":"Mladjenovic","given":"Stefan M.","non-dropping-particle":"","parse-names":false,"suffix":""},{"dropping-particle":"","family":"Stordy","given":"Benjamin","non-dropping-particle":"","parse-names":false,"suffix":""},{"dropping-particle":"","family":"Ngo","given":"Wayne","non-dropping-particle":"","parse-names":false,"suffix":""},{"dropping-particle":"","family":"Chan","given":"Warren C. W.","non-dropping-particle":"","parse-names":false,"suffix":""}],"container-title":"Nature Materials","id":"ITEM-1","issue":"10","issued":{"date-parts":[["2023","10","17"]]},"page":"1261-1272","publisher":"Springer US","title":"The exit of nanoparticles from solid tumours","type":"article-journal","volume":"22"},"uris":["http://www.mendeley.com/documents/?uuid=6966dbbf-fc35-41ad-ade1-3e0594091f23"]}],"mendeley":{"formattedCitation":"&lt;sup&gt;46&lt;/sup&gt;","plainTextFormattedCitation":"46","previouslyFormattedCitation":"&lt;sup&gt;46&lt;/sup&gt;"},"properties":{"noteIndex":0},"schema":"https://github.com/citation-style-language/schema/raw/master/csl-citation.json"}</w:instrText>
      </w:r>
      <w:r w:rsidR="001F30BB" w:rsidRPr="008C387C">
        <w:rPr>
          <w:rStyle w:val="normaltextrun"/>
          <w:rFonts w:ascii="Arial" w:hAnsi="Arial" w:cs="Arial"/>
          <w:color w:val="000000"/>
          <w:shd w:val="clear" w:color="auto" w:fill="FFFFFF"/>
        </w:rPr>
        <w:fldChar w:fldCharType="separate"/>
      </w:r>
      <w:r w:rsidR="001F30BB" w:rsidRPr="008C387C">
        <w:rPr>
          <w:rStyle w:val="normaltextrun"/>
          <w:rFonts w:ascii="Arial" w:hAnsi="Arial" w:cs="Arial"/>
          <w:noProof/>
          <w:color w:val="000000"/>
          <w:shd w:val="clear" w:color="auto" w:fill="FFFFFF"/>
          <w:vertAlign w:val="superscript"/>
        </w:rPr>
        <w:t>46</w:t>
      </w:r>
      <w:r w:rsidR="001F30BB" w:rsidRPr="008C387C">
        <w:rPr>
          <w:rStyle w:val="normaltextrun"/>
          <w:rFonts w:ascii="Arial" w:hAnsi="Arial" w:cs="Arial"/>
          <w:color w:val="000000"/>
          <w:shd w:val="clear" w:color="auto" w:fill="FFFFFF"/>
        </w:rPr>
        <w:fldChar w:fldCharType="end"/>
      </w:r>
      <w:r w:rsidRPr="008D2F80">
        <w:rPr>
          <w:rStyle w:val="eop"/>
          <w:rFonts w:ascii="Arial" w:eastAsia="MS Mincho" w:hAnsi="Arial" w:cs="Arial"/>
        </w:rPr>
        <w:t xml:space="preserve"> </w:t>
      </w:r>
      <w:r w:rsidRPr="008D2F80">
        <w:rPr>
          <w:rStyle w:val="normaltextrun"/>
          <w:rFonts w:ascii="Arial" w:hAnsi="Arial" w:cs="Arial"/>
          <w:color w:val="000000"/>
          <w:shd w:val="clear" w:color="auto" w:fill="FFFFFF"/>
        </w:rPr>
        <w:t>The EPR effect has been a longstanding paradigm in</w:t>
      </w:r>
      <w:r w:rsidRPr="00C06183">
        <w:rPr>
          <w:rStyle w:val="normaltextrun"/>
          <w:rFonts w:ascii="Arial" w:hAnsi="Arial" w:cs="Arial"/>
          <w:color w:val="000000"/>
          <w:shd w:val="clear" w:color="auto" w:fill="FFFFFF"/>
        </w:rPr>
        <w:t xml:space="preserve"> cancer nanomedicine, and has been exploited as the main delivery mechanism for </w:t>
      </w:r>
      <w:r w:rsidRPr="00C06183">
        <w:rPr>
          <w:rFonts w:ascii="Arial" w:hAnsi="Arial" w:cs="Arial"/>
          <w:color w:val="000000" w:themeColor="text1"/>
        </w:rPr>
        <w:t>different types of nanoparticles to tumors, including inorganic (such as noble metal, oxide, upconversion and carbon-based nanoparticles) and organic nanoparticles (such as liposomes or lipid-based nanoparticles, polymeric nanoparticles and dendrimers)</w:t>
      </w:r>
      <w:r w:rsidR="00715A23">
        <w:rPr>
          <w:rFonts w:ascii="Arial" w:hAnsi="Arial" w:cs="Arial"/>
          <w:color w:val="000000" w:themeColor="text1"/>
        </w:rPr>
        <w:t>.</w:t>
      </w:r>
      <w:r w:rsidRPr="00C06183">
        <w:rPr>
          <w:rFonts w:ascii="Arial" w:hAnsi="Arial" w:cs="Arial"/>
          <w:color w:val="000000" w:themeColor="text1"/>
        </w:rPr>
        <w:fldChar w:fldCharType="begin" w:fldLock="1"/>
      </w:r>
      <w:r w:rsidR="009E6E61">
        <w:rPr>
          <w:rFonts w:ascii="Arial" w:hAnsi="Arial" w:cs="Arial"/>
          <w:color w:val="000000" w:themeColor="text1"/>
        </w:rPr>
        <w:instrText>ADDIN CSL_CITATION {"citationItems":[{"id":"ITEM-1","itemData":{"DOI":"10.1016/B978-0-12-816662-8.00004-7","author":[{"dropping-particle":"","family":"Narum","given":"Steven M.","non-dropping-particle":"","parse-names":false,"suffix":""},{"dropping-particle":"","family":"Le","given":"Tram","non-dropping-particle":"","parse-names":false,"suffix":""},{"dropping-particle":"","family":"Le","given":"Dao P.","non-dropping-particle":"","parse-names":false,"suffix":""},{"dropping-particle":"","family":"Lee","given":"Joanne C.","non-dropping-particle":"","parse-names":false,"suffix":""},{"dropping-particle":"","family":"Donahue","given":"Nathan D.","non-dropping-particle":"","parse-names":false,"suffix":""},{"dropping-particle":"","family":"Yang","given":"Wen","non-dropping-particle":"","parse-names":false,"suffix":""},{"dropping-particle":"","family":"Wilhelm","given":"Stefan","non-dropping-particle":"","parse-names":false,"suffix":""}],"container-title":"Nanoparticles for Biomedical Applications","id":"ITEM-1","issued":{"date-parts":[["2020"]]},"page":"37-53","publisher":"Elsevier","title":"Passive targeting in nanomedicine: fundamental concepts, body interactions, and clinical potential","type":"chapter"},"uris":["http://www.mendeley.com/documents/?uuid=ba20c28e-06ed-42e8-8f16-c30a5bbc6fc3"]},{"id":"ITEM-2","itemData":{"DOI":"10.1016/j.addr.2013.11.009","ISSN":"0169409X","PMID":"24270007","abstract":"Cancer nanotherapeutics are progressing at a steady rate; research and development in the field has experienced an exponential growth since early 2000's. The path to the commercialization of oncology drugs is long and carries significant risk; however, there is considerable excitement that nanoparticle technologies may contribute to the success of cancer drug development. The pace at which pharmaceutical companies have formed partnerships to use proprietary nanoparticle technologies has considerably accelerated. It is now recognized that by enhancing the efficacy and/or tolerability of new drug candidates, nanotechnology can meaningfully contribute to create differentiated products and improve clinical outcome. This review describes the lessons learned since the commercialization of the first-generation nanomedicines including DOXIL® and Abraxane®. It explores our current understanding of targeted and non-targeted nanoparticles that are under various stages of development, including BIND-014 and MM-398. It highlights the opportunities and challenges faced by nanomedicines in contemporary oncology, where personalized medicine is increasingly the mainstay of cancer therapy. We revisit the fundamental concepts of enhanced permeability and retention effect (EPR) and explore the mechanisms proposed to enhance preferential \"retention\" in the tumor, whether using active targeting of nanoparticles, binding of drugs to their tumoral targets or the presence of tumor associated macrophages. The overall objective of this review is to enhance our understanding in the design and development of therapeutic nanoparticles for treatment of cancers. © 2013 Elsevier B.V.","author":[{"dropping-particle":"","family":"Bertrand","given":"Nicolas","non-dropping-particle":"","parse-names":false,"suffix":""},{"dropping-particle":"","family":"Wu","given":"Jun","non-dropping-particle":"","parse-names":false,"suffix":""},{"dropping-particle":"","family":"Xu","given":"Xiaoyang","non-dropping-particle":"","parse-names":false,"suffix":""},{"dropping-particle":"","family":"Kamaly","given":"Nazila","non-dropping-particle":"","parse-names":false,"suffix":""},{"dropping-particle":"","family":"Farokhzad","given":"Omid C.","non-dropping-particle":"","parse-names":false,"suffix":""}],"container-title":"Advanced Drug Delivery Reviews","id":"ITEM-2","issued":{"date-parts":[["2014"]]},"page":"2-25","publisher":"Elsevier B.V.","title":"Cancer nanotechnology: The impact of passive and active targeting in the era of modern cancer biology","type":"article-journal","volume":"66"},"uris":["http://www.mendeley.com/documents/?uuid=e6b17896-6940-4460-b384-842607709b43"]},{"id":"ITEM-3","itemData":{"DOI":"10.1038/nrclinonc.2010.139","ISSN":"17594774","PMID":"20838415","abstract":"Recent advances in nanotechnology have offered new hope for cancer detection, prevention, and treatment. While the enhanced permeability and retention effect has served as a key rationale for using nanoparticles to treat solid tumors, it does not enable uniform delivery of these particles to all regions of tumors in sufficient quantities. This heterogeneous distribution of therapeutics is a result of physiological barriers presented by the abnormal tumor vasculature and interstitial matrix. These barriers are likely to be responsible for the modest survival benefit offered by many FDA-approved nanotherapeutics and must be overcome for the promise of nanomedicine in patients to be realized. Here, we review these barriers to the delivery of cancer therapeutics and summarize strategies that have been developed to overcome these barriers. Finally, we discuss design considerations for optimizing the delivery of nanoparticles to tumors. © 2010 Macmillan Publishers Limited. All rights reserved.","author":[{"dropping-particle":"","family":"Jain","given":"Rakesh K.","non-dropping-particle":"","parse-names":false,"suffix":""},{"dropping-particle":"","family":"Stylianopoulos","given":"Triantafyllos","non-dropping-particle":"","parse-names":false,"suffix":""}],"container-title":"Nature Reviews Clinical Oncology","id":"ITEM-3","issue":"11","issued":{"date-parts":[["2010"]]},"page":"653-664","publisher":"Nature Publishing Group","title":"Delivering nanomedicine to solid tumors","type":"article-journal","volume":"7"},"uris":["http://www.mendeley.com/documents/?uuid=3a1f0efc-1fa9-4e89-b745-c25bbba6e06e"]},{"id":"ITEM-4","itemData":{"DOI":"10.1016/j.addr.2018.07.007","ISSN":"18728294","PMID":"30009886","abstract":"The tumor accumulation of nanomedicines relies on the enhanced permeability and retention (EPR) effect. In the last 5–10 years, it has been increasingly recognized that there is a large inter- and intra-individual heterogeneity in EPR-mediated tumor targeting, explaining the heterogeneous outcomes of clinical trials in which nanomedicine formulations have been evaluated. To address this heterogeneity, as in other areas of oncology drug development, we have to move away from a one-size-fits-all tumor targeting approach, towards methods that can be employed to individualize and improve nanomedicine treatments. To this end, efforts have to be invested in better understanding the nature, the complexity and the heterogeneity of the EPR effect, and in establishing systems and strategies to enhance, combine, bypass and image EPR-based tumor targeting. In the present manuscript, we summarize key studies in which these strategies are explored, and we discuss how these approaches can be employed to enhance patient responses.","author":[{"dropping-particle":"","family":"Golombek","given":"Susanne K.","non-dropping-particle":"","parse-names":false,"suffix":""},{"dropping-particle":"","family":"May","given":"Jan Niklas","non-dropping-particle":"","parse-names":false,"suffix":""},{"dropping-particle":"","family":"Theek","given":"Benjamin","non-dropping-particle":"","parse-names":false,"suffix":""},{"dropping-particle":"","family":"Appold","given":"Lia","non-dropping-particle":"","parse-names":false,"suffix":""},{"dropping-particle":"","family":"Drude","given":"Natascha","non-dropping-particle":"","parse-names":false,"suffix":""},{"dropping-particle":"","family":"Kiessling","given":"Fabian","non-dropping-particle":"","parse-names":false,"suffix":""},{"dropping-particle":"","family":"Lammers","given":"Twan","non-dropping-particle":"","parse-names":false,"suffix":""}],"container-title":"Advanced Drug Delivery Reviews","id":"ITEM-4","issued":{"date-parts":[["2018"]]},"page":"17-38","publisher":"Elsevier B.V.","title":"Tumor targeting via EPR: Strategies to enhance patient responses","type":"article-journal","volume":"130"},"uris":["http://www.mendeley.com/documents/?uuid=34cb80a9-615c-443d-9821-482522757bc3"]},{"id":"ITEM-5","itemData":{"DOI":"10.1038/nrc.2016.108","ISSN":"14741768","PMID":"27834398","abstract":"The intrinsic limits of conventional cancer therapies prompted the development and application of various nanotechnologies for more effective and safer cancer treatment, herein referred to as cancer nanomedicine. Considerable technological success has been achieved in this field, but the main obstacles to nanomedicine becoming a new paradigm in cancer therapy stem from the complexities and heterogeneity of tumour biology, an incomplete understanding of nano-bio interactions and the challenges regarding chemistry, manufacturing and controls required for clinical translation and commercialization. This Review highlights the progress, challenges and opportunities in cancer nanomedicine and discusses novel engineering approaches that capitalize on our growing understanding of tumour biology and nano-bio interactions to develop more effective nanotherapeutics for cancer patients.","author":[{"dropping-particle":"","family":"Shi","given":"Jinjun","non-dropping-particle":"","parse-names":false,"suffix":""},{"dropping-particle":"","family":"Kantoff","given":"Philip W.","non-dropping-particle":"","parse-names":false,"suffix":""},{"dropping-particle":"","family":"Wooster","given":"Richard","non-dropping-particle":"","parse-names":false,"suffix":""},{"dropping-particle":"","family":"Farokhzad","given":"Omid C.","non-dropping-particle":"","parse-names":false,"suffix":""}],"container-title":"Nature Reviews Cancer","id":"ITEM-5","issue":"1","issued":{"date-parts":[["2017"]]},"page":"20-37","publisher":"Nature Publishing Group","title":"Cancer nanomedicine: Progress, challenges and opportunities","type":"article-journal","volume":"17"},"uris":["http://www.mendeley.com/documents/?uuid=71b1fbc5-1cb5-4417-a80a-ee93091ab7a6"]},{"id":"ITEM-6","itemData":{"DOI":"10.1126/scitranslmed.aaw1565","ISSN":"19466242","PMID":"31852795","abstract":"Loss of function in tumor suppressor genes is commonly associated with the onset/progression of cancer and treatment resistance. The p53 tumor suppressor gene, a master regulator of diverse cellular pathways, is frequently altered in various cancers, for example, in ~36% of hepatocellular carcinomas (HCCs) and ~68% of non–small cell lung cancers (NSCLCs). Current methods for restoration of p53 expression, including small molecules and DNA therapies, have yielded progressive success, but each has formidable drawbacks. Here, a redox-responsive nanoparticle (NP) platform is engineered for effective delivery of p53-encoding synthetic messenger RNA (mRNA). We demonstrate that the synthetic p53-mRNA NPs markedly delay the growth of p53-null HCC and NSCLC cells by inducing cell cycle arrest and apoptosis. We also reveal that p53 restoration markedly improves the sensitivity of these tumor cells to everolimus, a mammalian target of rapamycin (mTOR) inhibitor that failed to show clinical benefits in advanced HCC and NSCLC. Moreover, cotargeting of tumor-suppressing p53 and tumorigenic mTOR signaling pathways results in marked antitumor effects in vitro and in multiple animal models of HCC and NSCLC. Our findings indicate that restoration of tumor suppressors by the synthetic mRNA NP delivery strategy could be combined together with other therapies for potent combinatorial cancer treatment.","author":[{"dropping-particle":"","family":"Kong","given":"Na","non-dropping-particle":"","parse-names":false,"suffix":""},{"dropping-particle":"","family":"Tao","given":"Wei","non-dropping-particle":"","parse-names":false,"suffix":""},{"dropping-particle":"","family":"Ling","given":"Xiang","non-dropping-particle":"","parse-names":false,"suffix":""},{"dropping-particle":"","family":"Wang","given":"Junqing","non-dropping-particle":"","parse-names":false,"suffix":""},{"dropping-particle":"","family":"Xiao","given":"Yuling","non-dropping-particle":"","parse-names":false,"suffix":""},{"dropping-particle":"","family":"Shi","given":"Sanjun","non-dropping-particle":"","parse-names":false,"suffix":""},{"dropping-particle":"","family":"Ji","given":"Xiaoyuan","non-dropping-particle":"","parse-names":false,"suffix":""},{"dropping-particle":"","family":"Shajii","given":"Aram","non-dropping-particle":"","parse-names":false,"suffix":""},{"dropping-particle":"","family":"Gan","given":"Silvia Tian","non-dropping-particle":"","parse-names":false,"suffix":""},{"dropping-particle":"","family":"Kim","given":"Na Yoon","non-dropping-particle":"","parse-names":false,"suffix":""},{"dropping-particle":"","family":"Duda","given":"Dan G","non-dropping-particle":"","parse-names":false,"suffix":""},{"dropping-particle":"","family":"Xie","given":"Tian","non-dropping-particle":"","parse-names":false,"suffix":""},{"dropping-particle":"","family":"Farokhzad","given":"Omid C","non-dropping-particle":"","parse-names":false,"suffix":""},{"dropping-particle":"","family":"Shi","given":"Jinjun","non-dropping-particle":"","parse-names":false,"suffix":""}],"container-title":"Science Translational Medicine","id":"ITEM-6","issue":"523","issued":{"date-parts":[["2019","12","18"]]},"page":"eaaw1565","title":"Synthetic mRNA nanoparticle-mediated restoration of p53 tumor suppressor sensitizes p53-deficient cancers to mTOR inhibition","type":"article-journal","volume":"11"},"uris":["http://www.mendeley.com/documents/?uuid=1524b995-e646-4ccd-8885-df2b81d1ff4c"]},{"id":"ITEM-7","itemData":{"DOI":"10.1038/s41551-018-0284-0","ISSN":"2157846X","PMID":"31015614","abstract":"Phosphatase and tensin homologue deleted on chromosome 10 (PTEN) is a well-characterized tumour-suppressor gene that is lost or mutated in about half of metastatic castration-resistant prostate cancers and in many other human cancers. The restoration of functional PTEN as a treatment for prostate cancer has, however, proven difficult. Here, we show that PTEN messenger RNA (mRNA) can be reintroduced into PTEN-null prostate cancer cells in vitro and in vivo via its encapsulation in polymer–lipid hybrid nanoparticles coated with a polyethylene glycol shell. The nanoparticles are stable in serum, elicit low toxicity and enable high PTEN mRNA transfection in prostate cancer cells. Moreover, significant inhibition of tumour growth is achieved when delivered systemically in multiple mouse models of prostate cancer. We also show that the restoration of PTEN function in PTEN-null prostate cancer cells inhibits the phosphatidylinositol 3-kinase (PI3K)–AKT pathway and enhances apoptosis. Our findings provide proof-of-principle evidence of the restoration of mRNA-based tumour suppression in vivo.","author":[{"dropping-particle":"","family":"Islam","given":"Mohammad Ariful","non-dropping-particle":"","parse-names":false,"suffix":""},{"dropping-particle":"","family":"Xu","given":"Yingjie","non-dropping-particle":"","parse-names":false,"suffix":""},{"dropping-particle":"","family":"Tao","given":"Wei","non-dropping-particle":"","parse-names":false,"suffix":""},{"dropping-particle":"","family":"Ubellacker","given":"Jessalyn M","non-dropping-particle":"","parse-names":false,"suffix":""},{"dropping-particle":"","family":"Lim","given":"Michael","non-dropping-particle":"","parse-names":false,"suffix":""},{"dropping-particle":"","family":"Aum","given":"Daniel","non-dropping-particle":"","parse-names":false,"suffix":""},{"dropping-particle":"","family":"Lee","given":"Gha Young","non-dropping-particle":"","parse-names":false,"suffix":""},{"dropping-particle":"","family":"Zhou","given":"Kun","non-dropping-particle":"","parse-names":false,"suffix":""},{"dropping-particle":"","family":"Zope","given":"Harshal","non-dropping-particle":"","parse-names":false,"suffix":""},{"dropping-particle":"","family":"Yu","given":"Mikyung","non-dropping-particle":"","parse-names":false,"suffix":""},{"dropping-particle":"","family":"Cao","given":"Wuji","non-dropping-particle":"","parse-names":false,"suffix":""},{"dropping-particle":"","family":"Oswald","given":"James Trevor","non-dropping-particle":"","parse-names":false,"suffix":""},{"dropping-particle":"","family":"Dinarvand","given":"Meshkat","non-dropping-particle":"","parse-names":false,"suffix":""},{"dropping-particle":"","family":"Mahmoudi","given":"Morteza","non-dropping-particle":"","parse-names":false,"suffix":""},{"dropping-particle":"","family":"Langer","given":"Robert","non-dropping-particle":"","parse-names":false,"suffix":""},{"dropping-particle":"","family":"Kantoff","given":"Philip W","non-dropping-particle":"","parse-names":false,"suffix":""},{"dropping-particle":"","family":"Farokhzad","given":"Omid C","non-dropping-particle":"","parse-names":false,"suffix":""},{"dropping-particle":"","family":"Zetter","given":"Bruce R","non-dropping-particle":"","parse-names":false,"suffix":""},{"dropping-particle":"","family":"Shi","given":"Jinjun","non-dropping-particle":"","parse-names":false,"suffix":""}],"container-title":"Nature Biomedical Engineering","id":"ITEM-7","issue":"11","issued":{"date-parts":[["2018","11","17"]]},"page":"850-864","publisher":"Springer US","title":"Restoration of tumour-growth suppression in vivo via systemic nanoparticle-mediated delivery of PTEN mRNA","type":"article-journal","volume":"2"},"uris":["http://www.mendeley.com/documents/?uuid=45ceeb49-4c2b-45f6-9b04-cc31d2406422"]},{"id":"ITEM-8","itemData":{"DOI":"10.1007/s12274-019-2308-9","ISSN":"19980000","abstract":"Triple-negative breast cancer (TNBC) is one type of the most aggressive breast cancers with poor prognosis. It is of great urgency to develop new therapeutics for treating TNBC. Based on current treatment guideline and genetic information of TNBC, a combinational therapy platform integrating chemotherapy drugs and mRNA encoding tumor suppressor proteins may become an efficacious strategy. In this study, we developed paclitaxel amino lipid (PAL) derived nanoparticles (NPs) to incorporate both chemotherapy drugs and P53 mRNA. The PAL P53 mRNA NPs showed superior properties compared to Abraxane® and Lipusu® used in the clinic including high paclitaxel loading capacity (24 wt.%, calculated by paclitaxel in PAL), PAL encapsulation efficiency (94.7% ± 6.8%) and mRNA encapsulation efficiency (88.7% ± 0.7%). Meanwhile, these NPs displayed synergetic cytotoxicity of paclitaxel and P53 mRNA in cultured TNBC cells. More importantly, we demonstrated in vivo anti-tumor efficacy of PAL P53 mRNA NPs in an orthotopic TNBC mouse model. Overall, these chemotherapy drugs derived mRNA NPs provide a new platform to integrate chemotherapy and personalized medicine using tumor genetic information, and therefore represent a promising approach for TNBC treatment. [Figure not available: see fulltext.].","author":[{"dropping-particle":"","family":"Zhang","given":"Chengxiang","non-dropping-particle":"","parse-names":false,"suffix":""},{"dropping-particle":"","family":"Zhang","given":"Xinfu","non-dropping-particle":"","parse-names":false,"suffix":""},{"dropping-particle":"","family":"Zhao","given":"Weiyu","non-dropping-particle":"","parse-names":false,"suffix":""},{"dropping-particle":"","family":"Zeng","given":"Chunxi","non-dropping-particle":"","parse-names":false,"suffix":""},{"dropping-particle":"","family":"Li","given":"Wenqing","non-dropping-particle":"","parse-names":false,"suffix":""},{"dropping-particle":"","family":"Li","given":"Bin","non-dropping-particle":"","parse-names":false,"suffix":""},{"dropping-particle":"","family":"Luo","given":"Xiao","non-dropping-particle":"","parse-names":false,"suffix":""},{"dropping-particle":"","family":"Li","given":"Junan","non-dropping-particle":"","parse-names":false,"suffix":""},{"dropping-particle":"","family":"Jiang","given":"Justin","non-dropping-particle":"","parse-names":false,"suffix":""},{"dropping-particle":"","family":"Deng","given":"Binbin","non-dropping-particle":"","parse-names":false,"suffix":""},{"dropping-particle":"","family":"McComb","given":"David W.","non-dropping-particle":"","parse-names":false,"suffix":""},{"dropping-particle":"","family":"Dong","given":"Yizhou","non-dropping-particle":"","parse-names":false,"suffix":""}],"container-title":"Nano Research","id":"ITEM-8","issue":"4","issued":{"date-parts":[["2019","4","1"]]},"page":"855-861","title":"Chemotherapy drugs derived nanoparticles encapsulating mRNA encoding tumor suppressor proteins to treat triple-negative breast cancer","type":"article-journal","volume":"12"},"uris":["http://www.mendeley.com/documents/?uuid=8c6e7340-3ba2-42f4-932f-9187f84cbced"]},{"id":"ITEM-9","itemData":{"DOI":"10.1021/acsnano.7b07120","ISSN":"1936086X","PMID":"29068198","abstract":"Upconverting nanoparticles (UCNPs) are inorganic crystalline nanomaterials that can convert near-infrared (NIR) excitation light into visible and ultraviolet emission light. Excitation with NIR light minimizes autofluorescence background and enables deeper penetration into biological samples due to reduced light scattering. Although these optical features make UCNPs promising candidates for bioanalytical and biomedical applications, the performance of UCNPs is compromised by their low optical brightness. Research in the field of UCNP technology focuses on strategies to boost upconversion luminescence brightness and efficiencies. In this Perspective, I discuss challenges associated with the use of UCNPs and provide a 10-year proposed strategic plan to enable translation of UCNP technology from the academic stage into real world products and applications.","author":[{"dropping-particle":"","family":"Wilhelm","given":"Stefan","non-dropping-particle":"","parse-names":false,"suffix":""}],"container-title":"ACS Nano","id":"ITEM-9","issue":"11","issued":{"date-parts":[["2017","11","28"]]},"page":"10644-10653","title":"Perspectives for Upconverting Nanoparticles","type":"article","volume":"11"},"uris":["http://www.mendeley.com/documents/?uuid=0f52ffa3-fc71-4cc1-82c4-63dbc6c3ea7b"]}],"mendeley":{"formattedCitation":"&lt;sup&gt;25,47–54&lt;/sup&gt;","plainTextFormattedCitation":"25,47–54","previouslyFormattedCitation":"&lt;sup&gt;25,47–54&lt;/sup&gt;"},"properties":{"noteIndex":0},"schema":"https://github.com/citation-style-language/schema/raw/master/csl-citation.json"}</w:instrText>
      </w:r>
      <w:r w:rsidRPr="00C06183">
        <w:rPr>
          <w:rFonts w:ascii="Arial" w:hAnsi="Arial" w:cs="Arial"/>
          <w:color w:val="000000" w:themeColor="text1"/>
        </w:rPr>
        <w:fldChar w:fldCharType="separate"/>
      </w:r>
      <w:r w:rsidR="001F30BB" w:rsidRPr="001F30BB">
        <w:rPr>
          <w:rFonts w:ascii="Arial" w:hAnsi="Arial" w:cs="Arial"/>
          <w:noProof/>
          <w:color w:val="000000" w:themeColor="text1"/>
          <w:vertAlign w:val="superscript"/>
        </w:rPr>
        <w:t>25,47–54</w:t>
      </w:r>
      <w:r w:rsidRPr="00C06183">
        <w:rPr>
          <w:rFonts w:ascii="Arial" w:hAnsi="Arial" w:cs="Arial"/>
          <w:color w:val="000000" w:themeColor="text1"/>
        </w:rPr>
        <w:fldChar w:fldCharType="end"/>
      </w:r>
      <w:r w:rsidRPr="00C06183">
        <w:rPr>
          <w:rStyle w:val="normaltextrun"/>
          <w:rFonts w:ascii="Arial" w:hAnsi="Arial" w:cs="Arial"/>
          <w:color w:val="000000"/>
          <w:shd w:val="clear" w:color="auto" w:fill="FFFFFF"/>
        </w:rPr>
        <w:t xml:space="preserve"> However, it is not the only pathway for nanoparticles to cross tumor blood vessels, as depicted in </w:t>
      </w:r>
      <w:r w:rsidRPr="000E44BA">
        <w:rPr>
          <w:rStyle w:val="normaltextrun"/>
          <w:rFonts w:ascii="Arial" w:hAnsi="Arial" w:cs="Arial"/>
          <w:color w:val="000000"/>
          <w:shd w:val="clear" w:color="auto" w:fill="FFFFFF"/>
        </w:rPr>
        <w:t xml:space="preserve">Figure </w:t>
      </w:r>
      <w:r w:rsidR="00A22975" w:rsidRPr="000E44BA">
        <w:rPr>
          <w:rStyle w:val="normaltextrun"/>
          <w:rFonts w:ascii="Arial" w:hAnsi="Arial" w:cs="Arial"/>
          <w:color w:val="000000"/>
          <w:shd w:val="clear" w:color="auto" w:fill="FFFFFF"/>
        </w:rPr>
        <w:t>1.</w:t>
      </w:r>
      <w:r w:rsidRPr="000E44BA">
        <w:rPr>
          <w:rStyle w:val="normaltextrun"/>
          <w:rFonts w:ascii="Arial" w:hAnsi="Arial" w:cs="Arial"/>
          <w:color w:val="000000"/>
          <w:shd w:val="clear" w:color="auto" w:fill="FFFFFF"/>
        </w:rPr>
        <w:t>3</w:t>
      </w:r>
      <w:r w:rsidRPr="00C06183">
        <w:rPr>
          <w:rStyle w:val="normaltextrun"/>
          <w:rFonts w:ascii="Arial" w:hAnsi="Arial" w:cs="Arial"/>
          <w:color w:val="000000"/>
          <w:shd w:val="clear" w:color="auto" w:fill="FFFFFF"/>
        </w:rPr>
        <w:t>. In general, we can differentiate two nanoparticle transport pathways: (</w:t>
      </w:r>
      <w:proofErr w:type="spellStart"/>
      <w:r w:rsidRPr="00C06183">
        <w:rPr>
          <w:rStyle w:val="normaltextrun"/>
          <w:rFonts w:ascii="Arial" w:hAnsi="Arial" w:cs="Arial"/>
          <w:color w:val="000000"/>
          <w:shd w:val="clear" w:color="auto" w:fill="FFFFFF"/>
        </w:rPr>
        <w:t>i</w:t>
      </w:r>
      <w:proofErr w:type="spellEnd"/>
      <w:r w:rsidRPr="00C06183">
        <w:rPr>
          <w:rStyle w:val="normaltextrun"/>
          <w:rFonts w:ascii="Arial" w:hAnsi="Arial" w:cs="Arial"/>
          <w:color w:val="000000"/>
          <w:shd w:val="clear" w:color="auto" w:fill="FFFFFF"/>
        </w:rPr>
        <w:t>) paracellular transport by diffusion through intercellular gaps; and (ii) transcellular nanoparticle transport by going through tumor endothelial cells.</w:t>
      </w:r>
      <w:r w:rsidR="00715A23">
        <w:rPr>
          <w:rStyle w:val="normaltextrun"/>
          <w:rFonts w:ascii="Arial" w:hAnsi="Arial" w:cs="Arial"/>
          <w:color w:val="000000"/>
          <w:shd w:val="clear" w:color="auto" w:fill="FFFFFF"/>
        </w:rPr>
        <w:t xml:space="preserve"> </w:t>
      </w:r>
      <w:r w:rsidR="00A22975">
        <w:rPr>
          <w:rStyle w:val="normaltextrun"/>
          <w:rFonts w:ascii="Arial" w:hAnsi="Arial" w:cs="Arial"/>
          <w:color w:val="000000"/>
          <w:shd w:val="clear" w:color="auto" w:fill="FFFFFF"/>
        </w:rPr>
        <w:br w:type="page"/>
      </w:r>
      <w:r w:rsidR="00A22975">
        <w:rPr>
          <w:noProof/>
        </w:rPr>
        <w:lastRenderedPageBreak/>
        <w:drawing>
          <wp:inline distT="0" distB="0" distL="0" distR="0" wp14:anchorId="46E9824A" wp14:editId="4B998523">
            <wp:extent cx="5943600" cy="4027997"/>
            <wp:effectExtent l="0" t="0" r="0" b="0"/>
            <wp:docPr id="1552858407" name="Picture 1552858407" descr="Diagram of a cell memb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58407" name="Picture 6" descr="Diagram of a cell membra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4027997"/>
                    </a:xfrm>
                    <a:prstGeom prst="rect">
                      <a:avLst/>
                    </a:prstGeom>
                  </pic:spPr>
                </pic:pic>
              </a:graphicData>
            </a:graphic>
          </wp:inline>
        </w:drawing>
      </w:r>
    </w:p>
    <w:p w14:paraId="186EFCFB" w14:textId="0364D2E7" w:rsidR="00A22975" w:rsidRDefault="00A22975" w:rsidP="00A22975">
      <w:pPr>
        <w:jc w:val="both"/>
        <w:rPr>
          <w:rStyle w:val="normaltextrun"/>
          <w:rFonts w:ascii="Arial" w:hAnsi="Arial" w:cs="Arial"/>
          <w:color w:val="000000"/>
          <w:shd w:val="clear" w:color="auto" w:fill="FFFFFF"/>
        </w:rPr>
      </w:pPr>
      <w:r w:rsidRPr="00A22975">
        <w:rPr>
          <w:rStyle w:val="normaltextrun"/>
          <w:rFonts w:ascii="Arial" w:hAnsi="Arial" w:cs="Arial"/>
          <w:b/>
          <w:bCs/>
          <w:color w:val="000000"/>
          <w:sz w:val="24"/>
          <w:szCs w:val="24"/>
          <w:shd w:val="clear" w:color="auto" w:fill="FFFFFF"/>
        </w:rPr>
        <w:t>Figure 1.3: Nanoparticles can extravasate from tumor vascular lumen into the tumor microenvironment by both paracellular 1) and 2–4) transcellular pathways.</w:t>
      </w:r>
      <w:r w:rsidRPr="00A22975">
        <w:rPr>
          <w:rStyle w:val="normaltextrun"/>
          <w:rFonts w:ascii="Arial" w:hAnsi="Arial" w:cs="Arial"/>
          <w:color w:val="000000"/>
          <w:sz w:val="24"/>
          <w:szCs w:val="24"/>
          <w:shd w:val="clear" w:color="auto" w:fill="FFFFFF"/>
        </w:rPr>
        <w:t xml:space="preserve"> For the paracellular pathway, nanoparticles transport passively through gaps in the endothelium, i.e., between adjacent endothelial cells. These intercellular gaps (up to 2 </w:t>
      </w:r>
      <w:proofErr w:type="spellStart"/>
      <w:r w:rsidRPr="00A22975">
        <w:rPr>
          <w:rStyle w:val="normaltextrun"/>
          <w:rFonts w:ascii="Arial" w:hAnsi="Arial" w:cs="Arial"/>
          <w:color w:val="000000"/>
          <w:sz w:val="24"/>
          <w:szCs w:val="24"/>
          <w:shd w:val="clear" w:color="auto" w:fill="FFFFFF"/>
        </w:rPr>
        <w:t>μm</w:t>
      </w:r>
      <w:proofErr w:type="spellEnd"/>
      <w:r w:rsidRPr="00A22975">
        <w:rPr>
          <w:rStyle w:val="normaltextrun"/>
          <w:rFonts w:ascii="Arial" w:hAnsi="Arial" w:cs="Arial"/>
          <w:color w:val="000000"/>
          <w:sz w:val="24"/>
          <w:szCs w:val="24"/>
          <w:shd w:val="clear" w:color="auto" w:fill="FFFFFF"/>
        </w:rPr>
        <w:t xml:space="preserve"> in size) result from the abnormal vessel structures caused by rapid tumor angiogenesis and are fundamental for the enhanced permeability and retention (EPR) effect. For transcellular pathways, nanoparticles get transported actively into the tumor microenvironment</w:t>
      </w:r>
      <w:r>
        <w:rPr>
          <w:rStyle w:val="normaltextrun"/>
          <w:rFonts w:ascii="Arial" w:hAnsi="Arial" w:cs="Arial"/>
          <w:color w:val="000000"/>
          <w:sz w:val="24"/>
          <w:szCs w:val="24"/>
          <w:shd w:val="clear" w:color="auto" w:fill="FFFFFF"/>
        </w:rPr>
        <w:t xml:space="preserve"> </w:t>
      </w:r>
      <w:r w:rsidRPr="00A22975">
        <w:rPr>
          <w:rStyle w:val="normaltextrun"/>
          <w:rFonts w:ascii="Arial" w:hAnsi="Arial" w:cs="Arial"/>
          <w:color w:val="000000"/>
          <w:sz w:val="24"/>
          <w:szCs w:val="24"/>
          <w:shd w:val="clear" w:color="auto" w:fill="FFFFFF"/>
        </w:rPr>
        <w:t>via intracellular vesicles or through transcellular pores. 2) When transported by intracellular vesicles, nanoparticles first enter the cell and locate</w:t>
      </w:r>
      <w:r>
        <w:rPr>
          <w:rStyle w:val="normaltextrun"/>
          <w:rFonts w:ascii="Arial" w:hAnsi="Arial" w:cs="Arial"/>
          <w:color w:val="000000"/>
          <w:sz w:val="24"/>
          <w:szCs w:val="24"/>
          <w:shd w:val="clear" w:color="auto" w:fill="FFFFFF"/>
        </w:rPr>
        <w:t xml:space="preserve"> </w:t>
      </w:r>
      <w:r w:rsidRPr="00A22975">
        <w:rPr>
          <w:rStyle w:val="normaltextrun"/>
          <w:rFonts w:ascii="Arial" w:hAnsi="Arial" w:cs="Arial"/>
          <w:color w:val="000000"/>
          <w:sz w:val="24"/>
          <w:szCs w:val="24"/>
          <w:shd w:val="clear" w:color="auto" w:fill="FFFFFF"/>
        </w:rPr>
        <w:t>in vesicles through endocytosis, then get transported across the cytoplasm, and finally exit the cell through exocytosis. 3) VVO and 4) fenestrae are</w:t>
      </w:r>
      <w:r>
        <w:rPr>
          <w:rStyle w:val="normaltextrun"/>
          <w:rFonts w:ascii="Arial" w:hAnsi="Arial" w:cs="Arial"/>
          <w:color w:val="000000"/>
          <w:sz w:val="24"/>
          <w:szCs w:val="24"/>
          <w:shd w:val="clear" w:color="auto" w:fill="FFFFFF"/>
        </w:rPr>
        <w:t xml:space="preserve"> </w:t>
      </w:r>
      <w:r w:rsidRPr="00A22975">
        <w:rPr>
          <w:rStyle w:val="normaltextrun"/>
          <w:rFonts w:ascii="Arial" w:hAnsi="Arial" w:cs="Arial"/>
          <w:color w:val="000000"/>
          <w:sz w:val="24"/>
          <w:szCs w:val="24"/>
          <w:shd w:val="clear" w:color="auto" w:fill="FFFFFF"/>
        </w:rPr>
        <w:t>both trans-endothelial pathways for nanoparticle transport. While VVOs are intracellular organelles composed of linked vesicles, fenestrae represent</w:t>
      </w:r>
      <w:r>
        <w:rPr>
          <w:rStyle w:val="normaltextrun"/>
          <w:rFonts w:ascii="Arial" w:hAnsi="Arial" w:cs="Arial"/>
          <w:color w:val="000000"/>
          <w:sz w:val="24"/>
          <w:szCs w:val="24"/>
          <w:shd w:val="clear" w:color="auto" w:fill="FFFFFF"/>
        </w:rPr>
        <w:t xml:space="preserve"> </w:t>
      </w:r>
      <w:r w:rsidRPr="00A22975">
        <w:rPr>
          <w:rStyle w:val="normaltextrun"/>
          <w:rFonts w:ascii="Arial" w:hAnsi="Arial" w:cs="Arial"/>
          <w:color w:val="000000"/>
          <w:sz w:val="24"/>
          <w:szCs w:val="24"/>
          <w:shd w:val="clear" w:color="auto" w:fill="FFFFFF"/>
        </w:rPr>
        <w:t xml:space="preserve">transcellular pores spanned by a </w:t>
      </w:r>
      <w:proofErr w:type="spellStart"/>
      <w:r w:rsidRPr="00A22975">
        <w:rPr>
          <w:rStyle w:val="normaltextrun"/>
          <w:rFonts w:ascii="Arial" w:hAnsi="Arial" w:cs="Arial"/>
          <w:color w:val="000000"/>
          <w:sz w:val="24"/>
          <w:szCs w:val="24"/>
          <w:shd w:val="clear" w:color="auto" w:fill="FFFFFF"/>
        </w:rPr>
        <w:t>fenestral</w:t>
      </w:r>
      <w:proofErr w:type="spellEnd"/>
      <w:r w:rsidRPr="00A22975">
        <w:rPr>
          <w:rStyle w:val="normaltextrun"/>
          <w:rFonts w:ascii="Arial" w:hAnsi="Arial" w:cs="Arial"/>
          <w:color w:val="000000"/>
          <w:sz w:val="24"/>
          <w:szCs w:val="24"/>
          <w:shd w:val="clear" w:color="auto" w:fill="FFFFFF"/>
        </w:rPr>
        <w:t xml:space="preserve"> diaphragm.</w:t>
      </w:r>
      <w:r>
        <w:rPr>
          <w:rStyle w:val="normaltextrun"/>
          <w:rFonts w:ascii="Arial" w:hAnsi="Arial" w:cs="Arial"/>
          <w:color w:val="000000"/>
          <w:shd w:val="clear" w:color="auto" w:fill="FFFFFF"/>
        </w:rPr>
        <w:br w:type="page"/>
      </w:r>
    </w:p>
    <w:p w14:paraId="414D1274" w14:textId="77777777" w:rsidR="00A22975" w:rsidRDefault="00A22975" w:rsidP="00A22975">
      <w:pPr>
        <w:jc w:val="both"/>
        <w:rPr>
          <w:rStyle w:val="normaltextrun"/>
          <w:rFonts w:ascii="Arial" w:hAnsi="Arial" w:cs="Arial"/>
          <w:color w:val="000000"/>
          <w:shd w:val="clear" w:color="auto" w:fill="FFFFFF"/>
        </w:rPr>
      </w:pPr>
    </w:p>
    <w:p w14:paraId="4ACE38F7" w14:textId="26762D60" w:rsidR="00C06183" w:rsidRDefault="00C06183" w:rsidP="00C06183">
      <w:pPr>
        <w:pStyle w:val="paragraph"/>
        <w:spacing w:before="0" w:beforeAutospacing="0" w:after="0" w:afterAutospacing="0" w:line="480" w:lineRule="auto"/>
        <w:ind w:firstLine="720"/>
        <w:jc w:val="both"/>
        <w:textAlignment w:val="baseline"/>
        <w:rPr>
          <w:rStyle w:val="eop"/>
          <w:rFonts w:ascii="Arial" w:eastAsia="MS Mincho" w:hAnsi="Arial" w:cs="Arial"/>
        </w:rPr>
      </w:pPr>
      <w:r w:rsidRPr="00C06183">
        <w:rPr>
          <w:rStyle w:val="eop"/>
          <w:rFonts w:ascii="Arial" w:eastAsia="MS Mincho" w:hAnsi="Arial" w:cs="Arial"/>
        </w:rPr>
        <w:t xml:space="preserve">Transcellular nanoparticle transport is enabled by endocytic vesicles in tumor endothelial cells that deliver nanoparticles from the apical side of the cell to the basal </w:t>
      </w:r>
      <w:r w:rsidRPr="008D2F80">
        <w:rPr>
          <w:rStyle w:val="eop"/>
          <w:rFonts w:ascii="Arial" w:eastAsia="MS Mincho" w:hAnsi="Arial" w:cs="Arial"/>
        </w:rPr>
        <w:t>side</w:t>
      </w:r>
      <w:r w:rsidR="001F30BB" w:rsidRPr="008D2F80">
        <w:rPr>
          <w:rStyle w:val="eop"/>
          <w:rFonts w:ascii="Arial" w:eastAsia="MS Mincho" w:hAnsi="Arial" w:cs="Arial"/>
        </w:rPr>
        <w:t>.</w:t>
      </w:r>
      <w:r w:rsidRPr="008D2F80">
        <w:rPr>
          <w:rStyle w:val="eop"/>
          <w:rFonts w:ascii="Arial" w:eastAsia="MS Mincho" w:hAnsi="Arial" w:cs="Arial"/>
        </w:rPr>
        <w:fldChar w:fldCharType="begin" w:fldLock="1"/>
      </w:r>
      <w:r w:rsidR="001F30BB" w:rsidRPr="008D2F80">
        <w:rPr>
          <w:rStyle w:val="eop"/>
          <w:rFonts w:ascii="Arial" w:eastAsia="MS Mincho" w:hAnsi="Arial" w:cs="Arial"/>
        </w:rPr>
        <w:instrText>ADDIN CSL_CITATION {"citationItems":[{"id":"ITEM-1","itemData":{"DOI":"10.1002/iub.485","ISSN":"15216543","abstract":"The endothelial cell monolayer lining the vessel wall forms a size-selective, semi-permeable barrier between the blood and tissue that must be crossed by blood borne therapeutic agents to reach diseased extravascular tissue. Nanoparticles engineered to carry drugs present an opportunity to enhance the specificity and efficacy of drug delivery. Therefore, an understanding of how these engineered nanoparticles are transported across the vessel wall will help us to more fully exploit this powerful therapeutic technology. Vascular endothelial cells are rich in caveolae, cell surface invaginations 50-100 nm in diameter that mediate endocytosis of lipids, proteins, and viruses. Caveolar invaginations pinch off to form intracellular vesicles that can transport cargo across the cell and release the cargo into the extravascular space via exocytosis. Here, we will review the current concepts and state of development for delivering engineered nanoparticles across the endothelium via the caveolae-mediated pathway. © 2011 Wiley Periodicals, Inc.","author":[{"dropping-particle":"","family":"Wang","given":"Zhenjia","non-dropping-particle":"","parse-names":false,"suffix":""},{"dropping-particle":"","family":"Tiruppathi","given":"Chinnaswamy","non-dropping-particle":"","parse-names":false,"suffix":""},{"dropping-particle":"","family":"Cho","given":"Jaehyung","non-dropping-particle":"","parse-names":false,"suffix":""},{"dropping-particle":"","family":"Minshall","given":"Richard D.","non-dropping-particle":"","parse-names":false,"suffix":""},{"dropping-particle":"","family":"Malik","given":"Asrar B.","non-dropping-particle":"","parse-names":false,"suffix":""}],"container-title":"IUBMB Life","id":"ITEM-1","issue":"8","issued":{"date-parts":[["2011","8"]]},"page":"659-667","title":"Delivery of nanoparticle-complexed drugs across the vascular endothelial barrier via caveolae","type":"article-journal","volume":"63"},"uris":["http://www.mendeley.com/documents/?uuid=9d5a3430-2e79-333b-adff-e09955174c79"]}],"mendeley":{"formattedCitation":"&lt;sup&gt;55&lt;/sup&gt;","plainTextFormattedCitation":"55","previouslyFormattedCitation":"&lt;sup&gt;55&lt;/sup&gt;"},"properties":{"noteIndex":0},"schema":"https://github.com/citation-style-language/schema/raw/master/csl-citation.json"}</w:instrText>
      </w:r>
      <w:r w:rsidRPr="008D2F80">
        <w:rPr>
          <w:rStyle w:val="eop"/>
          <w:rFonts w:ascii="Arial" w:eastAsia="MS Mincho" w:hAnsi="Arial" w:cs="Arial"/>
        </w:rPr>
        <w:fldChar w:fldCharType="separate"/>
      </w:r>
      <w:r w:rsidR="001F30BB" w:rsidRPr="008D2F80">
        <w:rPr>
          <w:rStyle w:val="eop"/>
          <w:rFonts w:ascii="Arial" w:eastAsia="MS Mincho" w:hAnsi="Arial" w:cs="Arial"/>
          <w:noProof/>
          <w:vertAlign w:val="superscript"/>
        </w:rPr>
        <w:t>55</w:t>
      </w:r>
      <w:r w:rsidRPr="008D2F80">
        <w:rPr>
          <w:rStyle w:val="eop"/>
          <w:rFonts w:ascii="Arial" w:eastAsia="MS Mincho" w:hAnsi="Arial" w:cs="Arial"/>
        </w:rPr>
        <w:fldChar w:fldCharType="end"/>
      </w:r>
      <w:r w:rsidRPr="008D2F80">
        <w:rPr>
          <w:rStyle w:val="eop"/>
          <w:rFonts w:ascii="Arial" w:eastAsia="MS Mincho" w:hAnsi="Arial" w:cs="Arial"/>
        </w:rPr>
        <w:t xml:space="preserve"> </w:t>
      </w:r>
      <w:r w:rsidR="009E6E61" w:rsidRPr="008C387C">
        <w:rPr>
          <w:rStyle w:val="eop"/>
          <w:rFonts w:ascii="Arial" w:eastAsia="MS Mincho" w:hAnsi="Arial" w:cs="Arial"/>
        </w:rPr>
        <w:t>Particularly, it has recently been found that specific subsets of tumor endothelial cells govern nanoparticle transport into solid tumors, which comprise about 21% of the tumor endothelium.</w:t>
      </w:r>
      <w:r w:rsidR="009E6E61" w:rsidRPr="008C387C">
        <w:rPr>
          <w:rStyle w:val="eop"/>
          <w:rFonts w:ascii="Arial" w:eastAsia="MS Mincho" w:hAnsi="Arial" w:cs="Arial"/>
        </w:rPr>
        <w:fldChar w:fldCharType="begin" w:fldLock="1"/>
      </w:r>
      <w:r w:rsidR="00DF25E0" w:rsidRPr="008C387C">
        <w:rPr>
          <w:rStyle w:val="eop"/>
          <w:rFonts w:ascii="Arial" w:eastAsia="MS Mincho" w:hAnsi="Arial" w:cs="Arial"/>
        </w:rPr>
        <w:instrText>ADDIN CSL_CITATION {"citationItems":[{"id":"ITEM-1","itemData":{"DOI":"10.1021/acsnano.1c04510","ISSN":"1936-0851","author":[{"dropping-particle":"","family":"Kingston","given":"Benjamin R","non-dropping-particle":"","parse-names":false,"suffix":""},{"dropping-particle":"","family":"Lin","given":"Zachary P","non-dropping-particle":"","parse-names":false,"suffix":""},{"dropping-particle":"","family":"Ouyang","given":"Ben","non-dropping-particle":"","parse-names":false,"suffix":""},{"dropping-particle":"","family":"MacMillan","given":"Presley","non-dropping-particle":"","parse-names":false,"suffix":""},{"dropping-particle":"","family":"Ngai","given":"Jessica","non-dropping-particle":"","parse-names":false,"suffix":""},{"dropping-particle":"","family":"Syed","given":"Abdullah Muhammad","non-dropping-particle":"","parse-names":false,"suffix":""},{"dropping-particle":"","family":"Sindhwani","given":"Shrey","non-dropping-particle":"","parse-names":false,"suffix":""},{"dropping-particle":"","family":"Chan","given":"Warren C W","non-dropping-particle":"","parse-names":false,"suffix":""}],"container-title":"ACS Nano","id":"ITEM-1","issued":{"date-parts":[["2021","8","12"]]},"page":"acsnano.1c04510","title":"Specific Endothelial Cells Govern Nanoparticle Entry into Solid Tumors","type":"article-journal","volume":"1"},"uris":["http://www.mendeley.com/documents/?uuid=22d75bb4-cdcb-4ba7-99e6-fb017dd94c58"]}],"mendeley":{"formattedCitation":"&lt;sup&gt;56&lt;/sup&gt;","plainTextFormattedCitation":"56","previouslyFormattedCitation":"&lt;sup&gt;56&lt;/sup&gt;"},"properties":{"noteIndex":0},"schema":"https://github.com/citation-style-language/schema/raw/master/csl-citation.json"}</w:instrText>
      </w:r>
      <w:r w:rsidR="009E6E61" w:rsidRPr="008C387C">
        <w:rPr>
          <w:rStyle w:val="eop"/>
          <w:rFonts w:ascii="Arial" w:eastAsia="MS Mincho" w:hAnsi="Arial" w:cs="Arial"/>
        </w:rPr>
        <w:fldChar w:fldCharType="separate"/>
      </w:r>
      <w:r w:rsidR="009E6E61" w:rsidRPr="008C387C">
        <w:rPr>
          <w:rStyle w:val="eop"/>
          <w:rFonts w:ascii="Arial" w:eastAsia="MS Mincho" w:hAnsi="Arial" w:cs="Arial"/>
          <w:noProof/>
          <w:vertAlign w:val="superscript"/>
        </w:rPr>
        <w:t>56</w:t>
      </w:r>
      <w:r w:rsidR="009E6E61" w:rsidRPr="008C387C">
        <w:rPr>
          <w:rStyle w:val="eop"/>
          <w:rFonts w:ascii="Arial" w:eastAsia="MS Mincho" w:hAnsi="Arial" w:cs="Arial"/>
        </w:rPr>
        <w:fldChar w:fldCharType="end"/>
      </w:r>
      <w:r w:rsidR="009E6E61" w:rsidRPr="008D2F80">
        <w:rPr>
          <w:rStyle w:val="eop"/>
          <w:rFonts w:ascii="Arial" w:eastAsia="MS Mincho" w:hAnsi="Arial" w:cs="Arial"/>
        </w:rPr>
        <w:t xml:space="preserve"> </w:t>
      </w:r>
      <w:r w:rsidRPr="008D2F80">
        <w:rPr>
          <w:rStyle w:val="eop"/>
          <w:rFonts w:ascii="Arial" w:eastAsia="MS Mincho" w:hAnsi="Arial" w:cs="Arial"/>
        </w:rPr>
        <w:t>While endocytosis is the primary mechanism and pathway for</w:t>
      </w:r>
      <w:r w:rsidRPr="00C06183">
        <w:rPr>
          <w:rStyle w:val="eop"/>
          <w:rFonts w:ascii="Arial" w:eastAsia="MS Mincho" w:hAnsi="Arial" w:cs="Arial"/>
        </w:rPr>
        <w:t xml:space="preserve"> transcellular transport, there are a few alternatives. One of these</w:t>
      </w:r>
      <w:r w:rsidRPr="00C06183">
        <w:rPr>
          <w:rStyle w:val="normaltextrun"/>
          <w:rFonts w:ascii="Arial" w:hAnsi="Arial" w:cs="Arial"/>
          <w:color w:val="000000"/>
          <w:bdr w:val="none" w:sz="0" w:space="0" w:color="auto" w:frame="1"/>
        </w:rPr>
        <w:t xml:space="preserve"> alternative transcellular pathways may be mediated by vesiculo-vacuolar organelles (VVOs) inside tumor endothelial cells. Little is known about this VVO-mediated transport pathway. However, VVOs have been characterized by Dvorak et al. as membrane-bound, linked vesicles and vacuoles that create a channel for macromolecules to cross the endothelium</w:t>
      </w:r>
      <w:r w:rsidR="009E6E61">
        <w:rPr>
          <w:rStyle w:val="normaltextrun"/>
          <w:rFonts w:ascii="Arial" w:hAnsi="Arial" w:cs="Arial"/>
          <w:color w:val="000000"/>
          <w:bdr w:val="none" w:sz="0" w:space="0" w:color="auto" w:frame="1"/>
        </w:rPr>
        <w:t>.</w:t>
      </w:r>
      <w:r w:rsidRPr="00C06183">
        <w:rPr>
          <w:rStyle w:val="eop"/>
          <w:rFonts w:ascii="Arial" w:eastAsia="MS Mincho" w:hAnsi="Arial" w:cs="Arial"/>
        </w:rPr>
        <w:fldChar w:fldCharType="begin" w:fldLock="1"/>
      </w:r>
      <w:r w:rsidR="00DF25E0">
        <w:rPr>
          <w:rStyle w:val="eop"/>
          <w:rFonts w:ascii="Arial" w:eastAsia="MS Mincho" w:hAnsi="Arial" w:cs="Arial"/>
        </w:rPr>
        <w:instrText>ADDIN CSL_CITATION {"citationItems":[{"id":"ITEM-1","itemData":{"DOI":"10.1002/jlb.59.1.100","ISSN":"07415400","PMID":"8558058","abstract":"The vesiculo-vacuolar organelle (VVO) is a recently described organelle found in the cytoplasm of endothelial cells that line tumor microvessels and normal venules. VVOs are grape-like clusters of interconnecting uncoated vesicles and vacuoles, bounded by trilaminar unit membranes, that span the entire thickness of vascular endothelium, thereby providing a potential trans-endothelial connection between the vascular lumen and the extravascular space. Macromolecular tracers preferentially cross hyperpermeable tumor microvessels through VVOs. The present investigation was undertaken to elucidate further the ultrastructure and function of VVOs in a murine ovarian carcinoma (MOT) and in normal venules. Morphometry revealed that VVOs were enormous cytoplasmic structures (median area, 0.12-0.14 μm2 in single electron micrographs). Moreover, the individual vesicles and vacuoles that comprised VVOs were on average substantially larger than capillary caveolae and followed a non-normal distribution that was skewed to the right. Specimen tilting provided conclusive evidence that individual VVO vesicles and vacuoles communicated with each other and with the endothelial cells' plasma membranes by stomata, some of which were closed by diaphragms composed of a single membrane. Studies with two tracers, ferritin (FE, diameter ~11 nm) and horseradish peroxidase (HRP, diameter ~5 nm), revealed that passage of macromolecules through VVOs was regulated at the level of stomatal diaphragms, thereby demonstrating a mechanism for controlling the passage of macromolecules across endothelial cells. Thus, compared with tumor microvessels, little circulating FE and HRP entered the VVOs of normal venular endothelium because stomata joining vesicles and vacuoles to each other and to the lumen and ablumen were closed. VVOs and their component vesicles/vacuoles were readily distinguished from endosomal organelles such as coated vesicles and multivesicular bodies, which also accumulated FE and H]RP. Our findings indicate that VVOs provide a major pathway for the extravasation of circulating macromolecules across endothelia taller than capillary endothelium and suggest that upregulated VVO function accounts for the wellknown hyperpermeability of tumor blood vessels.","author":[{"dropping-particle":"","family":"Dvorak","given":"A. M.","non-dropping-particle":"","parse-names":false,"suffix":""},{"dropping-particle":"","family":"Kohn","given":"Sarah","non-dropping-particle":"","parse-names":false,"suffix":""},{"dropping-particle":"","family":"Morgan","given":"Ellen S.","non-dropping-particle":"","parse-names":false,"suffix":""},{"dropping-particle":"","family":"Fox","given":"Patricia","non-dropping-particle":"","parse-names":false,"suffix":""},{"dropping-particle":"","family":"Nagy","given":"Janice A.","non-dropping-particle":"","parse-names":false,"suffix":""},{"dropping-particle":"","family":"Dvorak","given":"Harold F.","non-dropping-particle":"","parse-names":false,"suffix":""}],"container-title":"Journal of Leukocyte Biology","id":"ITEM-1","issue":"1","issued":{"date-parts":[["1996"]]},"page":"100-115","title":"The vesiculo-vacuolar organelle (VVO): A distinct endothelial cell structure that provides a transcellular pathway for macromolecular extravasation","type":"article-journal","volume":"59"},"uris":["http://www.mendeley.com/documents/?uuid=7042fc27-c8b9-4e86-b124-1b3c67377520"]}],"mendeley":{"formattedCitation":"&lt;sup&gt;57&lt;/sup&gt;","plainTextFormattedCitation":"57","previouslyFormattedCitation":"&lt;sup&gt;57&lt;/sup&gt;"},"properties":{"noteIndex":0},"schema":"https://github.com/citation-style-language/schema/raw/master/csl-citation.json"}</w:instrText>
      </w:r>
      <w:r w:rsidRPr="00C06183">
        <w:rPr>
          <w:rStyle w:val="eop"/>
          <w:rFonts w:ascii="Arial" w:eastAsia="MS Mincho" w:hAnsi="Arial" w:cs="Arial"/>
        </w:rPr>
        <w:fldChar w:fldCharType="separate"/>
      </w:r>
      <w:r w:rsidR="009E6E61" w:rsidRPr="009E6E61">
        <w:rPr>
          <w:rStyle w:val="eop"/>
          <w:rFonts w:ascii="Arial" w:eastAsia="MS Mincho" w:hAnsi="Arial" w:cs="Arial"/>
          <w:noProof/>
          <w:vertAlign w:val="superscript"/>
        </w:rPr>
        <w:t>57</w:t>
      </w:r>
      <w:r w:rsidRPr="00C06183">
        <w:rPr>
          <w:rStyle w:val="eop"/>
          <w:rFonts w:ascii="Arial" w:eastAsia="MS Mincho" w:hAnsi="Arial" w:cs="Arial"/>
        </w:rPr>
        <w:fldChar w:fldCharType="end"/>
      </w:r>
      <w:r w:rsidRPr="00C06183">
        <w:rPr>
          <w:rStyle w:val="eop"/>
          <w:rFonts w:ascii="Arial" w:eastAsia="MS Mincho" w:hAnsi="Arial" w:cs="Arial"/>
        </w:rPr>
        <w:t xml:space="preserve"> </w:t>
      </w:r>
      <w:r w:rsidRPr="00C06183">
        <w:rPr>
          <w:rStyle w:val="normaltextrun"/>
          <w:rFonts w:ascii="Arial" w:hAnsi="Arial" w:cs="Arial"/>
          <w:color w:val="000000"/>
          <w:shd w:val="clear" w:color="auto" w:fill="FFFFFF"/>
        </w:rPr>
        <w:t xml:space="preserve">VVOs are rarely observed in cultured endothelial cells under standard culture methods and may occur at greater frequency </w:t>
      </w:r>
      <w:r w:rsidRPr="00C06183">
        <w:rPr>
          <w:rStyle w:val="normaltextrun"/>
          <w:rFonts w:ascii="Arial" w:hAnsi="Arial" w:cs="Arial"/>
          <w:i/>
          <w:iCs/>
          <w:color w:val="000000"/>
          <w:shd w:val="clear" w:color="auto" w:fill="FFFFFF"/>
        </w:rPr>
        <w:t>in vivo</w:t>
      </w:r>
      <w:r w:rsidR="009E6E61">
        <w:rPr>
          <w:rStyle w:val="normaltextrun"/>
          <w:rFonts w:ascii="Arial" w:hAnsi="Arial" w:cs="Arial"/>
          <w:i/>
          <w:iCs/>
          <w:color w:val="000000"/>
          <w:shd w:val="clear" w:color="auto" w:fill="FFFFFF"/>
        </w:rPr>
        <w:t>.</w:t>
      </w:r>
      <w:r w:rsidRPr="00C06183">
        <w:rPr>
          <w:rStyle w:val="eop"/>
          <w:rFonts w:ascii="Arial" w:eastAsia="MS Mincho" w:hAnsi="Arial" w:cs="Arial"/>
        </w:rPr>
        <w:fldChar w:fldCharType="begin" w:fldLock="1"/>
      </w:r>
      <w:r w:rsidR="00DF25E0">
        <w:rPr>
          <w:rStyle w:val="eop"/>
          <w:rFonts w:ascii="Arial" w:eastAsia="MS Mincho" w:hAnsi="Arial" w:cs="Arial"/>
        </w:rPr>
        <w:instrText>ADDIN CSL_CITATION {"citationItems":[{"id":"ITEM-1","itemData":{"DOI":"10.1177/002215549904700205","ISSN":"00221554","abstract":"In situ vascular endothelium is characterized by many cytoplasmic vesicles (caveolae) and vacuoles. In venules these are organized into prominent clusters called vesiculo-vacuolar organelles or VVOs. VVOs provide an important pathway for plasma protein extravasation in response to vasoactive mediators. In contrast, cultured endothelial cells isolated from many sources lack VVOs and generally have few caveolae. Our goal was to preserve VVOs in cultured endothelium. Bovine adrenal microvascular endothelial cells (BCEs) cultured on floating Matrigel-collagen Type I gels with vascular permeability factor/vascular endothelial growth factor (VPF/VEGF) exhibited typical VVOs by electron microscopy. Both in vivo and in culture VVOs were caveolin-positive by immunoelectron microscopy. On the basis of caveolin immunostaining, VVOs could also be detected by light (confocal) microscopy. When BCEs were cultured without VPF/VEGF, caveolin staining was finely punctate and electron microscopy confirmed the near absence of VVOs. BCE VVOs were sensitive to N-ethylmaleimide. Other types of endothelium cultured on Matrigel-collagen gels with or without VPF/VEGF exhibited few caveolae and no VVOs. Therefore, preservation of VVOs in cultured endothelium required a specific combination of endothelial cells (BCEs), surface matrix (Matrigel-collagen), and growth factor (VPF/VEGF). These endothelial cells should be useful for in vitro studies of trans- endothelial transport.","author":[{"dropping-particle":"","family":"Vasile","given":"Eliza","non-dropping-particle":"","parse-names":false,"suffix":""},{"dropping-particle":"","family":"Qu-Hong","given":"","non-dropping-particle":"","parse-names":false,"suffix":""},{"dropping-particle":"","family":"Dvorak","given":"Harold F.","non-dropping-particle":"","parse-names":false,"suffix":""},{"dropping-particle":"","family":"Dvorak","given":"Ann M.","non-dropping-particle":"","parse-names":false,"suffix":""}],"container-title":"Journal of Histochemistry and Cytochemistry","id":"ITEM-1","issue":"2","issued":{"date-parts":[["1999"]]},"page":"159-167","title":"Caveolae and vesiculo-vacuolar organelles in bovine capillary endothelial cells cultured with VPF/VEGF on floating matrigel-collagen gels","type":"article-journal","volume":"47"},"uris":["http://www.mendeley.com/documents/?uuid=30f04960-52a7-4e43-91bc-b9cc7601ff5c"]}],"mendeley":{"formattedCitation":"&lt;sup&gt;58&lt;/sup&gt;","plainTextFormattedCitation":"58","previouslyFormattedCitation":"&lt;sup&gt;58&lt;/sup&gt;"},"properties":{"noteIndex":0},"schema":"https://github.com/citation-style-language/schema/raw/master/csl-citation.json"}</w:instrText>
      </w:r>
      <w:r w:rsidRPr="00C06183">
        <w:rPr>
          <w:rStyle w:val="eop"/>
          <w:rFonts w:ascii="Arial" w:eastAsia="MS Mincho" w:hAnsi="Arial" w:cs="Arial"/>
        </w:rPr>
        <w:fldChar w:fldCharType="separate"/>
      </w:r>
      <w:r w:rsidR="009E6E61" w:rsidRPr="009E6E61">
        <w:rPr>
          <w:rStyle w:val="eop"/>
          <w:rFonts w:ascii="Arial" w:eastAsia="MS Mincho" w:hAnsi="Arial" w:cs="Arial"/>
          <w:noProof/>
          <w:vertAlign w:val="superscript"/>
        </w:rPr>
        <w:t>58</w:t>
      </w:r>
      <w:r w:rsidRPr="00C06183">
        <w:rPr>
          <w:rStyle w:val="eop"/>
          <w:rFonts w:ascii="Arial" w:eastAsia="MS Mincho" w:hAnsi="Arial" w:cs="Arial"/>
        </w:rPr>
        <w:fldChar w:fldCharType="end"/>
      </w:r>
      <w:r w:rsidRPr="00C06183">
        <w:rPr>
          <w:rStyle w:val="eop"/>
          <w:rFonts w:ascii="Arial" w:eastAsia="MS Mincho" w:hAnsi="Arial" w:cs="Arial"/>
        </w:rPr>
        <w:t xml:space="preserve"> </w:t>
      </w:r>
      <w:r w:rsidRPr="00C06183">
        <w:rPr>
          <w:rStyle w:val="normaltextrun"/>
          <w:rFonts w:ascii="Arial" w:hAnsi="Arial" w:cs="Arial"/>
          <w:color w:val="000000"/>
          <w:bdr w:val="none" w:sz="0" w:space="0" w:color="auto" w:frame="1"/>
        </w:rPr>
        <w:t>Further work is needed to determine if the VVO-mediated pathway is a viable transport route for nanoparticles and nanomedicines. Another potential nanoparticle transport pathway is through fenestrae, i.e., transcellular pores that are typically found in liver sinusoidal and glomerular endothelial cells</w:t>
      </w:r>
      <w:r w:rsidR="009E6E61">
        <w:rPr>
          <w:rStyle w:val="normaltextrun"/>
          <w:rFonts w:ascii="Arial" w:hAnsi="Arial" w:cs="Arial"/>
          <w:color w:val="000000"/>
          <w:bdr w:val="none" w:sz="0" w:space="0" w:color="auto" w:frame="1"/>
        </w:rPr>
        <w:t>,</w:t>
      </w:r>
      <w:r w:rsidRPr="00C06183">
        <w:rPr>
          <w:rStyle w:val="eop"/>
          <w:rFonts w:ascii="Arial" w:eastAsia="MS Mincho" w:hAnsi="Arial" w:cs="Arial"/>
        </w:rPr>
        <w:fldChar w:fldCharType="begin" w:fldLock="1"/>
      </w:r>
      <w:r w:rsidR="00DF25E0">
        <w:rPr>
          <w:rStyle w:val="eop"/>
          <w:rFonts w:ascii="Arial" w:eastAsia="MS Mincho" w:hAnsi="Arial" w:cs="Arial"/>
        </w:rPr>
        <w:instrText>ADDIN CSL_CITATION {"citationItems":[{"id":"ITEM-1","itemData":{"DOI":"10.1016/j.jsb.2010.06.001","ISBN":"6176321972","ISSN":"10478477","PMID":"1000000221","author":[{"dropping-particle":"","family":"Cogger","given":"Victoria C.","non-dropping-particle":"","parse-names":false,"suffix":""},{"dropping-particle":"","family":"McNerney","given":"Gregory P.","non-dropping-particle":"","parse-names":false,"suffix":""},{"dropping-particle":"","family":"Nyunt","given":"Tun","non-dropping-particle":"","parse-names":false,"suffix":""},{"dropping-particle":"","family":"DeLeve","given":"Laurie D.","non-dropping-particle":"","parse-names":false,"suffix":""},{"dropping-particle":"","family":"McCourt","given":"Peter","non-dropping-particle":"","parse-names":false,"suffix":""},{"dropping-particle":"","family":"Smedsrød","given":"Bård","non-dropping-particle":"","parse-names":false,"suffix":""},{"dropping-particle":"","family":"Couteur","given":"David G.","non-dropping-particle":"Le","parse-names":false,"suffix":""},{"dropping-particle":"","family":"Huser","given":"Thomas R.","non-dropping-particle":"","parse-names":false,"suffix":""}],"container-title":"Journal of Structural Biology","id":"ITEM-1","issue":"3","issued":{"date-parts":[["2010","9"]]},"page":"382-388","title":"Three-dimensional structured illumination microscopy of liver sinusoidal endothelial cell fenestrations","type":"article-journal","volume":"171"},"uris":["http://www.mendeley.com/documents/?uuid=69052617-da6a-47cd-b611-65c2435bf08f"]},{"id":"ITEM-2","itemData":{"DOI":"10.1111/j.1523-1755.2005.00260.x","ISSN":"00852538","abstract":"Background. Glomerular endothelial cells differ from most other endothelial cells in that they are extraordinarily flattened and highly fenestrated. In this differentiated form, they allow formation of glomerular ultrafiltrate at a prodigious rate. Methods. Molecular processes that dictate the development and differentiation of glomerular endothelium are reviewed. Results. During glomerular development, angioblasts already present in the metanephric blastema well before any organized angiogenic sprouts invade the capillary cleft of developing nephrons at the comma and S-shape stages in response to chemotactic and guiding cues from primitive podocytes. The angioblasts then undergo homotypic aggregation into precapillary cords as yet devoid of a lumen. Lumen development then proceeds through the loss of superfluous endothelial cells by apoptosis as well as flattening of the remaining viable endothelial cells. The final step, fenestration, is critically dependent on appropriate stimuli, most notably vascular endothelial growth factor A (VEGF-A), from differentiated podocytes. Current evidence suggests that the fenestrae of fully differentiated glomerular endothelium can be lost within hours if the VEGF-A stimulus is removed, and that the glomerular endotheliosis, loss of glomerular filtration rate (GFR) and proteinuria observed in preeclampsia are due to the circulating inhibitor of VEGF-A, soluble VEGF receptor 1 (VEGFR-1). Conclusion. Differentiation of the glomerular endothelium is highly dependent on podocyte-derived stimuli and their loss leads to the derangements of glomerular function in preeclampsia. © 2005 by the International Society of Nephrology.","author":[{"dropping-particle":"","family":"Ballermann","given":"Barbara J.","non-dropping-particle":"","parse-names":false,"suffix":""}],"container-title":"Kidney International","id":"ITEM-2","issue":"5","issued":{"date-parts":[["2005"]]},"page":"1668-1671","title":"Glomerular endothelial cell differentiation","type":"article-journal","volume":"67"},"uris":["http://www.mendeley.com/documents/?uuid=7c30f0d3-03e5-49f0-b92e-9f79a341db40"]}],"mendeley":{"formattedCitation":"&lt;sup&gt;59,60&lt;/sup&gt;","plainTextFormattedCitation":"59,60","previouslyFormattedCitation":"&lt;sup&gt;59,60&lt;/sup&gt;"},"properties":{"noteIndex":0},"schema":"https://github.com/citation-style-language/schema/raw/master/csl-citation.json"}</w:instrText>
      </w:r>
      <w:r w:rsidRPr="00C06183">
        <w:rPr>
          <w:rStyle w:val="eop"/>
          <w:rFonts w:ascii="Arial" w:eastAsia="MS Mincho" w:hAnsi="Arial" w:cs="Arial"/>
        </w:rPr>
        <w:fldChar w:fldCharType="separate"/>
      </w:r>
      <w:r w:rsidR="009E6E61" w:rsidRPr="009E6E61">
        <w:rPr>
          <w:rStyle w:val="eop"/>
          <w:rFonts w:ascii="Arial" w:eastAsia="MS Mincho" w:hAnsi="Arial" w:cs="Arial"/>
          <w:noProof/>
          <w:vertAlign w:val="superscript"/>
        </w:rPr>
        <w:t>59,60</w:t>
      </w:r>
      <w:r w:rsidRPr="00C06183">
        <w:rPr>
          <w:rStyle w:val="eop"/>
          <w:rFonts w:ascii="Arial" w:eastAsia="MS Mincho" w:hAnsi="Arial" w:cs="Arial"/>
        </w:rPr>
        <w:fldChar w:fldCharType="end"/>
      </w:r>
      <w:r w:rsidRPr="00C06183">
        <w:rPr>
          <w:rStyle w:val="eop"/>
          <w:rFonts w:ascii="Arial" w:eastAsia="MS Mincho" w:hAnsi="Arial" w:cs="Arial"/>
        </w:rPr>
        <w:t xml:space="preserve"> which have also been observed and documented in tumor vessels, for example in mother vessels (MVs) and capillaries (Figure </w:t>
      </w:r>
      <w:r w:rsidR="000E44BA">
        <w:rPr>
          <w:rStyle w:val="eop"/>
          <w:rFonts w:ascii="Arial" w:eastAsia="MS Mincho" w:hAnsi="Arial" w:cs="Arial"/>
        </w:rPr>
        <w:t>1.</w:t>
      </w:r>
      <w:r w:rsidRPr="00C06183">
        <w:rPr>
          <w:rStyle w:val="eop"/>
          <w:rFonts w:ascii="Arial" w:eastAsia="MS Mincho" w:hAnsi="Arial" w:cs="Arial"/>
        </w:rPr>
        <w:t>3)</w:t>
      </w:r>
      <w:r w:rsidR="009E6E61">
        <w:rPr>
          <w:rStyle w:val="eop"/>
          <w:rFonts w:ascii="Arial" w:eastAsia="MS Mincho" w:hAnsi="Arial" w:cs="Arial"/>
        </w:rPr>
        <w:t>.</w:t>
      </w:r>
      <w:r w:rsidRPr="00C06183">
        <w:rPr>
          <w:rStyle w:val="eop"/>
          <w:rFonts w:ascii="Arial" w:eastAsia="MS Mincho" w:hAnsi="Arial" w:cs="Arial"/>
        </w:rPr>
        <w:fldChar w:fldCharType="begin" w:fldLock="1"/>
      </w:r>
      <w:r w:rsidR="00DF25E0">
        <w:rPr>
          <w:rStyle w:val="eop"/>
          <w:rFonts w:ascii="Arial" w:eastAsia="MS Mincho" w:hAnsi="Arial" w:cs="Arial"/>
        </w:rPr>
        <w:instrText>ADDIN CSL_CITATION {"citationItems":[{"id":"ITEM-1","itemData":{"DOI":"10.1006/mvre.1999.2207","ISSN":"00262862","author":[{"dropping-particle":"","family":"Feng","given":"Dian","non-dropping-particle":"","parse-names":false,"suffix":""},{"dropping-particle":"","family":"Nagy","given":"Janice A.","non-dropping-particle":"","parse-names":false,"suffix":""},{"dropping-particle":"","family":"Dvorak","given":"Ann M.","non-dropping-particle":"","parse-names":false,"suffix":""},{"dropping-particle":"","family":"Dvorak","given":"Harold F.","non-dropping-particle":"","parse-names":false,"suffix":""}],"container-title":"Microvascular Research","id":"ITEM-1","issue":"1","issued":{"date-parts":[["2000","1"]]},"page":"24-37","title":"Different Pathways of Macromolecule Extravasation from Hyperpermeable Tumor Vessels","type":"article-journal","volume":"59"},"uris":["http://www.mendeley.com/documents/?uuid=c01ffceb-9915-4603-9c25-760dc881df87"]}],"mendeley":{"formattedCitation":"&lt;sup&gt;61&lt;/sup&gt;","plainTextFormattedCitation":"61","previouslyFormattedCitation":"&lt;sup&gt;61&lt;/sup&gt;"},"properties":{"noteIndex":0},"schema":"https://github.com/citation-style-language/schema/raw/master/csl-citation.json"}</w:instrText>
      </w:r>
      <w:r w:rsidRPr="00C06183">
        <w:rPr>
          <w:rStyle w:val="eop"/>
          <w:rFonts w:ascii="Arial" w:eastAsia="MS Mincho" w:hAnsi="Arial" w:cs="Arial"/>
        </w:rPr>
        <w:fldChar w:fldCharType="separate"/>
      </w:r>
      <w:r w:rsidR="009E6E61" w:rsidRPr="009E6E61">
        <w:rPr>
          <w:rStyle w:val="eop"/>
          <w:rFonts w:ascii="Arial" w:eastAsia="MS Mincho" w:hAnsi="Arial" w:cs="Arial"/>
          <w:noProof/>
          <w:vertAlign w:val="superscript"/>
        </w:rPr>
        <w:t>61</w:t>
      </w:r>
      <w:r w:rsidRPr="00C06183">
        <w:rPr>
          <w:rStyle w:val="eop"/>
          <w:rFonts w:ascii="Arial" w:eastAsia="MS Mincho" w:hAnsi="Arial" w:cs="Arial"/>
        </w:rPr>
        <w:fldChar w:fldCharType="end"/>
      </w:r>
      <w:r w:rsidRPr="00C06183">
        <w:rPr>
          <w:rStyle w:val="eop"/>
          <w:rFonts w:ascii="Arial" w:eastAsia="MS Mincho" w:hAnsi="Arial" w:cs="Arial"/>
        </w:rPr>
        <w:t xml:space="preserve"> To understand and probe the nanoparticle transport mechanisms across tumor vasculature, the use of 3D microfluidic models that more truthfully recapitulate the tumor microenvironment </w:t>
      </w:r>
      <w:r w:rsidRPr="00C06183">
        <w:rPr>
          <w:rStyle w:val="eop"/>
          <w:rFonts w:ascii="Arial" w:eastAsia="MS Mincho" w:hAnsi="Arial" w:cs="Arial"/>
          <w:i/>
          <w:iCs/>
        </w:rPr>
        <w:t>in vitro</w:t>
      </w:r>
      <w:r w:rsidRPr="00C06183">
        <w:rPr>
          <w:rStyle w:val="eop"/>
          <w:rFonts w:ascii="Arial" w:eastAsia="MS Mincho" w:hAnsi="Arial" w:cs="Arial"/>
        </w:rPr>
        <w:t xml:space="preserve"> may be of value</w:t>
      </w:r>
      <w:r w:rsidR="009E6E61">
        <w:rPr>
          <w:rStyle w:val="eop"/>
          <w:rFonts w:ascii="Arial" w:eastAsia="MS Mincho" w:hAnsi="Arial" w:cs="Arial"/>
        </w:rPr>
        <w:t>.</w:t>
      </w:r>
      <w:r w:rsidRPr="00C06183">
        <w:rPr>
          <w:rStyle w:val="eop"/>
          <w:rFonts w:ascii="Arial" w:eastAsia="MS Mincho" w:hAnsi="Arial" w:cs="Arial"/>
        </w:rPr>
        <w:fldChar w:fldCharType="begin" w:fldLock="1"/>
      </w:r>
      <w:r w:rsidR="00DF25E0">
        <w:rPr>
          <w:rStyle w:val="eop"/>
          <w:rFonts w:ascii="Arial" w:eastAsia="MS Mincho" w:hAnsi="Arial" w:cs="Arial"/>
        </w:rPr>
        <w:instrText>ADDIN CSL_CITATION {"citationItems":[{"id":"ITEM-1","itemData":{"DOI":"10.1038/s41598-018-21075-9","ISSN":"20452322","abstract":"Assessment of anti-cancer drug efficacy in in vitro three-dimensional (3D) bioengineered cancer models provides important contextual and relevant information towards pre-clinical translation of potential drug candidates. However, currently established models fail to sufficiently recapitulate complex tumor heterogeneity. Here we present a chip-based tumor-mimetic platform incorporating a 3D in vitro breast cancer model with a tumor-mimetic microvascular network, replicating the pathophysiological architecture of native vascularized breast tumors. The microfluidic platform facilitated formation of mature, lumenized and flow-aligned endothelium under physiological flow recapitulating both high and low perfused tumor regions. Metastatic and non-metastatic breast cancer cells were maintained in long-term 3D co-culture with stromal fibroblasts in a poly(ethylene glycol)-fibrinogen hydrogel matrix within adjoining tissue chambers. The interstitial space between the chambers and endothelium contained pores to mimic the \"leaky\" vasculature found in vivo and facilitate cancer cell-endothelial cell communication. Microvascular pattern-dependent flow variations induced concentration gradients within the 3D tumor mass, leading to morphological tumor heterogeneity. Anti-cancer drugs displayed cell type- and flow pattern-dependent effects on cancer cell viability, viable tumor area and associated endothelial cytotoxicity. Overall, the developed microfluidic tumor-mimetic platform facilitates investigation of cancer-stromal-endothelial interactions and highlights the role of a fluidic, tumor-mimetic vascular network on anti-cancer drug delivery and efficacy for improved translation towards pre-clinical studies.","author":[{"dropping-particle":"","family":"Pradhan","given":"Shantanu","non-dropping-particle":"","parse-names":false,"suffix":""},{"dropping-particle":"","family":"Smith","given":"Ashley M.","non-dropping-particle":"","parse-names":false,"suffix":""},{"dropping-particle":"","family":"Garson","given":"Charles J.","non-dropping-particle":"","parse-names":false,"suffix":""},{"dropping-particle":"","family":"Hassani","given":"Iman","non-dropping-particle":"","parse-names":false,"suffix":""},{"dropping-particle":"","family":"Seeto","given":"Wen J.","non-dropping-particle":"","parse-names":false,"suffix":""},{"dropping-particle":"","family":"Pant","given":"Kapil","non-dropping-particle":"","parse-names":false,"suffix":""},{"dropping-particle":"","family":"Arnold","given":"Robert D.","non-dropping-particle":"","parse-names":false,"suffix":""},{"dropping-particle":"","family":"Prabhakarpandian","given":"Balabhaskar","non-dropping-particle":"","parse-names":false,"suffix":""},{"dropping-particle":"","family":"Lipke","given":"Elizabeth A.","non-dropping-particle":"","parse-names":false,"suffix":""}],"container-title":"Scientific Reports","id":"ITEM-1","issue":"1","issued":{"date-parts":[["2018"]]},"page":"1-15","publisher":"Springer US","title":"A Microvascularized Tumor-mimetic Platform for Assessing Anti-cancer Drug Efficacy","type":"article-journal","volume":"8"},"uris":["http://www.mendeley.com/documents/?uuid=daa0036e-1533-4e7f-aa7a-bf4932eceec2"]},{"id":"ITEM-2","itemData":{"DOI":"10.1002/admt.202000103","ISSN":"2365-709X","author":[{"dropping-particle":"","family":"Chen","given":"Yih Yang","non-dropping-particle":"","parse-names":false,"suffix":""},{"dropping-particle":"","family":"Kingston","given":"Benjamin R.","non-dropping-particle":"","parse-names":false,"suffix":""},{"dropping-particle":"","family":"Chan","given":"Warren C. W.","non-dropping-particle":"","parse-names":false,"suffix":""}],"container-title":"Advanced Materials Technologies","id":"ITEM-2","issued":{"date-parts":[["2020","4","27"]]},"page":"2000103","title":"Transcribing In Vivo Blood Vessel Networks into In Vitro Perfusable Microfluidic Devices","type":"article-journal"},"uris":["http://www.mendeley.com/documents/?uuid=63b7a521-480a-4adb-907c-94597c45870a"]}],"mendeley":{"formattedCitation":"&lt;sup&gt;62,63&lt;/sup&gt;","plainTextFormattedCitation":"62,63","previouslyFormattedCitation":"&lt;sup&gt;62,63&lt;/sup&gt;"},"properties":{"noteIndex":0},"schema":"https://github.com/citation-style-language/schema/raw/master/csl-citation.json"}</w:instrText>
      </w:r>
      <w:r w:rsidRPr="00C06183">
        <w:rPr>
          <w:rStyle w:val="eop"/>
          <w:rFonts w:ascii="Arial" w:eastAsia="MS Mincho" w:hAnsi="Arial" w:cs="Arial"/>
        </w:rPr>
        <w:fldChar w:fldCharType="separate"/>
      </w:r>
      <w:r w:rsidR="009E6E61" w:rsidRPr="009E6E61">
        <w:rPr>
          <w:rStyle w:val="eop"/>
          <w:rFonts w:ascii="Arial" w:eastAsia="MS Mincho" w:hAnsi="Arial" w:cs="Arial"/>
          <w:noProof/>
          <w:vertAlign w:val="superscript"/>
        </w:rPr>
        <w:t>62,63</w:t>
      </w:r>
      <w:r w:rsidRPr="00C06183">
        <w:rPr>
          <w:rStyle w:val="eop"/>
          <w:rFonts w:ascii="Arial" w:eastAsia="MS Mincho" w:hAnsi="Arial" w:cs="Arial"/>
        </w:rPr>
        <w:fldChar w:fldCharType="end"/>
      </w:r>
    </w:p>
    <w:p w14:paraId="6F5E6C3B" w14:textId="77777777" w:rsidR="00A22975" w:rsidRDefault="00A22975" w:rsidP="00C06183">
      <w:pPr>
        <w:pStyle w:val="paragraph"/>
        <w:spacing w:before="0" w:beforeAutospacing="0" w:after="0" w:afterAutospacing="0" w:line="480" w:lineRule="auto"/>
        <w:ind w:firstLine="720"/>
        <w:jc w:val="both"/>
        <w:textAlignment w:val="baseline"/>
        <w:rPr>
          <w:rFonts w:ascii="Arial" w:hAnsi="Arial" w:cs="Arial"/>
          <w:b/>
          <w:bCs/>
          <w:u w:val="single"/>
        </w:rPr>
      </w:pPr>
    </w:p>
    <w:p w14:paraId="3D600BE0" w14:textId="77777777" w:rsidR="00547CC6" w:rsidRDefault="00547CC6" w:rsidP="00C06183">
      <w:pPr>
        <w:pStyle w:val="paragraph"/>
        <w:spacing w:before="0" w:beforeAutospacing="0" w:after="0" w:afterAutospacing="0" w:line="480" w:lineRule="auto"/>
        <w:ind w:firstLine="720"/>
        <w:jc w:val="both"/>
        <w:textAlignment w:val="baseline"/>
        <w:rPr>
          <w:rFonts w:ascii="Arial" w:hAnsi="Arial" w:cs="Arial"/>
          <w:b/>
          <w:bCs/>
          <w:u w:val="single"/>
        </w:rPr>
      </w:pPr>
    </w:p>
    <w:p w14:paraId="23CE0CB1" w14:textId="77777777" w:rsidR="00547CC6" w:rsidRPr="00C06183" w:rsidRDefault="00547CC6" w:rsidP="00C06183">
      <w:pPr>
        <w:pStyle w:val="paragraph"/>
        <w:spacing w:before="0" w:beforeAutospacing="0" w:after="0" w:afterAutospacing="0" w:line="480" w:lineRule="auto"/>
        <w:ind w:firstLine="720"/>
        <w:jc w:val="both"/>
        <w:textAlignment w:val="baseline"/>
        <w:rPr>
          <w:rFonts w:ascii="Arial" w:hAnsi="Arial" w:cs="Arial"/>
          <w:b/>
          <w:bCs/>
          <w:u w:val="single"/>
        </w:rPr>
      </w:pPr>
    </w:p>
    <w:p w14:paraId="646C3618" w14:textId="541BAC98" w:rsidR="00C06183" w:rsidRDefault="00C06183" w:rsidP="00721691">
      <w:pPr>
        <w:pStyle w:val="Heading2"/>
        <w:numPr>
          <w:ilvl w:val="1"/>
          <w:numId w:val="15"/>
        </w:numPr>
      </w:pPr>
      <w:bookmarkStart w:id="11" w:name="_Toc151032410"/>
      <w:r w:rsidRPr="00C06183">
        <w:lastRenderedPageBreak/>
        <w:t>The entry of nanoparticles into the tumor microenvironment</w:t>
      </w:r>
      <w:bookmarkEnd w:id="11"/>
    </w:p>
    <w:p w14:paraId="2FDD33DF" w14:textId="77777777" w:rsidR="00721691" w:rsidRDefault="00721691" w:rsidP="00721691">
      <w:pPr>
        <w:pStyle w:val="ListParagraph"/>
      </w:pPr>
    </w:p>
    <w:p w14:paraId="297A7C8F" w14:textId="77777777" w:rsidR="00721691" w:rsidRPr="00721691" w:rsidRDefault="00721691" w:rsidP="00721691">
      <w:pPr>
        <w:pStyle w:val="ListParagraph"/>
      </w:pPr>
    </w:p>
    <w:p w14:paraId="266412CF" w14:textId="3FB7F49A" w:rsidR="00C06183" w:rsidRDefault="001A7A8B" w:rsidP="00721691">
      <w:pPr>
        <w:pStyle w:val="Heading3"/>
      </w:pPr>
      <w:bookmarkStart w:id="12" w:name="_Toc151032411"/>
      <w:r>
        <w:t>1.</w:t>
      </w:r>
      <w:r w:rsidR="00C06183" w:rsidRPr="00C06183">
        <w:t>3.1</w:t>
      </w:r>
      <w:r w:rsidR="00C06183" w:rsidRPr="00C06183">
        <w:tab/>
        <w:t>Overview of existing paradigms</w:t>
      </w:r>
      <w:bookmarkEnd w:id="12"/>
    </w:p>
    <w:p w14:paraId="3A1C7E57" w14:textId="77777777" w:rsidR="00721691" w:rsidRPr="00721691" w:rsidRDefault="00721691" w:rsidP="00721691"/>
    <w:p w14:paraId="6115CE93" w14:textId="379BD2DE" w:rsidR="00A22975" w:rsidRDefault="00C06183" w:rsidP="00A22975">
      <w:pPr>
        <w:spacing w:line="480" w:lineRule="auto"/>
        <w:jc w:val="both"/>
        <w:rPr>
          <w:rFonts w:ascii="Arial" w:hAnsi="Arial" w:cs="Arial"/>
          <w:sz w:val="24"/>
          <w:szCs w:val="24"/>
        </w:rPr>
      </w:pPr>
      <w:r w:rsidRPr="00C06183">
        <w:rPr>
          <w:rFonts w:ascii="Arial" w:hAnsi="Arial" w:cs="Arial"/>
          <w:sz w:val="24"/>
          <w:szCs w:val="24"/>
        </w:rPr>
        <w:tab/>
        <w:t xml:space="preserve">The field of cancer nanomedicine has gone through many advancements over the past few decades since the first electron micrograph of tumor cells in 1947, as summarized chronologically in </w:t>
      </w:r>
      <w:r w:rsidRPr="000E44BA">
        <w:rPr>
          <w:rFonts w:ascii="Arial" w:hAnsi="Arial" w:cs="Arial"/>
          <w:sz w:val="24"/>
          <w:szCs w:val="24"/>
        </w:rPr>
        <w:t xml:space="preserve">Figure </w:t>
      </w:r>
      <w:r w:rsidR="00A22975" w:rsidRPr="000E44BA">
        <w:rPr>
          <w:rFonts w:ascii="Arial" w:hAnsi="Arial" w:cs="Arial"/>
          <w:sz w:val="24"/>
          <w:szCs w:val="24"/>
        </w:rPr>
        <w:t>1.</w:t>
      </w:r>
      <w:r w:rsidRPr="000E44BA">
        <w:rPr>
          <w:rFonts w:ascii="Arial" w:hAnsi="Arial" w:cs="Arial"/>
          <w:sz w:val="24"/>
          <w:szCs w:val="24"/>
        </w:rPr>
        <w:t>4</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{"citationItems":[{"id":"ITEM-1","itemData":{"ISSN":"15387445","author":[{"dropping-particle":"","family":"Claude","given":"Albert","non-dropping-particle":"","parse-names":false,"suffix":""},{"dropping-particle":"","family":"Porter","given":"Keith R.","non-dropping-particle":"","parse-names":false,"suffix":""},{"dropping-particle":"","family":"Pickels","given":"Edward G.","non-dropping-particle":"","parse-names":false,"suffix":""}],"container-title":"Cancer Research","id":"ITEM-1","issue":"7","issued":{"date-parts":[["1947"]]},"page":"421-430","title":"Electron Microscope Study of Chicken Tumor Cells","type":"article-journal","volume":"7"},"uris":["http://www.mendeley.com/documents/?uuid=71b7a7d3-915f-4f31-9936-47c7e389f105"]}],"mendeley":{"formattedCitation":"&lt;sup&gt;64&lt;/sup&gt;","plainTextFormattedCitation":"64","previouslyFormattedCitation":"&lt;sup&gt;64&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64</w:t>
      </w:r>
      <w:r w:rsidRPr="00C06183">
        <w:rPr>
          <w:rFonts w:ascii="Arial" w:hAnsi="Arial" w:cs="Arial"/>
          <w:sz w:val="24"/>
          <w:szCs w:val="24"/>
        </w:rPr>
        <w:fldChar w:fldCharType="end"/>
      </w:r>
      <w:r w:rsidRPr="00C06183">
        <w:rPr>
          <w:rFonts w:ascii="Arial" w:hAnsi="Arial" w:cs="Arial"/>
          <w:sz w:val="24"/>
          <w:szCs w:val="24"/>
        </w:rPr>
        <w:t xml:space="preserve"> </w:t>
      </w:r>
      <w:bookmarkStart w:id="13" w:name="_Hlk46303554"/>
      <w:r w:rsidRPr="00C06183">
        <w:rPr>
          <w:rFonts w:ascii="Arial" w:hAnsi="Arial" w:cs="Arial"/>
          <w:sz w:val="24"/>
          <w:szCs w:val="24"/>
        </w:rPr>
        <w:t>The introduction of liposomes and their later conjugation with antibodies for specific, active targeting, known as immunoliposomes, further serve as major milestones in the origin of the field</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10.1016/S0022-2836(64)80115-7","ISSN":"00222836","author":[{"dropping-particle":"","family":"Bangham","given":"A.D.","non-dropping-particle":"","parse-names":false,"suffix":""},{"dropping-particle":"","family":"Horne","given":"R.W.","non-dropping-particle":"","parse-names":false,"suffix":""}],"container-title":"Journal of Molecular Biology","id":"ITEM-1","issue":"5","issued":{"date-parts":[["1964","1"]]},"page":"660-IN10","title":"Negative staining of phospholipids and their structural modification by surface-active agents as observed in the electron microscope","type":"article-journal","volume":"8"},"uris":["http://www.mendeley.com/documents/?uuid=6fe68652-9790-4166-bb3f-229d9e685540"]},{"id":"ITEM-2","itemData":{"ISSN":"0022-1767","PMID":"368242","abstract":"Small unilamellar lipid vesicles bearing the DNP-hapten on their surfaces and containing the water-soluble fluorescent dye carboxyfluorescein were formed by sonication. These vesicles were incubated with cells from the murine myeloma tumor MOPC 315, which secrete and also bear on the cell surface an immunoglobulin with affinity for the nitrophenyl hapten. At 0 degrees C the cells bound an average of several thousand vesicles at saturation. This binding was specific for the nitrophenyl hapten on the vesicle since it was abolished by an excess of soluble nitrophenyl derivative, by omission of the hapten from the vesicle, or by substitution for MOPC 315 of a tumor lacking receptors for the nitrophenyl hapten. Specific binding of vesicles was greater when cells were incubated at 37 degrees C. The study suggests that ligand-bearing vesicles can be a useful marker for cell surface immunoglobulin. However, in spite of the ability to \"target\" vesicles to cell surface determinants, binding did not result in increased delivery of vesicle contents to the cytoplasm.","author":[{"dropping-particle":"","family":"Leserman","given":"Lee D","non-dropping-particle":"","parse-names":false,"suffix":""},{"dropping-particle":"","family":"Weinstein","given":"John N","non-dropping-particle":"","parse-names":false,"suffix":""},{"dropping-particle":"","family":"Blumenthal","given":"Robert","non-dropping-particle":"","parse-names":false,"suffix":""},{"dropping-particle":"","family":"Sharrow","given":"S O","non-dropping-particle":"","parse-names":false,"suffix":""},{"dropping-particle":"","family":"Terry","given":"William D","non-dropping-particle":"","parse-names":false,"suffix":""}],"container-title":"Journal of immunology (Baltimore, Md. : 1950)","id":"ITEM-2","issue":"2","issued":{"date-parts":[["1979","2"]]},"page":"585-91","title":"Binding of antigen-bearing fluorescent liposomes to the murine myeloma tumor MOPC 315.","type":"article-journal","volume":"122"},"uris":["http://www.mendeley.com/documents/?uuid=c2a987e5-d898-4f60-a233-1679fc5a424f"]},{"id":"ITEM-3","itemData":{"DOI":"10.1016/0022-1759(81)90131-9","ISSN":"00221759","author":[{"dropping-particle":"","family":"Huang","given":"Anthony","non-dropping-particle":"","parse-names":false,"suffix":""},{"dropping-particle":"","family":"Kennel","given":"Stephen J.","non-dropping-particle":"","parse-names":false,"suffix":""},{"dropping-particle":"","family":"Huang","given":"Leaf","non-dropping-particle":"","parse-names":false,"suffix":""}],"container-title":"Journal of Immunological Methods","id":"ITEM-3","issue":"2","issued":{"date-parts":[["1981","10"]]},"page":"141-151","title":"Immunoliposome labeling: A sensitive and specific method for cell surface labeling","type":"article-journal","volume":"46"},"uris":["http://www.mendeley.com/documents/?uuid=f4f45d76-de93-4b03-97e4-249c4070abf2"]}],"mendeley":{"formattedCitation":"&lt;sup&gt;65–67&lt;/sup&gt;","plainTextFormattedCitation":"65–67","previouslyFormattedCitation":"&lt;sup&gt;65–67&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65–67</w:t>
      </w:r>
      <w:r w:rsidRPr="00C06183">
        <w:rPr>
          <w:rFonts w:ascii="Arial" w:hAnsi="Arial" w:cs="Arial"/>
          <w:sz w:val="24"/>
          <w:szCs w:val="24"/>
        </w:rPr>
        <w:fldChar w:fldCharType="end"/>
      </w:r>
      <w:r w:rsidRPr="00C06183">
        <w:rPr>
          <w:rFonts w:ascii="Arial" w:hAnsi="Arial" w:cs="Arial"/>
          <w:sz w:val="24"/>
          <w:szCs w:val="24"/>
        </w:rPr>
        <w:t xml:space="preserve"> </w:t>
      </w:r>
      <w:bookmarkEnd w:id="13"/>
      <w:r w:rsidRPr="00C06183">
        <w:rPr>
          <w:rFonts w:ascii="Arial" w:hAnsi="Arial" w:cs="Arial"/>
          <w:sz w:val="24"/>
          <w:szCs w:val="24"/>
        </w:rPr>
        <w:t>In the 1970s and 1980s, methods of improving nanoparticle tumor delivery were already underway, as noted by the discovery that locally heating a tumor can cause an increase in nanoparticle extravasation until blood vessel destruction occurs</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{"citationItems":[{"id":"ITEM-1","itemData":{"author":[{"dropping-particle":"","family":"Weinstein","given":"J N","non-dropping-particle":"","parse-names":false,"suffix":""},{"dropping-particle":"","family":"Magin","given":"R L","non-dropping-particle":"","parse-names":false,"suffix":""},{"dropping-particle":"","family":"Yatvin","given":"M B","non-dropping-particle":"","parse-names":false,"suffix":""},{"dropping-particle":"","family":"Zaharko","given":"D S","non-dropping-particle":"","parse-names":false,"suffix":""}],"container-title":"Science","id":"ITEM-1","issue":"4389","issued":{"date-parts":[["1979"]]},"page":"188-191","title":"Liposomes and Local Hyperthermia: Selective Delivery","type":"article-journal","volume":"204"},"uris":["http://www.mendeley.com/documents/?uuid=59ff74d3-f5b2-4b8b-94fb-583f618918b9"]},{"id":"ITEM-2","itemData":{"DOI":"10.1080/026567399285558","ISBN":"0265673992","ISSN":"02656736","abstract":"Hyperthermia and liposomal drug delivery are treatment modalities that have been used to treat cancer over the last two decades. More recently, the two therapies have been used together in an attempt to exploit their mutual interactions against cancer. The goal of this review is to explore the literature related to combined hyperthermia and liposomal drug delivery for cancer therapy. The motivation behind combining hyperthermia and liposomal drug delivery is discussed from a physical chemical and physiological standpoint. Two types of therapeutic ratios were calculated for in vivo studies from across the literature. These ratios compared the results obtained from hyperthermia and liposomes to hyperthermia and free drug as well as to liposomes without hyperthermia. These two therapeutic ratios were applied to both tumour drug uptake and tumour growth delay studies. In all studies reviewed, hyperthermia in combination with liposomal drug showed an enhanced therapeutic effect compared to either treatment modality alone or hyperthermia and free drug. Future work needs to be focused on optimizing thermosensitive liposomes and understanding the effect of thermal dose on liposomal drug delivery. Though not currently used in the clinic, this combination therapy seems to hold great promise towards improving current cancer therapeutic regimens.","author":[{"dropping-particle":"","family":"Kong","given":"G.","non-dropping-particle":"","parse-names":false,"suffix":""},{"dropping-particle":"","family":"Dewhirst","given":"M. W.","non-dropping-particle":"","parse-names":false,"suffix":""}],"container-title":"International Journal of Hyperthermia","id":"ITEM-2","issue":"5","issued":{"date-parts":[["1999"]]},"page":"345-370","title":"Hyperthermia and liposomes","type":"article-journal","volume":"15"},"uris":["http://www.mendeley.com/documents/?uuid=7e8953a7-3d94-4c60-ba63-e087f3e5a9fc"]}],"mendeley":{"formattedCitation":"&lt;sup&gt;68,69&lt;/sup&gt;","plainTextFormattedCitation":"68,69","previouslyFormattedCitation":"&lt;sup&gt;68,69&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68,69</w:t>
      </w:r>
      <w:r w:rsidRPr="00C06183">
        <w:rPr>
          <w:rFonts w:ascii="Arial" w:hAnsi="Arial" w:cs="Arial"/>
          <w:sz w:val="24"/>
          <w:szCs w:val="24"/>
        </w:rPr>
        <w:fldChar w:fldCharType="end"/>
      </w:r>
      <w:r w:rsidRPr="00C06183">
        <w:rPr>
          <w:rFonts w:ascii="Arial" w:hAnsi="Arial" w:cs="Arial"/>
          <w:sz w:val="24"/>
          <w:szCs w:val="24"/>
        </w:rPr>
        <w:t xml:space="preserve"> Reports of receptor mediated endocytic nanoparticle uptake into tumor cells opened the door to the possibility of controlling cell specific nanoparticle delivery</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{"citationItems":[{"id":"ITEM-1","itemData":{"DOI":"10.1073/pnas.77.7.4089","ISSN":"00278424","abstract":"Specific receptor-mediated delivery of the contents of small, sonicated liposomes was studied with three murine tumor cell types: an IgG Fc receptor-negative non phygocytic line (EL4); an Fc receptor-positive phagocytic line (P388D1); and an Fc receptor-positive nonphagocytic line (P388). The liposomes (formed from phosphatidylcholines, cholesterol, and dinitrophenyl-substituted phosphatidylethanolamine) contained carboxyfluorescein as a fluorescent marker and methotrexate as a pharmacologic agent. Binding and internalization of the liposomes were observed by fluorescence microscopy and measured by flow microfluorometry. The hapten-derivatized lipid was used as a binding point on the liposome for the antibody-combining site of the immunoglobulin. In the presence of IgG anti-dinitrophenyl, but not F(ab')2 or IgA anti-dinitrophenyl, liposomes bound to the Fc receptor-bearing cells. The liposomes underwent endocytosis by the P388D1 cells and, to a lesser extent, by the P388 cells. As measured by depression of [3H)deoxyuridine incorporation, methotrexate in IgG-opsonized liposomes had a much greater pharmacologic effect on the P388D1 cells than did the same amount in unopsonized liposomes or in free solution. This observation indicates that an appropriately chosen drug, incorporated in liposomes, can exert its effect on a cytoplasmic target after encocytosis. P388 cells showed a moderate effect of the drug in liposomes. Neither P388 nor P388D1 cells bound or ingested unopsonized liposomes, and the Fc receptor-negative EL4 line neither bound nor ingested opsonized liposomes. The data demonstrate specific interaction of opsonized liposomes with the cells' IgG Fc receptor.","author":[{"dropping-particle":"","family":"Leserman","given":"L. D.","non-dropping-particle":"","parse-names":false,"suffix":""},{"dropping-particle":"","family":"Weinstein","given":"J. N.","non-dropping-particle":"","parse-names":false,"suffix":""},{"dropping-particle":"","family":"Blumenthal","given":"R.","non-dropping-particle":"","parse-names":false,"suffix":""},{"dropping-particle":"","family":"Terry","given":"W. D.","non-dropping-particle":"","parse-names":false,"suffix":""}],"container-title":"Proceedings of the National Academy of Sciences of the United States of America","id":"ITEM-1","issue":"7 II","issued":{"date-parts":[["1980"]]},"page":"4089-4093","title":"Receptor-mediated endocytosis of antibody-opsonized liposomes by tumor cells","type":"article-journal","volume":"77"},"uris":["http://www.mendeley.com/documents/?uuid=3dfa1df9-43f5-471f-b0b5-2498cb994cf7"]}],"mendeley":{"formattedCitation":"&lt;sup&gt;70&lt;/sup&gt;","plainTextFormattedCitation":"70","previouslyFormattedCitation":"&lt;sup&gt;70&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70</w:t>
      </w:r>
      <w:r w:rsidRPr="00C06183">
        <w:rPr>
          <w:rFonts w:ascii="Arial" w:hAnsi="Arial" w:cs="Arial"/>
          <w:sz w:val="24"/>
          <w:szCs w:val="24"/>
        </w:rPr>
        <w:fldChar w:fldCharType="end"/>
      </w:r>
    </w:p>
    <w:p w14:paraId="59790772" w14:textId="131F81D3" w:rsidR="00A22975" w:rsidRDefault="00A22975">
      <w:pPr>
        <w:rPr>
          <w:rFonts w:ascii="Arial" w:hAnsi="Arial" w:cs="Arial"/>
          <w:sz w:val="24"/>
          <w:szCs w:val="24"/>
        </w:rPr>
      </w:pPr>
      <w:r>
        <w:rPr>
          <w:rFonts w:ascii="Arial" w:hAnsi="Arial" w:cs="Arial"/>
          <w:sz w:val="24"/>
          <w:szCs w:val="24"/>
        </w:rPr>
        <w:br w:type="page"/>
      </w:r>
    </w:p>
    <w:p w14:paraId="3AC43439" w14:textId="77777777" w:rsidR="00A22975" w:rsidRDefault="00A22975" w:rsidP="00A22975">
      <w:pPr>
        <w:spacing w:line="480" w:lineRule="auto"/>
        <w:jc w:val="both"/>
        <w:rPr>
          <w:rFonts w:ascii="Arial" w:hAnsi="Arial" w:cs="Arial"/>
          <w:sz w:val="24"/>
          <w:szCs w:val="24"/>
        </w:rPr>
      </w:pPr>
    </w:p>
    <w:p w14:paraId="0B511FDB" w14:textId="38AE3BA3" w:rsidR="00A22975" w:rsidRDefault="00A22975" w:rsidP="00A22975">
      <w:pPr>
        <w:spacing w:line="240" w:lineRule="auto"/>
        <w:jc w:val="both"/>
        <w:rPr>
          <w:rFonts w:ascii="Arial" w:hAnsi="Arial" w:cs="Arial"/>
          <w:b/>
          <w:bCs/>
          <w:sz w:val="24"/>
          <w:szCs w:val="24"/>
        </w:rPr>
      </w:pPr>
      <w:r>
        <w:rPr>
          <w:noProof/>
        </w:rPr>
        <w:drawing>
          <wp:inline distT="0" distB="0" distL="0" distR="0" wp14:anchorId="0F32AB58" wp14:editId="022CBF23">
            <wp:extent cx="5943600" cy="2563490"/>
            <wp:effectExtent l="0" t="0" r="0" b="8890"/>
            <wp:docPr id="9" name="Picture 9" descr="A diagram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timel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2563490"/>
                    </a:xfrm>
                    <a:prstGeom prst="rect">
                      <a:avLst/>
                    </a:prstGeom>
                  </pic:spPr>
                </pic:pic>
              </a:graphicData>
            </a:graphic>
          </wp:inline>
        </w:drawing>
      </w:r>
    </w:p>
    <w:p w14:paraId="071554CC" w14:textId="25CCBD37" w:rsidR="00A22975" w:rsidRDefault="00A22975" w:rsidP="00A22975">
      <w:pPr>
        <w:spacing w:line="240" w:lineRule="auto"/>
        <w:jc w:val="both"/>
        <w:rPr>
          <w:rFonts w:ascii="Arial" w:hAnsi="Arial" w:cs="Arial"/>
          <w:sz w:val="24"/>
          <w:szCs w:val="24"/>
        </w:rPr>
      </w:pPr>
      <w:r w:rsidRPr="00A22975">
        <w:rPr>
          <w:rFonts w:ascii="Arial" w:hAnsi="Arial" w:cs="Arial"/>
          <w:b/>
          <w:bCs/>
          <w:sz w:val="24"/>
          <w:szCs w:val="24"/>
        </w:rPr>
        <w:t xml:space="preserve">Figure </w:t>
      </w:r>
      <w:r>
        <w:rPr>
          <w:rFonts w:ascii="Arial" w:hAnsi="Arial" w:cs="Arial"/>
          <w:b/>
          <w:bCs/>
          <w:sz w:val="24"/>
          <w:szCs w:val="24"/>
        </w:rPr>
        <w:t>1.</w:t>
      </w:r>
      <w:r w:rsidRPr="00A22975">
        <w:rPr>
          <w:rFonts w:ascii="Arial" w:hAnsi="Arial" w:cs="Arial"/>
          <w:b/>
          <w:bCs/>
          <w:sz w:val="24"/>
          <w:szCs w:val="24"/>
        </w:rPr>
        <w:t>4: Timeline of different suggested nanoparticle-tumor accumulation pathways and methods.</w:t>
      </w:r>
      <w:r w:rsidRPr="00A22975">
        <w:rPr>
          <w:rFonts w:ascii="Arial" w:hAnsi="Arial" w:cs="Arial"/>
          <w:sz w:val="24"/>
          <w:szCs w:val="24"/>
        </w:rPr>
        <w:t xml:space="preserve"> Since the first suggestion of nanotechnology, there have been many different pathways and methods suggested to explain and improve the extravasation of nanoparticles in to the TME.</w:t>
      </w:r>
    </w:p>
    <w:p w14:paraId="6B495780" w14:textId="77777777" w:rsidR="00A22975" w:rsidRDefault="00A22975">
      <w:pPr>
        <w:rPr>
          <w:rFonts w:ascii="Arial" w:hAnsi="Arial" w:cs="Arial"/>
          <w:sz w:val="24"/>
          <w:szCs w:val="24"/>
        </w:rPr>
      </w:pPr>
      <w:r>
        <w:rPr>
          <w:rFonts w:ascii="Arial" w:hAnsi="Arial" w:cs="Arial"/>
          <w:sz w:val="24"/>
          <w:szCs w:val="24"/>
        </w:rPr>
        <w:br w:type="page"/>
      </w:r>
    </w:p>
    <w:p w14:paraId="6C9088DE" w14:textId="4CB35444" w:rsidR="00C06183" w:rsidRPr="00C06183" w:rsidRDefault="00C06183" w:rsidP="00A22975">
      <w:pPr>
        <w:spacing w:line="480" w:lineRule="auto"/>
        <w:jc w:val="both"/>
        <w:rPr>
          <w:rFonts w:ascii="Arial" w:hAnsi="Arial" w:cs="Arial"/>
          <w:sz w:val="24"/>
          <w:szCs w:val="24"/>
        </w:rPr>
      </w:pPr>
      <w:r w:rsidRPr="00C06183">
        <w:rPr>
          <w:rFonts w:ascii="Arial" w:hAnsi="Arial" w:cs="Arial"/>
          <w:sz w:val="24"/>
          <w:szCs w:val="24"/>
        </w:rPr>
        <w:lastRenderedPageBreak/>
        <w:t xml:space="preserve"> </w:t>
      </w:r>
      <w:r w:rsidR="00A22975">
        <w:rPr>
          <w:rFonts w:ascii="Arial" w:hAnsi="Arial" w:cs="Arial"/>
          <w:sz w:val="24"/>
          <w:szCs w:val="24"/>
        </w:rPr>
        <w:tab/>
      </w:r>
      <w:r w:rsidRPr="00C06183">
        <w:rPr>
          <w:rFonts w:ascii="Arial" w:hAnsi="Arial" w:cs="Arial"/>
          <w:sz w:val="24"/>
          <w:szCs w:val="24"/>
        </w:rPr>
        <w:t>The longstanding delivery paradigm in cancer nanomedicine, the EPR effect, was introduced in 1986 to explain that nanoparticles accumulate in tumors as a result of vascular leakiness and poor lymphatic drainage</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{"citationItems":[{"id":"ITEM-1","itemData":{"ISSN":"15387445","PMID":"2946403","abstract":"We previously found that a polymer conjugated to the anticancer protein neocarzinostatin, named smancs, accumulated more in tumor tissues than did neocarzinostatin. To determine the general mechanism of this tumoritropic accumulation of smancs and other proteins, we used radioactive (51Cr-labeled) proteins of various molecular sizes (Mr12,000 to 160,000) and other properties. In addition, we used dye-complexed serum albumin to visualize the accumulation in tumors of tumor-bearing mice. Many proteins progressively accumulated in the tumor tissues of these mice, and a ratio of the protein concentration in the tumor to that in the blood of 5 was obtained within 19 to 72 h. A large protein like immunoglobulin G required a longer time to reach this value of 5. The protein concentration ratio in the tumor to that in the blood of neither 1 nor 5 was achieved with neocarzinostatin, a representative of a small protein (Mr12,000) in all time. We speculate that the tumoritropic accumulation of these proteins resulted because of the hypervasculature, an enhanced permeability to even macromolecules, and little recovery through either blood vessels or lymphatic vessels. This accumulation of macromolecules in the tumor was also found after i.v. injection of an albumin-dye complex (Mr69,000), as well as after injection into normal and tumor tissues. The complex was retained only by tumor tissue for prolonged periods. There was little lymphatic recovery of macromolecules from tumor tissue. The present finding is of potential value in macromolecular tumor therapeutics and diagnosis. copyright. © 1986, American Association for Cancer Research. All rights reserved.","author":[{"dropping-particle":"","family":"Matsumura","given":"Yasuhiro","non-dropping-particle":"","parse-names":false,"suffix":""},{"dropping-particle":"","family":"Maeda","given":"Hiroshi","non-dropping-particle":"","parse-names":false,"suffix":""}],"container-title":"Cancer Research","id":"ITEM-1","issue":"8","issued":{"date-parts":[["1986"]]},"page":"6387-6392","title":"A New Concept for Macromolecular Therapeutics in Cancer Chemotherapy: Mechanism of Tumoritropic Accumulation of Proteins and the Antitumor Agent Smancs","type":"article-journal","volume":"46"},"uris":["http://www.mendeley.com/documents/?uuid=35a0a1e9-142d-4bab-93dc-1bed533098c6"]}],"mendeley":{"formattedCitation":"&lt;sup&gt;71&lt;/sup&gt;","plainTextFormattedCitation":"71","previouslyFormattedCitation":"&lt;sup&gt;71&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71</w:t>
      </w:r>
      <w:r w:rsidRPr="00C06183">
        <w:rPr>
          <w:rFonts w:ascii="Arial" w:hAnsi="Arial" w:cs="Arial"/>
          <w:sz w:val="24"/>
          <w:szCs w:val="24"/>
        </w:rPr>
        <w:fldChar w:fldCharType="end"/>
      </w:r>
      <w:r w:rsidRPr="00C06183">
        <w:rPr>
          <w:rFonts w:ascii="Arial" w:hAnsi="Arial" w:cs="Arial"/>
          <w:sz w:val="24"/>
          <w:szCs w:val="24"/>
        </w:rPr>
        <w:t xml:space="preserve"> However, the well noted low nanoparticle tumor accumulation has brought the impact of the EPR effect into question</w:t>
      </w:r>
      <w:r w:rsidR="009E6E61">
        <w:rPr>
          <w:rFonts w:ascii="Arial" w:hAnsi="Arial" w:cs="Arial"/>
          <w:sz w:val="24"/>
          <w:szCs w:val="24"/>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{"citationItems":[{"id":"ITEM-1","itemData":{"DOI":"10.1038/natrevmats.2016.14","ISSN":"20588437","abstract":"Targeting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nanomedicine.","author":[{"dropping-particle":"","family":"Wilhelm","given":"Stefan","non-dropping-particle":"","parse-names":false,"suffix":""},{"dropping-particle":"","family":"Tavares","given":"Anthony J.","non-dropping-particle":"","parse-names":false,"suffix":""},{"dropping-particle":"","family":"Dai","given":"Qin","non-dropping-particle":"","parse-names":false,"suffix":""},{"dropping-particle":"","family":"Ohta","given":"Seiichi","non-dropping-particle":"","parse-names":false,"suffix":""},{"dropping-particle":"","family":"Audet","given":"Julie","non-dropping-particle":"","parse-names":false,"suffix":""},{"dropping-particle":"","family":"Dvorak","given":"Harold F.","non-dropping-particle":"","parse-names":false,"suffix":""},{"dropping-particle":"","family":"Chan","given":"Warren C.W.","non-dropping-particle":"","parse-names":false,"suffix":""}],"container-title":"Nature Reviews Materials","id":"ITEM-1","issue":"May 2018","issued":{"date-parts":[["2016"]]},"title":"Analysis of nanoparticle delivery to tumours","type":"article-journal","volume":"1"},"uris":["http://www.mendeley.com/documents/?uuid=23861e61-8fa7-4925-a7f2-17b8abdb4342"]}],"mendeley":{"formattedCitation":"&lt;sup&gt;14&lt;/sup&gt;","plainTextFormattedCitation":"14","previouslyFormattedCitation":"&lt;sup&gt;14&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14</w:t>
      </w:r>
      <w:r w:rsidRPr="00C06183">
        <w:rPr>
          <w:rFonts w:ascii="Arial" w:hAnsi="Arial" w:cs="Arial"/>
          <w:sz w:val="24"/>
          <w:szCs w:val="24"/>
        </w:rPr>
        <w:fldChar w:fldCharType="end"/>
      </w:r>
      <w:r w:rsidRPr="00C06183">
        <w:rPr>
          <w:rFonts w:ascii="Arial" w:hAnsi="Arial" w:cs="Arial"/>
          <w:sz w:val="24"/>
          <w:szCs w:val="24"/>
        </w:rPr>
        <w:t xml:space="preserve"> Consequently, a variety of work has been done to find ways that improve nanoparticle tumor delivery and to understand the mechanisms behind it. </w:t>
      </w:r>
    </w:p>
    <w:p w14:paraId="7FDFAC79" w14:textId="7FDE9A39" w:rsidR="00C06183" w:rsidRPr="00C06183" w:rsidRDefault="00C06183" w:rsidP="00C06183">
      <w:pPr>
        <w:spacing w:line="480" w:lineRule="auto"/>
        <w:ind w:firstLine="720"/>
        <w:jc w:val="both"/>
        <w:rPr>
          <w:rFonts w:ascii="Arial" w:hAnsi="Arial" w:cs="Arial"/>
          <w:sz w:val="24"/>
          <w:szCs w:val="24"/>
        </w:rPr>
      </w:pPr>
      <w:r w:rsidRPr="00C06183">
        <w:rPr>
          <w:rFonts w:ascii="Arial" w:hAnsi="Arial" w:cs="Arial"/>
          <w:sz w:val="24"/>
          <w:szCs w:val="24"/>
        </w:rPr>
        <w:t>One of the earlier methods was erythrocyte hitchhiking, which involved removing erythrocytes from a patient, loading them with drugs, and re-administering them back into the patient</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{"citationItems":[{"id":"ITEM-1","itemData":{"DOI":"10.1016/0076-6879(87)49068-X","ISSN":"15577988","abstract":"This chapter describes the magnetically responsive erythrocytes ghosts. The studies described were to examine whether ferromagnetic micromolecules, so-called ferrofluids, can be entrapped in erythrocyte ghosts, and if such ferromagnetic ghosts can be influenced by magnetic fields in vitro. This would open the door to in vivo studies on drug targeting by magnetically responsive erythrocyte ghosts. These studies have shown that it is possible to entrap magnetite particles in erythrocyte ghosts. The substance presently available, however, has a certain cytotoxic and hemolytic activity. Other kinds of ferrofluids should be produced, avoiding any additive of potential membrane-damaging detergents, or a coating (e.g., protein) could be applied around the magnetite particles to reduce their toxicity. If these problems could be solved, it would be possible to prevent such high leak streams as observed in the current studies. Then, magnetically responsive erythrocyte ghosts might become useful for drug targeting. © 1987, Elsevier Inc. All rights reserved.","author":[{"dropping-particle":"","family":"Sprandel","given":"U.","non-dropping-particle":"","parse-names":false,"suffix":""},{"dropping-particle":"","family":"Lanz","given":"D-J.","non-dropping-particle":"","parse-names":false,"suffix":""},{"dropping-particle":"","family":"Hörsten","given":"W.","non-dropping-particle":"von","parse-names":false,"suffix":""}],"container-title":"Methods in Enzymology","id":"ITEM-1","issue":"C","issued":{"date-parts":[["1987"]]},"page":"301-312","title":"Magnetically responsive erythrocyte ghosts","type":"chapter","volume":"149"},"uris":["http://www.mendeley.com/documents/?uuid=9e9803a9-e166-4b49-b916-3b0c603343b8"]}],"mendeley":{"formattedCitation":"&lt;sup&gt;72&lt;/sup&gt;","plainTextFormattedCitation":"72","previouslyFormattedCitation":"&lt;sup&gt;72&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72</w:t>
      </w:r>
      <w:r w:rsidRPr="00C06183">
        <w:rPr>
          <w:rFonts w:ascii="Arial" w:hAnsi="Arial" w:cs="Arial"/>
          <w:sz w:val="24"/>
          <w:szCs w:val="24"/>
        </w:rPr>
        <w:fldChar w:fldCharType="end"/>
      </w:r>
      <w:r w:rsidRPr="00C06183">
        <w:rPr>
          <w:rFonts w:ascii="Arial" w:hAnsi="Arial" w:cs="Arial"/>
          <w:sz w:val="24"/>
          <w:szCs w:val="24"/>
        </w:rPr>
        <w:t xml:space="preserve"> This process has since evolved to have the removed erythrocytes conjugated to drug carrying nanoparticles, so that they would accumulate in the nearest downstream organ from the injection site</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{"citationItems":[{"id":"ITEM-1","itemData":{"DOI":"10.1038/s41467-018-05079-7","ISBN":"4146701805","ISSN":"20411723","abstract":"Drug delivery by nanocarriers (NCs) has long been stymied by dominant liver uptake and limited target organ deposition, even when NCs are targeted using affinity moieties. Here we report a universal solution: red blood cell (RBC)-hitchhiking (RH), in which NCs adsorbed onto the RBCs transfer from RBCs to the first organ downstream of the intravascular injection. RH improves delivery for a wide range of NCs and even viral vectors. For example, RH injected intravenously increases liposome uptake in the first downstream organ, lungs, by ~40-fold compared with free NCs. Intra-carotid artery injection of RH NCs delivers &gt;10% of the injected NC dose to the brain, ~10× higher than that achieved with affinity moieties. Further, RH works in mice, pigs, and ex vivo human lungs without causing RBC or end-organ toxicities. Thus, RH is a clinically translatable platform technology poised to augment drug delivery in acute lung disease, stroke, and several other diseases.","author":[{"dropping-particle":"","family":"Brenner","given":"Jacob S.","non-dropping-particle":"","parse-names":false,"suffix":""},{"dropping-particle":"","family":"Pan","given":"Daniel C.","non-dropping-particle":"","parse-names":false,"suffix":""},{"dropping-particle":"","family":"Myerson","given":"Jacob W.","non-dropping-particle":"","parse-names":false,"suffix":""},{"dropping-particle":"","family":"Marcos-Contreras","given":"Oscar A.","non-dropping-particle":"","parse-names":false,"suffix":""},{"dropping-particle":"","family":"Villa","given":"Carlos H.","non-dropping-particle":"","parse-names":false,"suffix":""},{"dropping-particle":"","family":"Patel","given":"Priyal","non-dropping-particle":"","parse-names":false,"suffix":""},{"dropping-particle":"","family":"Hekierski","given":"Hugh","non-dropping-particle":"","parse-names":false,"suffix":""},{"dropping-particle":"","family":"Chatterjee","given":"Shampa","non-dropping-particle":"","parse-names":false,"suffix":""},{"dropping-particle":"","family":"Tao","given":"Jian Qin","non-dropping-particle":"","parse-names":false,"suffix":""},{"dropping-particle":"","family":"Parhiz","given":"Hamideh","non-dropping-particle":"","parse-names":false,"suffix":""},{"dropping-particle":"","family":"Bhamidipati","given":"Kartik","non-dropping-particle":"","parse-names":false,"suffix":""},{"dropping-particle":"","family":"Uhler","given":"Thomas G.","non-dropping-particle":"","parse-names":false,"suffix":""},{"dropping-particle":"","family":"Hood","given":"Elizabeth D.","non-dropping-particle":"","parse-names":false,"suffix":""},{"dropping-particle":"","family":"Kiseleva","given":"Raisa Yu","non-dropping-particle":"","parse-names":false,"suffix":""},{"dropping-particle":"","family":"Shuvaev","given":"Vladimir S.","non-dropping-particle":"","parse-names":false,"suffix":""},{"dropping-particle":"","family":"Shuvaeva","given":"Tea","non-dropping-particle":"","parse-names":false,"suffix":""},{"dropping-particle":"","family":"Khoshnejad","given":"Makan","non-dropping-particle":"","parse-names":false,"suffix":""},{"dropping-particle":"","family":"Johnston","given":"Ian","non-dropping-particle":"","parse-names":false,"suffix":""},{"dropping-particle":"V.","family":"Gregory","given":"Jason","non-dropping-particle":"","parse-names":false,"suffix":""},{"dropping-particle":"","family":"Lahann","given":"Joerg","non-dropping-particle":"","parse-names":false,"suffix":""},{"dropping-particle":"","family":"Wang","given":"Tao","non-dropping-particle":"","parse-names":false,"suffix":""},{"dropping-particle":"","family":"Cantu","given":"Edward","non-dropping-particle":"","parse-names":false,"suffix":""},{"dropping-particle":"","family":"Armstead","given":"William M.","non-dropping-particle":"","parse-names":false,"suffix":""},{"dropping-particle":"","family":"Mitragotri","given":"Samir","non-dropping-particle":"","parse-names":false,"suffix":""},{"dropping-particle":"","family":"Muzykantov","given":"Vladimir","non-dropping-particle":"","parse-names":false,"suffix":""}],"container-title":"Nature Communications","id":"ITEM-1","issue":"1","issued":{"date-parts":[["2018"]]},"publisher":"Springer US","title":"Red blood cell-hitchhiking boosts delivery of nanocarriers to chosen organs by orders of magnitude","type":"article-journal","volume":"9"},"uris":["http://www.mendeley.com/documents/?uuid=1ea9d3e2-5245-4fb2-8ac8-0aae25625a9e"]}],"mendeley":{"formattedCitation":"&lt;sup&gt;73&lt;/sup&gt;","plainTextFormattedCitation":"73","previouslyFormattedCitation":"&lt;sup&gt;73&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73</w:t>
      </w:r>
      <w:r w:rsidRPr="00C06183">
        <w:rPr>
          <w:rFonts w:ascii="Arial" w:hAnsi="Arial" w:cs="Arial"/>
          <w:sz w:val="24"/>
          <w:szCs w:val="24"/>
        </w:rPr>
        <w:fldChar w:fldCharType="end"/>
      </w:r>
    </w:p>
    <w:p w14:paraId="42E899AA" w14:textId="0E07026B" w:rsidR="00C06183" w:rsidRPr="00C06183" w:rsidRDefault="00C06183" w:rsidP="00C06183">
      <w:pPr>
        <w:spacing w:line="480" w:lineRule="auto"/>
        <w:ind w:firstLine="720"/>
        <w:jc w:val="both"/>
        <w:rPr>
          <w:rFonts w:ascii="Arial" w:hAnsi="Arial" w:cs="Arial"/>
          <w:sz w:val="24"/>
          <w:szCs w:val="24"/>
        </w:rPr>
      </w:pPr>
      <w:r w:rsidRPr="00C06183">
        <w:rPr>
          <w:rFonts w:ascii="Arial" w:hAnsi="Arial" w:cs="Arial"/>
          <w:sz w:val="24"/>
          <w:szCs w:val="24"/>
        </w:rPr>
        <w:t>The concept of vascular normalization was then proposed as an extension of typical anti-angiogenic treatments. These combined treatments aim to make the tumor vasculature more functionally similar to normal vasculature by removing excessive endothelial cells that make up immature blood vessels, resulting in a less constricted delivery of therapeutics to tumors. Anti-angiogenic treatments are then applied to constrict the tumor vasculature to starve the tumor of nutrients needed for its survival</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{"citationItems":[{"id":"ITEM-1","itemData":{"DOI":"10.1073/pnas.93.25.14765","ISSN":"00278424","PMID":"8962129","abstract":"The hyperpermeability of tumor vessels to macromolecules, compared with normal vessels, is presumably due to vascular endothelial growth factor/vascular permeability factor (VEGF/VPF) released by neoplastic and/or host cells. In addition, VEGF/VPF is a potent angiogenic factor. Removal of this growth factor may reduce the permeability and inhibit tumor angiogenesis. To test these hypotheses, we transplanted a human glioblastoma (U87), a human colon adenocarcinoma (LS174T), and a human melanoma (P-MEL) into two locations in immunodeficient mice: the cranial window and the dorsal skinfold chamber. The mice bearing vascularized tumors were treated with a bolus (0.2 ml) of either a neutralizing antibody (A4.6.1) (492 μg/ml) against VEGF/VPF or PBS (control). We found that tumor vascular permeability to albumin in antibody-treated groups was lower than in the matched controls and that the effect of the antibody was time-dependent and influenced by the mode of injection. Tumor vascular permeability did not respond to i.p. injection of the antibody until 4 days posttreatment. However, the permeability was reduced within 6 h after i.v. injection of the same amount of antibody. In addition to the reduction in vascular permeability, the tumor vessels became smaller in diameter and less tortuous after antibody injections and eventually disappeared from the surface after four consecutive treatments in U87 tumors. These results demonstrate that tumor vascular permeability can be reduced by neutralization of endogenous VEGF/VPF and suggest that angiogenesis and the maintenance of integrity of tumor vessels require the presence of VEGF/VPF in the tissue microenvironment. The latter finding reveals a new mechanism of tumor vessel regression-i.e., blocking the interactions between VEGF/VPF and endothelial cells or inhibiting VEGF/VPF synthesis in solid tumors causes dramatic reduction in vessel diameter, which may block the passage of blood elements and thus lead to vascular regression.","author":[{"dropping-particle":"","family":"Yuan","given":"Fan","non-dropping-particle":"","parse-names":false,"suffix":""},{"dropping-particle":"","family":"Chen","given":"Yi","non-dropping-particle":"","parse-names":false,"suffix":""},{"dropping-particle":"","family":"Dellian","given":"Marc","non-dropping-particle":"","parse-names":false,"suffix":""},{"dropping-particle":"","family":"Safabakhsh","given":"Nina","non-dropping-particle":"","parse-names":false,"suffix":""},{"dropping-particle":"","family":"Ferrara","given":"Napoleone","non-dropping-particle":"","parse-names":false,"suffix":""},{"dropping-particle":"","family":"Jain","given":"Rakesh K.","non-dropping-particle":"","parse-names":false,"suffix":""}],"container-title":"Proceedings of the National Academy of Sciences of the United States of America","id":"ITEM-1","issue":"25","issued":{"date-parts":[["1996"]]},"page":"14765-14770","title":"Time-dependent vascular regression and permeability changes in established human tumor xenografts induced by an anti-vascular endothelial growth factor/vascular permeability factor antibody","type":"article-journal","volume":"93"},"uris":["http://www.mendeley.com/documents/?uuid=03a7cb1c-937a-4003-bde9-9bcde671276e"]},{"id":"ITEM-2","itemData":{"DOI":"10.1038/nm0901-987","ISSN":"1078-8956","author":[{"dropping-particle":"","family":"Jain","given":"Rakesh K.","non-dropping-particle":"","parse-names":false,"suffix":""}],"container-title":"Nature Medicine","id":"ITEM-2","issue":"9","issued":{"date-parts":[["2001","9"]]},"page":"987-989","title":"Normalizing tumor vasculature with anti-angiogenic therapy: A new paradigm for combination therapy","type":"article-journal","volume":"7"},"uris":["http://www.mendeley.com/documents/?uuid=5c5428a0-ee28-41a7-b3fe-3417da279ed6"]}],"mendeley":{"formattedCitation":"&lt;sup&gt;74,75&lt;/sup&gt;","plainTextFormattedCitation":"74,75","previouslyFormattedCitation":"&lt;sup&gt;74,75&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74,75</w:t>
      </w:r>
      <w:r w:rsidRPr="00C06183">
        <w:rPr>
          <w:rFonts w:ascii="Arial" w:hAnsi="Arial" w:cs="Arial"/>
          <w:sz w:val="24"/>
          <w:szCs w:val="24"/>
        </w:rPr>
        <w:fldChar w:fldCharType="end"/>
      </w:r>
      <w:r w:rsidRPr="00C06183">
        <w:rPr>
          <w:rFonts w:ascii="Arial" w:hAnsi="Arial" w:cs="Arial"/>
          <w:sz w:val="24"/>
          <w:szCs w:val="24"/>
        </w:rPr>
        <w:t xml:space="preserve"> It was recently shown that gold nanoparticles can accomplish this, along with inhibiting angiogenesis, by disrupting the signaling between tumor cells and endothelial cells</w:t>
      </w:r>
      <w:r w:rsidR="009E6E61">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10.1021/acsnano.9b08460","ISSN":"1936-0851","author":[{"dropping-particle":"","family":"Huang","given":"Na","non-dropping-particle":"","parse-names":false,"suffix":""},{"dropping-particle":"","family":"Liu","given":"Yuqing","non-dropping-particle":"","parse-names":false,"suffix":""},{"dropping-particle":"","family":"Fang","given":"Yisheng","non-dropping-particle":"","parse-names":false,"suffix":""},{"dropping-particle":"","family":"Zheng","given":"Siting","non-dropping-particle":"","parse-names":false,"suffix":""},{"dropping-particle":"","family":"Wu","given":"Jianhua","non-dropping-particle":"","parse-names":false,"suffix":""},{"dropping-particle":"","family":"Wang","given":"Miaohong","non-dropping-particle":"","parse-names":false,"suffix":""},{"dropping-particle":"","family":"Zhong","given":"Wen","non-dropping-particle":"","parse-names":false,"suffix":""},{"dropping-particle":"","family":"Shi","given":"Min","non-dropping-particle":"","parse-names":false,"suffix":""},{"dropping-particle":"","family":"Xing","given":"Malcolm","non-dropping-particle":"","parse-names":false,"suffix":""},{"dropping-particle":"","family":"Liao","given":"Wangjun","non-dropping-particle":"","parse-names":false,"suffix":""}],"container-title":"ACS Nano","id":"ITEM-1","issue":"7","issued":{"date-parts":[["2020","7","28"]]},"page":"7940-7958","title":"Gold Nanoparticles Induce Tumor Vessel Normalization and Impair Metastasis by Inhibiting Endothelial Smad2/3 Signaling","type":"article-journal","volume":"14"},"uris":["http://www.mendeley.com/documents/?uuid=e179a8cb-c5fd-417b-b1de-56e0f1892c58"]},{"id":"ITEM-2","itemData":{"DOI":"10.1021/acs.bioconjchem.9b00262","ISSN":"15204812","abstract":"It is currently recognized that perpetual cross talk among key players in tumor microenvironment such as cancer cells (CCs), cancer associated fibroblasts (CAFs), and endothelial cells (ECs) plays a critical role in tumor progression, metastasis, and therapy resistance. Disruption of the cross talk may be useful to improve the outcome of therapeutics for which limited options are available. In the current study we investigate the use of gold nanoparticles (AuNPs) as a therapeutic tool to disrupt the multicellular cross talk within the TME cells with an emphasis on inhibiting angiogenesis. We demonstrate here that AuNPs disrupt signal transduction from TME cells (CCs, CAFs, and ECs) to ECs and inhibit angiogenic phenotypes in vitro. We show that conditioned media (CM) from ovarian CCs, CAFs, or ECs themselves induce tube formation and migration of ECs in vitro. Migration of ECs is also induced when ECs are cocultured with CCs, CAFs, or ECs. In contrast, CM from the cells treated with AuNPs or cocultured cells pretreated with AuNPs demonstrate diminished effects on ECs tube formation and migration. Mechanistically, AuNPs deplete approximately 95% VEGF165 from VEGF single-protein solution and remove up to approximately 45% of VEGF165 from CM, which is reflected on reduced activation of VEGF-Receptor 2 (VEGFR2) as compared to control CM. These results demonstrate that AuNPs inhibit angiogenesis via blockade of VEGF-VEGFR2 signaling from TME cells to endothelial cells.","author":[{"dropping-particle":"","family":"Zhang","given":"Yushan","non-dropping-particle":"","parse-names":false,"suffix":""},{"dropping-particle":"","family":"Xiong","given":"Xunhao","non-dropping-particle":"","parse-names":false,"suffix":""},{"dropping-particle":"","family":"Huai","given":"Yanyan","non-dropping-particle":"","parse-names":false,"suffix":""},{"dropping-particle":"","family":"Dey","given":"Anindya","non-dropping-particle":"","parse-names":false,"suffix":""},{"dropping-particle":"","family":"Hossen","given":"Md Nazir","non-dropping-particle":"","parse-names":false,"suffix":""},{"dropping-particle":"","family":"Roy","given":"Ram Vinod","non-dropping-particle":"","parse-names":false,"suffix":""},{"dropping-particle":"","family":"Elechalawar","given":"Chandra Kumar","non-dropping-particle":"","parse-names":false,"suffix":""},{"dropping-particle":"","family":"Rao","given":"Geeta","non-dropping-particle":"","parse-names":false,"suffix":""},{"dropping-particle":"","family":"Bhattacharya","given":"Resham","non-dropping-particle":"","parse-names":false,"suffix":""},{"dropping-particle":"","family":"Mukherjee","given":"Priyabrata","non-dropping-particle":"","parse-names":false,"suffix":""}],"container-title":"Bioconjugate Chemistry","genre":"research-article","id":"ITEM-2","issue":"6","issued":{"date-parts":[["2019"]]},"page":"1724-1733","publisher":"American Chemical Society","title":"Gold Nanoparticles Disrupt Tumor Microenvironment - Endothelial Cell Cross Talk to Inhibit Angiogenic Phenotypes in Vitro","type":"article-journal","volume":"30"},"uris":["http://www.mendeley.com/documents/?uuid=26a1a31a-87bf-4475-9012-0f3723f16eb5"]}],"mendeley":{"formattedCitation":"&lt;sup&gt;76,77&lt;/sup&gt;","plainTextFormattedCitation":"76,77","previouslyFormattedCitation":"&lt;sup&gt;76,77&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76,77</w:t>
      </w:r>
      <w:r w:rsidRPr="00C06183">
        <w:rPr>
          <w:rFonts w:ascii="Arial" w:hAnsi="Arial" w:cs="Arial"/>
          <w:sz w:val="24"/>
          <w:szCs w:val="24"/>
        </w:rPr>
        <w:fldChar w:fldCharType="end"/>
      </w:r>
      <w:r w:rsidRPr="00C06183">
        <w:rPr>
          <w:rFonts w:ascii="Arial" w:hAnsi="Arial" w:cs="Arial"/>
          <w:sz w:val="24"/>
          <w:szCs w:val="24"/>
        </w:rPr>
        <w:t xml:space="preserve"> </w:t>
      </w:r>
    </w:p>
    <w:p w14:paraId="705BE466" w14:textId="7A4E9D86"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shd w:val="clear" w:color="auto" w:fill="FFFFFF"/>
        </w:rPr>
        <w:t xml:space="preserve">The use of ultrasound has been explored, as the tensile pressure of ultrasonic waves on tumors can cause blood vessel perforation and micro-convection in the tumor </w:t>
      </w:r>
      <w:proofErr w:type="spellStart"/>
      <w:r w:rsidRPr="00C06183">
        <w:rPr>
          <w:rStyle w:val="normaltextrun"/>
          <w:rFonts w:ascii="Arial" w:hAnsi="Arial" w:cs="Arial"/>
          <w:color w:val="000000"/>
          <w:sz w:val="24"/>
          <w:szCs w:val="24"/>
          <w:shd w:val="clear" w:color="auto" w:fill="FFFFFF"/>
        </w:rPr>
        <w:t>interstitium</w:t>
      </w:r>
      <w:proofErr w:type="spellEnd"/>
      <w:r w:rsidRPr="00C06183">
        <w:rPr>
          <w:rStyle w:val="normaltextrun"/>
          <w:rFonts w:ascii="Arial" w:hAnsi="Arial" w:cs="Arial"/>
          <w:color w:val="000000"/>
          <w:sz w:val="24"/>
          <w:szCs w:val="24"/>
          <w:shd w:val="clear" w:color="auto" w:fill="FFFFFF"/>
        </w:rPr>
        <w:t>, leading to higher nanoparticle extravasation</w:t>
      </w:r>
      <w:r w:rsidR="009E6E61">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{"citationItems":[{"id":"ITEM-1","itemData":{"DOI":"10.1117/12.350000","ISSN":"0277786X","author":[{"dropping-particle":"","family":"Esenaliev","given":"Rinat O.","non-dropping-particle":"","parse-names":false,"suffix":""}],"container-title":"Laser-Tissue Interaction X: Photochemical, Photothermal, and Photomechanical","id":"ITEM-1","issue":"June 1999","issued":{"date-parts":[["1999"]]},"page":"166","title":"Interaction of radiation with microparticles for enhancement of drug delivery in tumors","type":"article-journal","volume":"3601"},"uris":["http://www.mendeley.com/documents/?uuid=fb78d7c3-5caa-478a-9f7c-959ac15ec189"]}],"mendeley":{"formattedCitation":"&lt;sup&gt;78&lt;/sup&gt;","plainTextFormattedCitation":"78","previouslyFormattedCitation":"&lt;sup&gt;78&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78</w:t>
      </w:r>
      <w:r w:rsidRPr="00C06183">
        <w:rPr>
          <w:rFonts w:ascii="Arial" w:hAnsi="Arial" w:cs="Arial"/>
          <w:sz w:val="24"/>
          <w:szCs w:val="24"/>
        </w:rPr>
        <w:fldChar w:fldCharType="end"/>
      </w:r>
      <w:r w:rsidR="009E6E61">
        <w:rPr>
          <w:rFonts w:ascii="Arial" w:hAnsi="Arial" w:cs="Arial"/>
          <w:sz w:val="24"/>
          <w:szCs w:val="24"/>
        </w:rPr>
        <w:t xml:space="preserve"> </w:t>
      </w:r>
      <w:r w:rsidRPr="00C06183">
        <w:rPr>
          <w:rFonts w:ascii="Arial" w:hAnsi="Arial" w:cs="Arial"/>
          <w:sz w:val="24"/>
          <w:szCs w:val="24"/>
        </w:rPr>
        <w:t xml:space="preserve">Later studies have shown that </w:t>
      </w:r>
      <w:r w:rsidRPr="00C06183">
        <w:rPr>
          <w:rFonts w:ascii="Arial" w:hAnsi="Arial" w:cs="Arial"/>
          <w:sz w:val="24"/>
          <w:szCs w:val="24"/>
        </w:rPr>
        <w:lastRenderedPageBreak/>
        <w:t>ultrasound waves can be used to release drugs from liposomes</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{"citationItems":[{"id":"ITEM-1","itemData":{"DOI":"10.1166/jnn.2011.3117","ISSN":"15334880","abstract":"Ultrasound is a convenient trigger for site-specific drug delivery in cancer therapy. Nanosized liposomes formulated from soy phosphatidyl choline, cholesterol, 1,2-distearoyl-sn-glycero-3-phosphoethanolamine-N- [carboxy(polyethylene glycol)-2000] and alpha-tocopherol were loaded with Doxorubicin (Dox) using a pH gradient. The liposomal suspension was infused through the tail vein of BDIX rats possessing bilateral intradermal DHD/K12 tumors on their hind legs. Then 20-kHz ultrasound was applied to only one of the tumors for 15 minutes. This therapy was repeated weekly for 4 weeks. The results showed that in five of six rats, the tumors regressed to non-measurable size within 4 weeks. A paired comparison of the normalized size of the insonated and non-insonated tumors in the same rat indicated that the insonated tumors were smaller (p &lt; 0.0001, n = 6 rats, 21 pairs). This observation has significant potential for non-invasive site-specific therapy of solid tumors. © 2011 American Scientific Publishers.","author":[{"dropping-particle":"","family":"Pitt","given":"William G.","non-dropping-particle":"","parse-names":false,"suffix":""},{"dropping-particle":"","family":"Husseini","given":"Ghaleb A.","non-dropping-particle":"","parse-names":false,"suffix":""},{"dropping-particle":"","family":"Roeder","given":"Beverly L.","non-dropping-particle":"","parse-names":false,"suffix":""},{"dropping-particle":"","family":"Dickinson","given":"David J.","non-dropping-particle":"","parse-names":false,"suffix":""},{"dropping-particle":"","family":"Warden","given":"David R.","non-dropping-particle":"","parse-names":false,"suffix":""},{"dropping-particle":"","family":"Hartley","given":"Jonathan M.","non-dropping-particle":"","parse-names":false,"suffix":""},{"dropping-particle":"","family":"Jones","given":"Peter W.","non-dropping-particle":"","parse-names":false,"suffix":""}],"container-title":"Journal of Nanoscience and Nanotechnology","id":"ITEM-1","issue":"3","issued":{"date-parts":[["2011"]]},"page":"1866-1870","title":"Preliminary results of combining low frequency low intensity ultrasound and liposomal drug delivery to treat tumors in rats","type":"article-journal","volume":"11"},"uris":["http://www.mendeley.com/documents/?uuid=cd7e5dbc-0612-4eb6-92ab-56b0ccc443c0"]}],"mendeley":{"formattedCitation":"&lt;sup&gt;79&lt;/sup&gt;","plainTextFormattedCitation":"79","previouslyFormattedCitation":"&lt;sup&gt;79&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79</w:t>
      </w:r>
      <w:r w:rsidRPr="00C06183">
        <w:rPr>
          <w:rFonts w:ascii="Arial" w:hAnsi="Arial" w:cs="Arial"/>
          <w:sz w:val="24"/>
          <w:szCs w:val="24"/>
        </w:rPr>
        <w:fldChar w:fldCharType="end"/>
      </w:r>
      <w:r w:rsidRPr="00C06183">
        <w:rPr>
          <w:rFonts w:ascii="Arial" w:hAnsi="Arial" w:cs="Arial"/>
          <w:sz w:val="24"/>
          <w:szCs w:val="24"/>
        </w:rPr>
        <w:t xml:space="preserve"> and </w:t>
      </w:r>
      <w:r w:rsidR="00715A23" w:rsidRPr="00C06183">
        <w:rPr>
          <w:rFonts w:ascii="Arial" w:hAnsi="Arial" w:cs="Arial"/>
          <w:sz w:val="24"/>
          <w:szCs w:val="24"/>
        </w:rPr>
        <w:t>microbubbles</w:t>
      </w:r>
      <w:r w:rsidRPr="00C06183">
        <w:rPr>
          <w:rFonts w:ascii="Arial" w:hAnsi="Arial" w:cs="Arial"/>
          <w:sz w:val="24"/>
          <w:szCs w:val="24"/>
        </w:rPr>
        <w:t>, with the ability to convert the latter into nanobubbles</w:t>
      </w:r>
      <w:r w:rsidR="00DF25E0">
        <w:rPr>
          <w:rFonts w:ascii="Arial" w:hAnsi="Arial" w:cs="Arial"/>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{"citationItems":[{"id":"ITEM-1","itemData":{"DOI":"10.1021/acs.nanolett.0c01310","ISSN":"1530-6984","abstract":"Ultrasound-activated nanobubbles are being widely investigated as contrast agents and therapeutic vehicles. Nanobubbles hold potential for accessing the tumor extravascular compartment, though this...","author":[{"dropping-particle":"","family":"Pellow","given":"Carly","non-dropping-particle":"","parse-names":false,"suffix":""},{"dropping-particle":"","family":"O’Reilly","given":"Meaghan A.","non-dropping-particle":"","parse-names":false,"suffix":""},{"dropping-particle":"","family":"Hynynen","given":"Kullervo","non-dropping-particle":"","parse-names":false,"suffix":""},{"dropping-particle":"","family":"Zheng","given":"Gang","non-dropping-particle":"","parse-names":false,"suffix":""},{"dropping-particle":"","family":"Goertz","given":"David E.","non-dropping-particle":"","parse-names":false,"suffix":""}],"container-title":"Nano Letters","id":"ITEM-1","issue":"6","issued":{"date-parts":[["2020","6","10"]]},"page":"4512-4519","title":"Simultaneous Intravital Optical and Acoustic Monitoring of Ultrasound-Triggered Nanobubble Generation and Extravasation","type":"article-journal","volume":"20"},"uris":["http://www.mendeley.com/documents/?uuid=920c1cf6-d368-43f6-ac65-5c2263092c4e"]}],"mendeley":{"formattedCitation":"&lt;sup&gt;80&lt;/sup&gt;","plainTextFormattedCitation":"80","previouslyFormattedCitation":"&lt;sup&gt;80&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80</w:t>
      </w:r>
      <w:r w:rsidRPr="00C06183">
        <w:rPr>
          <w:rFonts w:ascii="Arial" w:hAnsi="Arial" w:cs="Arial"/>
          <w:sz w:val="24"/>
          <w:szCs w:val="24"/>
        </w:rPr>
        <w:fldChar w:fldCharType="end"/>
      </w:r>
      <w:r w:rsidRPr="00C06183">
        <w:rPr>
          <w:rFonts w:ascii="Arial" w:hAnsi="Arial" w:cs="Arial"/>
          <w:sz w:val="24"/>
          <w:szCs w:val="24"/>
        </w:rPr>
        <w:t xml:space="preserve"> </w:t>
      </w:r>
    </w:p>
    <w:p w14:paraId="10560E80" w14:textId="553F6FB3" w:rsidR="00C06183" w:rsidRPr="00C06183" w:rsidRDefault="00C06183" w:rsidP="00C06183">
      <w:pPr>
        <w:spacing w:line="480" w:lineRule="auto"/>
        <w:ind w:firstLine="720"/>
        <w:jc w:val="both"/>
        <w:rPr>
          <w:rStyle w:val="normaltextrun"/>
          <w:rFonts w:ascii="Arial" w:hAnsi="Arial" w:cs="Arial"/>
          <w:color w:val="000000"/>
          <w:sz w:val="24"/>
          <w:szCs w:val="24"/>
          <w:shd w:val="clear" w:color="auto" w:fill="FFFFFF"/>
        </w:rPr>
      </w:pPr>
      <w:r w:rsidRPr="00C06183">
        <w:rPr>
          <w:rStyle w:val="normaltextrun"/>
          <w:rFonts w:ascii="Arial" w:hAnsi="Arial" w:cs="Arial"/>
          <w:color w:val="000000"/>
          <w:sz w:val="24"/>
          <w:szCs w:val="24"/>
          <w:shd w:val="clear" w:color="auto" w:fill="FFFFFF"/>
        </w:rPr>
        <w:t>Several years later, leukocyte hitchhiking was discussed, functioning similarly to erythrocyte hitchhiking, as it was shown that antigen-specific T cells can be removed and loaded with viral vectors, which will target tumors and transfer the viral vectors once re-administered</w:t>
      </w:r>
      <w:r w:rsidR="00DF25E0">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{"citationItems":[{"id":"ITEM-1","itemData":{"DOI":"10.1038/nm1297","ISSN":"10788956","abstract":"Antigen-specific T cells circulate freely and accumulate specifically at sites of antigen expression. To enhance the survival and targeting of systemically delivered viral vectors, we exploited the observation that retroviral particles adhere nonspecifically, or 'hitchhike,' to the surface of T cells. Adoptive transfer of antigen-specific T cells, loaded with viruses encoding interleukin (IL)-12 or Herpes Simplex Virus thymidine kinase (HSVtk), cured established metastatic disease where adoptive T-cell transfer alone was not effective. Productive hand off correlated with local heparanase expression either from malignant tumor cells and/or as a result of T-cell activation by antigen, providing high levels of selectivity for viral transfer to metastatic tumors in vivo. Protection, concentration and targeting of viruses by adsorption to cell carriers represent a new technique for systemic delivery of vectors, in fully immunocompetent hosts, for a variety of diseases in which delivery of genes may be therapeutically beneficial. © 2005 Nature Publishing Group.","author":[{"dropping-particle":"","family":"Cole","given":"Caroline","non-dropping-particle":"","parse-names":false,"suffix":""},{"dropping-particle":"","family":"Qiao","given":"Jian","non-dropping-particle":"","parse-names":false,"suffix":""},{"dropping-particle":"","family":"Kottke","given":"Timothy","non-dropping-particle":"","parse-names":false,"suffix":""},{"dropping-particle":"","family":"Diaz","given":"Rosa Maria","non-dropping-particle":"","parse-names":false,"suffix":""},{"dropping-particle":"","family":"Ahmed","given":"Atique","non-dropping-particle":"","parse-names":false,"suffix":""},{"dropping-particle":"","family":"Sanchez-Perez","given":"Luis","non-dropping-particle":"","parse-names":false,"suffix":""},{"dropping-particle":"","family":"Brunn","given":"Gregory","non-dropping-particle":"","parse-names":false,"suffix":""},{"dropping-particle":"","family":"Thompson","given":"Jill","non-dropping-particle":"","parse-names":false,"suffix":""},{"dropping-particle":"","family":"Chester","given":"John","non-dropping-particle":"","parse-names":false,"suffix":""},{"dropping-particle":"","family":"Vile","given":"Richard G.","non-dropping-particle":"","parse-names":false,"suffix":""}],"container-title":"Nature Medicine","id":"ITEM-1","issue":"10","issued":{"date-parts":[["2005"]]},"page":"1073-1081","title":"Tumor-targeted, systemic delivery of therapeutic viral vectors using hitchhiking on antigen-specific T cells","type":"article-journal","volume":"11"},"uris":["http://www.mendeley.com/documents/?uuid=bb51725f-221a-4cf6-ad13-3b6288baf5db"]}],"mendeley":{"formattedCitation":"&lt;sup&gt;81&lt;/sup&gt;","plainTextFormattedCitation":"81","previouslyFormattedCitation":"&lt;sup&gt;81&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81</w:t>
      </w:r>
      <w:r w:rsidRPr="00C06183">
        <w:rPr>
          <w:rFonts w:ascii="Arial" w:hAnsi="Arial" w:cs="Arial"/>
          <w:sz w:val="24"/>
          <w:szCs w:val="24"/>
        </w:rPr>
        <w:fldChar w:fldCharType="end"/>
      </w:r>
      <w:r w:rsidRPr="00C06183">
        <w:rPr>
          <w:rFonts w:ascii="Arial" w:hAnsi="Arial" w:cs="Arial"/>
          <w:sz w:val="24"/>
          <w:szCs w:val="24"/>
        </w:rPr>
        <w:t xml:space="preserve"> It was shown that intravenously administered nanoparticles can be phagocytosed by monocytes, allowing for photothermal therapy to be applied</w:t>
      </w:r>
      <w:r w:rsidRPr="00C06183">
        <w:rPr>
          <w:rStyle w:val="normaltextrun"/>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These cells will then travel to the tumor microenvironment and differentiate into tumor-associated macrophages (TAMs) to migrate into the hypoxic tumor core, where near-IR irradiation can destroy the TAMs and heat up the nanoparticles to destroy the surrounding tissue</w:t>
      </w:r>
      <w:r w:rsidR="00DF25E0">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{"citationItems":[{"id":"ITEM-1","itemData":{"DOI":"10.1021/nl072209h","ISSN":"1530-6984","abstract":"Destruction of hypoxic regions within tumors, virtually inaccessible to cancer therapies, may well prevent malignant progression. The tumor's recruitment of monocytes into these regions may be exploited for nanoparticle-based delivery. Monocytes containing therapeutic nanoparticles could serve as \"Trojan Horses\" for nanoparticle transport into these tumor regions. Here we report the demonstration of several key steps toward this therapeutic strategy: phagocytosis of Au nanoshells, and photoinduced cell death of monocytes/macrophages as isolates and within tumor spheroids. © 2007 American Chemical Society.","author":[{"dropping-particle":"","family":"Choi","given":"Mi-Ran","non-dropping-particle":"","parse-names":false,"suffix":""},{"dropping-particle":"","family":"Stanton-Maxey","given":"Katie J.","non-dropping-particle":"","parse-names":false,"suffix":""},{"dropping-particle":"","family":"Stanley","given":"Jennifer K.","non-dropping-particle":"","parse-names":false,"suffix":""},{"dropping-particle":"","family":"Levin","given":"Carly S.","non-dropping-particle":"","parse-names":false,"suffix":""},{"dropping-particle":"","family":"Bardhan","given":"Rizia","non-dropping-particle":"","parse-names":false,"suffix":""},{"dropping-particle":"","family":"Akin","given":"Demir","non-dropping-particle":"","parse-names":false,"suffix":""},{"dropping-particle":"","family":"Badve","given":"Sunil","non-dropping-particle":"","parse-names":false,"suffix":""},{"dropping-particle":"","family":"Sturgis","given":"Jennifer","non-dropping-particle":"","parse-names":false,"suffix":""},{"dropping-particle":"","family":"Robinson","given":"J. Paul","non-dropping-particle":"","parse-names":false,"suffix":""},{"dropping-particle":"","family":"Bashir","given":"Rashid","non-dropping-particle":"","parse-names":false,"suffix":""},{"dropping-particle":"","family":"Halas","given":"Naomi J.","non-dropping-particle":"","parse-names":false,"suffix":""},{"dropping-particle":"","family":"Clare","given":"Susan E.","non-dropping-particle":"","parse-names":false,"suffix":""}],"container-title":"Nano Letters","id":"ITEM-1","issue":"12","issued":{"date-parts":[["2007","12"]]},"page":"3759-3765","title":"A Cellular Trojan Horse for Delivery of Therapeutic Nanoparticles into Tumors","type":"article-journal","volume":"7"},"uris":["http://www.mendeley.com/documents/?uuid=b0eeefa3-2f4b-41df-9361-57242c25fced"]}],"mendeley":{"formattedCitation":"&lt;sup&gt;7&lt;/sup&gt;","plainTextFormattedCitation":"7","previouslyFormattedCitation":"&lt;sup&gt;7&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7</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Recently, it was shown that photothermal therapy can be combined with vascular disruption agents that cause gold nanoparticles to aggregate at targeted locations, for an improved photothermal ablation of tumor cells</w:t>
      </w:r>
      <w:r w:rsidR="00DF25E0">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{"citationItems":[{"id":"ITEM-1","itemData":{"DOI":"10.1126/sciadv.abb0020","ISSN":"2375-2548","abstract":"Although vascular disrupting agents (VDAs) have been extensively implemented in current clinical tumor therapy, the notable adverse events caused by long-term dosing severely limit the therapeutic efficacy. To improve this therapy, we report a strategy for VDA-induced aggregation of gold nanoparticles to further destroy tumor vascular by photothermal effect. This strategy could effectively disrupt tumor vascular and cut off the nutrition supply after just one treatment. In the murine tumor model, this strategy results in notable tumor growth inhibition and gives rise to a 92.7% suppression of tumor growth. Besides, enhanced vascular damage could also prevent cancer cells from distant metastasis. Moreover, compared with clinical therapies, this strategy still exhibits preferable tumor suppression and metastasis inhibition ability. These results indicate that this strategy has great potential in tumor treatment and could effectively enhance tumor vascular damage and avoid the side effects caused by frequent administration.","author":[{"dropping-particle":"","family":"Hong","given":"Sheng","non-dropping-particle":"","parse-names":false,"suffix":""},{"dropping-particle":"","family":"Zheng","given":"Di-wei","non-dropping-particle":"","parse-names":false,"suffix":""},{"dropping-particle":"","family":"Zhang","given":"Cheng","non-dropping-particle":"","parse-names":false,"suffix":""},{"dropping-particle":"","family":"Huang","given":"Qian-xiao","non-dropping-particle":"","parse-names":false,"suffix":""},{"dropping-particle":"","family":"Cheng","given":"Si-xue","non-dropping-particle":"","parse-names":false,"suffix":""},{"dropping-particle":"","family":"Zhang","given":"Xian-zheng","non-dropping-particle":"","parse-names":false,"suffix":""}],"container-title":"Science Advances","id":"ITEM-1","issue":"23","issued":{"date-parts":[["2020","6","5"]]},"page":"eabb0020","title":"Vascular disrupting agent induced aggregation of gold nanoparticles for photothermally enhanced tumor vascular disruption","type":"article-journal","volume":"6"},"uris":["http://www.mendeley.com/documents/?uuid=3c64d9e0-d030-4891-a568-8da1dd5c17e1"]}],"mendeley":{"formattedCitation":"&lt;sup&gt;82&lt;/sup&gt;","plainTextFormattedCitation":"82","previouslyFormattedCitation":"&lt;sup&gt;82&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82</w:t>
      </w:r>
      <w:r w:rsidRPr="00C06183">
        <w:rPr>
          <w:rFonts w:ascii="Arial" w:hAnsi="Arial" w:cs="Arial"/>
          <w:sz w:val="24"/>
          <w:szCs w:val="24"/>
        </w:rPr>
        <w:fldChar w:fldCharType="end"/>
      </w:r>
      <w:r w:rsidRPr="00C06183">
        <w:rPr>
          <w:rStyle w:val="normaltextrun"/>
          <w:rFonts w:ascii="Arial" w:hAnsi="Arial" w:cs="Arial"/>
          <w:color w:val="000000"/>
          <w:sz w:val="24"/>
          <w:szCs w:val="24"/>
          <w:shd w:val="clear" w:color="auto" w:fill="FFFFFF"/>
        </w:rPr>
        <w:t xml:space="preserve"> </w:t>
      </w:r>
    </w:p>
    <w:p w14:paraId="5076F846" w14:textId="2F340E7F" w:rsidR="00A22975" w:rsidRDefault="00C06183" w:rsidP="00C06183">
      <w:pPr>
        <w:spacing w:line="480" w:lineRule="auto"/>
        <w:ind w:firstLine="720"/>
        <w:jc w:val="both"/>
        <w:rPr>
          <w:rStyle w:val="normaltextrun"/>
          <w:rFonts w:ascii="Arial" w:hAnsi="Arial" w:cs="Arial"/>
          <w:color w:val="000000"/>
          <w:sz w:val="24"/>
          <w:szCs w:val="24"/>
          <w:shd w:val="clear" w:color="auto" w:fill="FFFFFF"/>
        </w:rPr>
      </w:pPr>
      <w:r w:rsidRPr="00C06183">
        <w:rPr>
          <w:rStyle w:val="normaltextrun"/>
          <w:rFonts w:ascii="Arial" w:hAnsi="Arial" w:cs="Arial"/>
          <w:color w:val="000000"/>
          <w:sz w:val="24"/>
          <w:szCs w:val="24"/>
          <w:shd w:val="clear" w:color="auto" w:fill="FFFFFF"/>
        </w:rPr>
        <w:t xml:space="preserve">The physical methods described here are summarized in </w:t>
      </w:r>
      <w:r w:rsidRPr="004A2E41">
        <w:rPr>
          <w:rStyle w:val="normaltextrun"/>
          <w:rFonts w:ascii="Arial" w:hAnsi="Arial" w:cs="Arial"/>
          <w:color w:val="000000"/>
          <w:sz w:val="24"/>
          <w:szCs w:val="24"/>
          <w:shd w:val="clear" w:color="auto" w:fill="FFFFFF"/>
        </w:rPr>
        <w:t>Table 1</w:t>
      </w:r>
      <w:r w:rsidR="00A22975" w:rsidRPr="004A2E41">
        <w:rPr>
          <w:rStyle w:val="normaltextrun"/>
          <w:rFonts w:ascii="Arial" w:hAnsi="Arial" w:cs="Arial"/>
          <w:color w:val="000000"/>
          <w:sz w:val="24"/>
          <w:szCs w:val="24"/>
          <w:shd w:val="clear" w:color="auto" w:fill="FFFFFF"/>
        </w:rPr>
        <w:t>.1</w:t>
      </w:r>
      <w:r w:rsidRPr="00C06183">
        <w:rPr>
          <w:rStyle w:val="normaltextrun"/>
          <w:rFonts w:ascii="Arial" w:hAnsi="Arial" w:cs="Arial"/>
          <w:b/>
          <w:bCs/>
          <w:color w:val="000000"/>
          <w:sz w:val="24"/>
          <w:szCs w:val="24"/>
          <w:shd w:val="clear" w:color="auto" w:fill="FFFFFF"/>
        </w:rPr>
        <w:t xml:space="preserve">, </w:t>
      </w:r>
      <w:r w:rsidRPr="00C06183">
        <w:rPr>
          <w:rStyle w:val="normaltextrun"/>
          <w:rFonts w:ascii="Arial" w:hAnsi="Arial" w:cs="Arial"/>
          <w:color w:val="000000"/>
          <w:sz w:val="24"/>
          <w:szCs w:val="24"/>
          <w:shd w:val="clear" w:color="auto" w:fill="FFFFFF"/>
        </w:rPr>
        <w:t>along with current advances</w:t>
      </w:r>
      <w:r w:rsidRPr="00C06183">
        <w:rPr>
          <w:rStyle w:val="normaltextrun"/>
          <w:rFonts w:ascii="Arial" w:hAnsi="Arial" w:cs="Arial"/>
          <w:b/>
          <w:bCs/>
          <w:color w:val="000000"/>
          <w:sz w:val="24"/>
          <w:szCs w:val="24"/>
          <w:shd w:val="clear" w:color="auto" w:fill="FFFFFF"/>
        </w:rPr>
        <w:t xml:space="preserve"> </w:t>
      </w:r>
      <w:r w:rsidRPr="00C06183">
        <w:rPr>
          <w:rStyle w:val="normaltextrun"/>
          <w:rFonts w:ascii="Arial" w:hAnsi="Arial" w:cs="Arial"/>
          <w:color w:val="000000"/>
          <w:sz w:val="24"/>
          <w:szCs w:val="24"/>
          <w:shd w:val="clear" w:color="auto" w:fill="FFFFFF"/>
        </w:rPr>
        <w:t>in their applications. Others methods, such as electroporation and the use of magnetic fields, are summarized in greater detail in a recently published review article by Mitragotri et al.</w:t>
      </w:r>
      <w:r w:rsidRPr="00C06183">
        <w:rPr>
          <w:rStyle w:val="normaltextrun"/>
          <w:rFonts w:ascii="Arial" w:hAnsi="Arial" w:cs="Arial"/>
          <w:color w:val="000000"/>
          <w:sz w:val="24"/>
          <w:szCs w:val="24"/>
          <w:shd w:val="clear" w:color="auto" w:fill="FFFFFF"/>
        </w:rPr>
        <w:fldChar w:fldCharType="begin" w:fldLock="1"/>
      </w:r>
      <w:r w:rsidR="00DF25E0">
        <w:rPr>
          <w:rStyle w:val="normaltextrun"/>
          <w:rFonts w:ascii="Arial" w:hAnsi="Arial" w:cs="Arial"/>
          <w:color w:val="000000"/>
          <w:sz w:val="24"/>
          <w:szCs w:val="24"/>
          <w:shd w:val="clear" w:color="auto" w:fill="FFFFFF"/>
        </w:rPr>
        <w:instrText>ADDIN CSL_CITATION {"citationItems":[{"id":"ITEM-1","itemData":{"DOI":"10.1016/j.addr.2020.06.010","ISSN":"0169409X","author":[{"dropping-particle":"","family":"Sun","given":"Tao","non-dropping-particle":"","parse-names":false,"suffix":""},{"dropping-particle":"","family":"Dasgupta","given":"Anshuman","non-dropping-particle":"","parse-names":false,"suffix":""},{"dropping-particle":"","family":"Zhao","given":"Zongmin","non-dropping-particle":"","parse-names":false,"suffix":""},{"dropping-particle":"","family":"Nurunnabi","given":"Md","non-dropping-particle":"","parse-names":false,"suffix":""},{"dropping-particle":"","family":"Mitragotri","given":"Samir","non-dropping-particle":"","parse-names":false,"suffix":""}],"container-title":"Advanced Drug Delivery Reviews","id":"ITEM-1","issued":{"date-parts":[["2020","6"]]},"title":"Physical triggering strategies for drug delivery","type":"article-journal"},"uris":["http://www.mendeley.com/documents/?uuid=2e0b5ce9-ee4e-45a6-9e53-c32e22b09a19"]}],"mendeley":{"formattedCitation":"&lt;sup&gt;83&lt;/sup&gt;","plainTextFormattedCitation":"83","previouslyFormattedCitation":"&lt;sup&gt;83&lt;/sup&gt;"},"properties":{"noteIndex":0},"schema":"https://github.com/citation-style-language/schema/raw/master/csl-citation.json"}</w:instrText>
      </w:r>
      <w:r w:rsidRPr="00C06183">
        <w:rPr>
          <w:rStyle w:val="normaltextrun"/>
          <w:rFonts w:ascii="Arial" w:hAnsi="Arial" w:cs="Arial"/>
          <w:color w:val="000000"/>
          <w:sz w:val="24"/>
          <w:szCs w:val="24"/>
          <w:shd w:val="clear" w:color="auto" w:fill="FFFFFF"/>
        </w:rPr>
        <w:fldChar w:fldCharType="separate"/>
      </w:r>
      <w:r w:rsidR="009E6E61" w:rsidRPr="009E6E61">
        <w:rPr>
          <w:rStyle w:val="normaltextrun"/>
          <w:rFonts w:ascii="Arial" w:hAnsi="Arial" w:cs="Arial"/>
          <w:noProof/>
          <w:color w:val="000000"/>
          <w:sz w:val="24"/>
          <w:szCs w:val="24"/>
          <w:shd w:val="clear" w:color="auto" w:fill="FFFFFF"/>
          <w:vertAlign w:val="superscript"/>
        </w:rPr>
        <w:t>83</w:t>
      </w:r>
      <w:r w:rsidRPr="00C06183">
        <w:rPr>
          <w:rStyle w:val="normaltextrun"/>
          <w:rFonts w:ascii="Arial" w:hAnsi="Arial" w:cs="Arial"/>
          <w:color w:val="000000"/>
          <w:sz w:val="24"/>
          <w:szCs w:val="24"/>
          <w:shd w:val="clear" w:color="auto" w:fill="FFFFFF"/>
        </w:rPr>
        <w:fldChar w:fldCharType="end"/>
      </w:r>
      <w:r w:rsidRPr="00C06183">
        <w:rPr>
          <w:rStyle w:val="normaltextrun"/>
          <w:rFonts w:ascii="Arial" w:hAnsi="Arial" w:cs="Arial"/>
          <w:color w:val="000000"/>
          <w:sz w:val="24"/>
          <w:szCs w:val="24"/>
          <w:shd w:val="clear" w:color="auto" w:fill="FFFFFF"/>
        </w:rPr>
        <w:t xml:space="preserve"> </w:t>
      </w:r>
    </w:p>
    <w:p w14:paraId="48EE7CF9" w14:textId="77777777" w:rsidR="00A22975" w:rsidRDefault="00A22975">
      <w:pPr>
        <w:rPr>
          <w:rStyle w:val="normaltextrun"/>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br w:type="page"/>
      </w:r>
    </w:p>
    <w:p w14:paraId="554A1768" w14:textId="25D3B17E" w:rsidR="00A22975" w:rsidRPr="00A22975" w:rsidRDefault="00A22975" w:rsidP="00A22975">
      <w:pPr>
        <w:rPr>
          <w:b/>
          <w:bCs/>
        </w:rPr>
      </w:pPr>
      <w:r w:rsidRPr="00A22975">
        <w:rPr>
          <w:b/>
          <w:bCs/>
        </w:rPr>
        <w:lastRenderedPageBreak/>
        <w:t xml:space="preserve">Table </w:t>
      </w:r>
      <w:r>
        <w:rPr>
          <w:b/>
          <w:bCs/>
        </w:rPr>
        <w:t>1.</w:t>
      </w:r>
      <w:r w:rsidRPr="00A22975">
        <w:rPr>
          <w:b/>
          <w:bCs/>
        </w:rPr>
        <w:t xml:space="preserve">1. </w:t>
      </w:r>
      <w:r w:rsidRPr="00A22975">
        <w:t>Examples of nanoparticle delivery mechanisms across tumor vasculature</w:t>
      </w:r>
    </w:p>
    <w:tbl>
      <w:tblPr>
        <w:tblStyle w:val="TableGrid"/>
        <w:tblW w:w="9355" w:type="dxa"/>
        <w:tblLook w:val="04A0" w:firstRow="1" w:lastRow="0" w:firstColumn="1" w:lastColumn="0" w:noHBand="0" w:noVBand="1"/>
      </w:tblPr>
      <w:tblGrid>
        <w:gridCol w:w="1657"/>
        <w:gridCol w:w="1295"/>
        <w:gridCol w:w="1675"/>
        <w:gridCol w:w="3825"/>
        <w:gridCol w:w="903"/>
      </w:tblGrid>
      <w:tr w:rsidR="00A22975" w:rsidRPr="00A22975" w14:paraId="4FCF00D7" w14:textId="77777777" w:rsidTr="00A22975">
        <w:tc>
          <w:tcPr>
            <w:tcW w:w="1661" w:type="dxa"/>
          </w:tcPr>
          <w:p w14:paraId="1670CBBF" w14:textId="77777777" w:rsidR="00A22975" w:rsidRPr="00A22975" w:rsidRDefault="00A22975">
            <w:pPr>
              <w:rPr>
                <w:rFonts w:ascii="Arial" w:hAnsi="Arial" w:cs="Arial"/>
                <w:sz w:val="20"/>
                <w:szCs w:val="20"/>
              </w:rPr>
            </w:pPr>
            <w:r w:rsidRPr="00A22975">
              <w:rPr>
                <w:rStyle w:val="normaltextrun"/>
                <w:rFonts w:ascii="Arial" w:hAnsi="Arial" w:cs="Arial"/>
                <w:b/>
                <w:bCs/>
                <w:sz w:val="20"/>
                <w:szCs w:val="20"/>
              </w:rPr>
              <w:t>Method</w:t>
            </w:r>
            <w:r w:rsidRPr="00A22975">
              <w:rPr>
                <w:rStyle w:val="eop"/>
                <w:rFonts w:ascii="Arial" w:hAnsi="Arial" w:cs="Arial"/>
                <w:sz w:val="20"/>
                <w:szCs w:val="20"/>
              </w:rPr>
              <w:t> </w:t>
            </w:r>
          </w:p>
        </w:tc>
        <w:tc>
          <w:tcPr>
            <w:tcW w:w="1296" w:type="dxa"/>
          </w:tcPr>
          <w:p w14:paraId="038D8613" w14:textId="77777777" w:rsidR="00A22975" w:rsidRPr="00A22975" w:rsidRDefault="00A22975">
            <w:pPr>
              <w:rPr>
                <w:rStyle w:val="normaltextrun"/>
                <w:rFonts w:ascii="Arial" w:hAnsi="Arial" w:cs="Arial"/>
                <w:b/>
                <w:bCs/>
                <w:sz w:val="20"/>
                <w:szCs w:val="20"/>
              </w:rPr>
            </w:pPr>
            <w:r w:rsidRPr="00A22975">
              <w:rPr>
                <w:rStyle w:val="normaltextrun"/>
                <w:rFonts w:ascii="Arial" w:hAnsi="Arial" w:cs="Arial"/>
                <w:b/>
                <w:bCs/>
                <w:sz w:val="20"/>
                <w:szCs w:val="20"/>
              </w:rPr>
              <w:t>Year</w:t>
            </w:r>
          </w:p>
          <w:p w14:paraId="0045257F" w14:textId="675D3E0C" w:rsidR="00A22975" w:rsidRPr="00A22975" w:rsidRDefault="00A22975">
            <w:pPr>
              <w:rPr>
                <w:rFonts w:ascii="Arial" w:hAnsi="Arial" w:cs="Arial"/>
                <w:sz w:val="20"/>
                <w:szCs w:val="20"/>
              </w:rPr>
            </w:pPr>
            <w:r w:rsidRPr="00A22975">
              <w:rPr>
                <w:rStyle w:val="normaltextrun"/>
                <w:rFonts w:ascii="Arial" w:hAnsi="Arial" w:cs="Arial"/>
                <w:b/>
                <w:bCs/>
                <w:sz w:val="20"/>
                <w:szCs w:val="20"/>
              </w:rPr>
              <w:t>First Described</w:t>
            </w:r>
            <w:r w:rsidRPr="00A22975">
              <w:rPr>
                <w:rStyle w:val="eop"/>
                <w:rFonts w:ascii="Arial" w:hAnsi="Arial" w:cs="Arial"/>
                <w:sz w:val="20"/>
                <w:szCs w:val="20"/>
              </w:rPr>
              <w:t> </w:t>
            </w:r>
          </w:p>
        </w:tc>
        <w:tc>
          <w:tcPr>
            <w:tcW w:w="1680" w:type="dxa"/>
          </w:tcPr>
          <w:p w14:paraId="77BC3B12" w14:textId="77777777" w:rsidR="00A22975" w:rsidRPr="00A22975" w:rsidRDefault="00A22975">
            <w:pPr>
              <w:rPr>
                <w:rFonts w:ascii="Arial" w:hAnsi="Arial" w:cs="Arial"/>
                <w:sz w:val="20"/>
                <w:szCs w:val="20"/>
              </w:rPr>
            </w:pPr>
            <w:r w:rsidRPr="00A22975">
              <w:rPr>
                <w:rStyle w:val="normaltextrun"/>
                <w:rFonts w:ascii="Arial" w:hAnsi="Arial" w:cs="Arial"/>
                <w:b/>
                <w:bCs/>
                <w:sz w:val="20"/>
                <w:szCs w:val="20"/>
              </w:rPr>
              <w:t>Process</w:t>
            </w:r>
            <w:r w:rsidRPr="00A22975">
              <w:rPr>
                <w:rStyle w:val="eop"/>
                <w:rFonts w:ascii="Arial" w:hAnsi="Arial" w:cs="Arial"/>
                <w:sz w:val="20"/>
                <w:szCs w:val="20"/>
              </w:rPr>
              <w:t> </w:t>
            </w:r>
          </w:p>
        </w:tc>
        <w:tc>
          <w:tcPr>
            <w:tcW w:w="3825" w:type="dxa"/>
          </w:tcPr>
          <w:p w14:paraId="0B331BC1" w14:textId="77777777" w:rsidR="00A22975" w:rsidRPr="00A22975" w:rsidRDefault="00A22975">
            <w:pPr>
              <w:rPr>
                <w:rFonts w:ascii="Arial" w:hAnsi="Arial" w:cs="Arial"/>
                <w:sz w:val="20"/>
                <w:szCs w:val="20"/>
              </w:rPr>
            </w:pPr>
            <w:r w:rsidRPr="00A22975">
              <w:rPr>
                <w:rStyle w:val="normaltextrun"/>
                <w:rFonts w:ascii="Arial" w:hAnsi="Arial" w:cs="Arial"/>
                <w:b/>
                <w:bCs/>
                <w:sz w:val="20"/>
                <w:szCs w:val="20"/>
              </w:rPr>
              <w:t>Description</w:t>
            </w:r>
            <w:r w:rsidRPr="00A22975">
              <w:rPr>
                <w:rStyle w:val="eop"/>
                <w:rFonts w:ascii="Arial" w:hAnsi="Arial" w:cs="Arial"/>
                <w:sz w:val="20"/>
                <w:szCs w:val="20"/>
              </w:rPr>
              <w:t> </w:t>
            </w:r>
          </w:p>
        </w:tc>
        <w:tc>
          <w:tcPr>
            <w:tcW w:w="893" w:type="dxa"/>
          </w:tcPr>
          <w:p w14:paraId="42BC6081" w14:textId="0FB7148A" w:rsidR="00A22975" w:rsidRPr="00A22975" w:rsidRDefault="00A22975">
            <w:pPr>
              <w:rPr>
                <w:rFonts w:ascii="Arial" w:hAnsi="Arial" w:cs="Arial"/>
                <w:b/>
                <w:bCs/>
                <w:sz w:val="20"/>
                <w:szCs w:val="20"/>
              </w:rPr>
            </w:pPr>
            <w:r w:rsidRPr="00A22975">
              <w:rPr>
                <w:rFonts w:ascii="Arial" w:hAnsi="Arial" w:cs="Arial"/>
                <w:b/>
                <w:bCs/>
                <w:sz w:val="20"/>
                <w:szCs w:val="20"/>
              </w:rPr>
              <w:t>Ref</w:t>
            </w:r>
            <w:r w:rsidR="00403195">
              <w:rPr>
                <w:rFonts w:ascii="Arial" w:hAnsi="Arial" w:cs="Arial"/>
                <w:b/>
                <w:bCs/>
                <w:sz w:val="20"/>
                <w:szCs w:val="20"/>
              </w:rPr>
              <w:t>.</w:t>
            </w:r>
          </w:p>
        </w:tc>
      </w:tr>
      <w:tr w:rsidR="00A22975" w:rsidRPr="00A22975" w14:paraId="5482DB40" w14:textId="77777777" w:rsidTr="00A22975">
        <w:tc>
          <w:tcPr>
            <w:tcW w:w="1661" w:type="dxa"/>
          </w:tcPr>
          <w:p w14:paraId="536018FD"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Active targeting liposomes</w:t>
            </w:r>
            <w:r w:rsidRPr="00A22975">
              <w:rPr>
                <w:rStyle w:val="eop"/>
                <w:rFonts w:ascii="Arial" w:hAnsi="Arial" w:cs="Arial"/>
                <w:sz w:val="20"/>
                <w:szCs w:val="20"/>
              </w:rPr>
              <w:t> </w:t>
            </w:r>
          </w:p>
        </w:tc>
        <w:tc>
          <w:tcPr>
            <w:tcW w:w="1296" w:type="dxa"/>
          </w:tcPr>
          <w:p w14:paraId="28AB766E"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1979</w:t>
            </w:r>
            <w:r w:rsidRPr="00A22975">
              <w:rPr>
                <w:rStyle w:val="eop"/>
                <w:rFonts w:ascii="Arial" w:hAnsi="Arial" w:cs="Arial"/>
                <w:sz w:val="20"/>
                <w:szCs w:val="20"/>
              </w:rPr>
              <w:t> </w:t>
            </w:r>
          </w:p>
        </w:tc>
        <w:tc>
          <w:tcPr>
            <w:tcW w:w="1680" w:type="dxa"/>
          </w:tcPr>
          <w:p w14:paraId="54EB2F9A"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Biological</w:t>
            </w:r>
            <w:r w:rsidRPr="00A22975">
              <w:rPr>
                <w:rStyle w:val="eop"/>
                <w:rFonts w:ascii="Arial" w:hAnsi="Arial" w:cs="Arial"/>
                <w:sz w:val="20"/>
                <w:szCs w:val="20"/>
              </w:rPr>
              <w:t> </w:t>
            </w:r>
          </w:p>
        </w:tc>
        <w:tc>
          <w:tcPr>
            <w:tcW w:w="3825" w:type="dxa"/>
          </w:tcPr>
          <w:p w14:paraId="5D8E1863" w14:textId="77777777" w:rsidR="00A22975" w:rsidRPr="00A22975" w:rsidRDefault="00A22975">
            <w:pPr>
              <w:ind w:left="18" w:hanging="18"/>
              <w:rPr>
                <w:rFonts w:ascii="Arial" w:hAnsi="Arial" w:cs="Arial"/>
                <w:sz w:val="20"/>
                <w:szCs w:val="20"/>
              </w:rPr>
            </w:pPr>
            <w:r w:rsidRPr="00A22975">
              <w:rPr>
                <w:rStyle w:val="normaltextrun"/>
                <w:rFonts w:ascii="Arial" w:hAnsi="Arial" w:cs="Arial"/>
                <w:sz w:val="20"/>
                <w:szCs w:val="20"/>
              </w:rPr>
              <w:t xml:space="preserve">Involves the attachment of specific antibodies or other molecules to the nanoparticle surface for </w:t>
            </w:r>
            <w:proofErr w:type="gramStart"/>
            <w:r w:rsidRPr="00A22975">
              <w:rPr>
                <w:rStyle w:val="normaltextrun"/>
                <w:rFonts w:ascii="Arial" w:hAnsi="Arial" w:cs="Arial"/>
                <w:sz w:val="20"/>
                <w:szCs w:val="20"/>
              </w:rPr>
              <w:t>targeting of</w:t>
            </w:r>
            <w:proofErr w:type="gramEnd"/>
            <w:r w:rsidRPr="00A22975">
              <w:rPr>
                <w:rStyle w:val="normaltextrun"/>
                <w:rFonts w:ascii="Arial" w:hAnsi="Arial" w:cs="Arial"/>
                <w:sz w:val="20"/>
                <w:szCs w:val="20"/>
              </w:rPr>
              <w:t xml:space="preserve"> complementary receptors on cancer cells. The tumor penetrating peptide, </w:t>
            </w:r>
            <w:proofErr w:type="spellStart"/>
            <w:r w:rsidRPr="00A22975">
              <w:rPr>
                <w:rStyle w:val="normaltextrun"/>
                <w:rFonts w:ascii="Arial" w:hAnsi="Arial" w:cs="Arial"/>
                <w:sz w:val="20"/>
                <w:szCs w:val="20"/>
              </w:rPr>
              <w:t>iRGD</w:t>
            </w:r>
            <w:proofErr w:type="spellEnd"/>
            <w:r w:rsidRPr="00A22975">
              <w:rPr>
                <w:rStyle w:val="normaltextrun"/>
                <w:rFonts w:ascii="Arial" w:hAnsi="Arial" w:cs="Arial"/>
                <w:sz w:val="20"/>
                <w:szCs w:val="20"/>
              </w:rPr>
              <w:t>, and its derivatives, are widely used examples. </w:t>
            </w:r>
            <w:r w:rsidRPr="00A22975">
              <w:rPr>
                <w:rStyle w:val="eop"/>
                <w:rFonts w:ascii="Arial" w:hAnsi="Arial" w:cs="Arial"/>
                <w:sz w:val="20"/>
                <w:szCs w:val="20"/>
              </w:rPr>
              <w:t> </w:t>
            </w:r>
          </w:p>
        </w:tc>
        <w:tc>
          <w:tcPr>
            <w:tcW w:w="893" w:type="dxa"/>
          </w:tcPr>
          <w:p w14:paraId="2F4A67F4" w14:textId="67B16A6C" w:rsidR="00A22975" w:rsidRPr="00A22975" w:rsidRDefault="00A22975">
            <w:pPr>
              <w:rPr>
                <w:rFonts w:ascii="Arial" w:hAnsi="Arial" w:cs="Arial"/>
                <w:sz w:val="20"/>
                <w:szCs w:val="20"/>
              </w:rPr>
            </w:pPr>
            <w:r w:rsidRPr="00A22975">
              <w:rPr>
                <w:rFonts w:ascii="Arial" w:hAnsi="Arial" w:cs="Arial"/>
                <w:sz w:val="20"/>
                <w:szCs w:val="20"/>
              </w:rPr>
              <w:fldChar w:fldCharType="begin" w:fldLock="1"/>
            </w:r>
            <w:r w:rsidR="00DF25E0">
              <w:rPr>
                <w:rFonts w:ascii="Arial" w:hAnsi="Arial" w:cs="Arial"/>
                <w:sz w:val="20"/>
                <w:szCs w:val="20"/>
              </w:rPr>
              <w:instrText>ADDIN CSL_CITATION {"citationItems":[{"id":"ITEM-1","itemData":{"ISSN":"0022-1767","PMID":"368242","abstract":"Small unilamellar lipid vesicles bearing the DNP-hapten on their surfaces and containing the water-soluble fluorescent dye carboxyfluorescein were formed by sonication. These vesicles were incubated with cells from the murine myeloma tumor MOPC 315, which secrete and also bear on the cell surface an immunoglobulin with affinity for the nitrophenyl hapten. At 0 degrees C the cells bound an average of several thousand vesicles at saturation. This binding was specific for the nitrophenyl hapten on the vesicle since it was abolished by an excess of soluble nitrophenyl derivative, by omission of the hapten from the vesicle, or by substitution for MOPC 315 of a tumor lacking receptors for the nitrophenyl hapten. Specific binding of vesicles was greater when cells were incubated at 37 degrees C. The study suggests that ligand-bearing vesicles can be a useful marker for cell surface immunoglobulin. However, in spite of the ability to \"target\" vesicles to cell surface determinants, binding did not result in increased delivery of vesicle contents to the cytoplasm.","author":[{"dropping-particle":"","family":"Leserman","given":"Lee D","non-dropping-particle":"","parse-names":false,"suffix":""},{"dropping-particle":"","family":"Weinstein","given":"John N","non-dropping-particle":"","parse-names":false,"suffix":""},{"dropping-particle":"","family":"Blumenthal","given":"Robert","non-dropping-particle":"","parse-names":false,"suffix":""},{"dropping-particle":"","family":"Sharrow","given":"S O","non-dropping-particle":"","parse-names":false,"suffix":""},{"dropping-particle":"","family":"Terry","given":"William D","non-dropping-particle":"","parse-names":false,"suffix":""}],"container-title":"Journal of immunology (Baltimore, Md. : 1950)","id":"ITEM-1","issue":"2","issued":{"date-parts":[["1979","2"]]},"page":"585-91","title":"Binding of antigen-bearing fluorescent liposomes to the murine myeloma tumor MOPC 315.","type":"article-journal","volume":"122"},"uris":["http://www.mendeley.com/documents/?uuid=c2a987e5-d898-4f60-a233-1679fc5a424f"]},{"id":"ITEM-2","itemData":{"DOI":"10.1016/0022-1759(81)90131-9","ISSN":"00221759","author":[{"dropping-particle":"","family":"Huang","given":"Anthony","non-dropping-particle":"","parse-names":false,"suffix":""},{"dropping-particle":"","family":"Kennel","given":"Stephen J.","non-dropping-particle":"","parse-names":false,"suffix":""},{"dropping-particle":"","family":"Huang","given":"Leaf","non-dropping-particle":"","parse-names":false,"suffix":""}],"container-title":"Journal of Immunological Methods","id":"ITEM-2","issue":"2","issued":{"date-parts":[["1981","10"]]},"page":"141-151","title":"Immunoliposome labeling: A sensitive and specific method for cell surface labeling","type":"article-journal","volume":"46"},"uris":["http://www.mendeley.com/documents/?uuid=f4f45d76-de93-4b03-97e4-249c4070abf2"]},{"id":"ITEM-3","itemData":{"DOI":"10.1158/1535-7163.MCT-14-0366","ISSN":"15388514","abstract":"Tumor-specific tissue-penetrating peptides deliver drugs into extravascular tumor tissue by increasing tumor vascular permeability through interaction with neuropilin (NRP). Here, we report that a prototypic tumor-penetrating peptide iRGD (amino acid sequence: CRGDKGPDC) potently inhibits spontaneous metastasis in mice. The antimetastatic effect was mediated by the NRP-binding RXXK peptide motif (CendR motif), and not by the integrin-binding RGD motif. iRGD inhibited migration of tumor cells and caused chemorepulsion in vitro in a CendR- and NRP-1-dependent manner. The peptide induced dramatic collapse of cellular processes and partial cell detachment, resulting in the repellent activity. These effects were prominently displayed when the cells were seeded on fibronectin, suggesting a role of CendR in functional regulation of integrins. The antimetastatic activity of iRGD may provide a significant additional benefit when this peptide is used for drug delivery to tumors.","author":[{"dropping-particle":"","family":"Sugahara","given":"Kazuki N.","non-dropping-particle":"","parse-names":false,"suffix":""},{"dropping-particle":"","family":"Braun","given":"Gary B.","non-dropping-particle":"","parse-names":false,"suffix":""},{"dropping-particle":"","family":"Mendoza","given":"Tatiana Hurtado","non-dropping-particle":"De","parse-names":false,"suffix":""},{"dropping-particle":"","family":"Kotamraju","given":"Venkata Ramana","non-dropping-particle":"","parse-names":false,"suffix":""},{"dropping-particle":"","family":"French","given":"Randall P.","non-dropping-particle":"","parse-names":false,"suffix":""},{"dropping-particle":"","family":"Lowy","given":"Andrew M.","non-dropping-particle":"","parse-names":false,"suffix":""},{"dropping-particle":"","family":"Teesalu","given":"Tambet","non-dropping-particle":"","parse-names":false,"suffix":""},{"dropping-particle":"","family":"Ruoslahti","given":"Erkki","non-dropping-particle":"","parse-names":false,"suffix":""}],"container-title":"Molecular Cancer Therapeutics","id":"ITEM-3","issue":"1","issued":{"date-parts":[["2015"]]},"page":"120-128","title":"Tumor-penetrating iRGD peptide inhibits metastasis","type":"article-journal","volume":"14"},"uris":["http://www.mendeley.com/documents/?uuid=4e6bf048-a686-4484-b828-3088aa210406"]},{"id":"ITEM-4","itemData":{"DOI":"10.1172/JCI92284","ISSN":"0021-9738","abstract":"Pancreatic ductal adenocarcinoma (PDAC) is almost uniformly fatal; however, some improvement in overall survival has been achieved with the introduction of nanocarriers that deliver irinotecan or paclitaxel. Although it is generally assumed that nanocarriers rely principally on abnormal leaky vasculature for tumor access, a transcytosis transport pathway that is regulated by neuropilin-1 (NRP-1) has recently been reported. NRP-1-mediated transport can be triggered by the cyclic tumor-penetrating peptide iRGD. In a KRAS-induced orthotopic PDAC model, coadministration of iRGD enhanced the uptake of an irinotecan-loaded silicasome carrier that comprises lipid bilayer-coated mesoporous silica nanoparticles (MSNPs); this uptake resulted in enhanced survival and markedly reduced metastasis. Further, ultrastructural imaging of the treated tumors revealed that iRGD coadministration induced a vesicular transport pathway that carried Au-labeled silicacomes from the blood vessel lumen to a perinuclear site within cancer cells. iRGD-mediated enhancement of silicasome uptake was also observed in patient-derived xenografts, commensurate with the level of NRP-1 expression on tumor blood vessels. These results demonstrate that iRGD enhances the efficacy of irinotecan-loaded silicasome-based therapy and may be a suitable adjuvant in nanoparticle-based treatments for PDAC.","author":[{"dropping-particle":"","family":"Liu","given":"Xiangsheng","non-dropping-particle":"","parse-names":false,"suffix":""},{"dropping-particle":"","family":"Lin","given":"Paulina","non-dropping-particle":"","parse-names":false,"suffix":""},{"dropping-particle":"","family":"Perrett","given":"Ian","non-dropping-particle":"","parse-names":false,"suffix":""},{"dropping-particle":"","family":"Lin","given":"Joshua","non-dropping-particle":"","parse-names":false,"suffix":""},{"dropping-particle":"","family":"Liao","given":"Yu-Pei","non-dropping-particle":"","parse-names":false,"suffix":""},{"dropping-particle":"","family":"Chang","given":"Chong Hyun","non-dropping-particle":"","parse-names":false,"suffix":""},{"dropping-particle":"","family":"Jiang","given":"Jinhong","non-dropping-particle":"","parse-names":false,"suffix":""},{"dropping-particle":"","family":"Wu","given":"Nanping","non-dropping-particle":"","parse-names":false,"suffix":""},{"dropping-particle":"","family":"Donahue","given":"Timothy","non-dropping-particle":"","parse-names":false,"suffix":""},{"dropping-particle":"","family":"Wainberg","given":"Zev","non-dropping-particle":"","parse-names":false,"suffix":""},{"dropping-particle":"","family":"Nel","given":"Andre E.","non-dropping-particle":"","parse-names":false,"suffix":""},{"dropping-particle":"","family":"Meng","given":"Huan","non-dropping-particle":"","parse-names":false,"suffix":""}],"container-title":"Journal of Clinical Investigation","id":"ITEM-4","issue":"5","issued":{"date-parts":[["2017","4","17"]]},"page":"2007-2018","publisher":"American Society for Clinical Investigation","title":"Tumor-penetrating peptide enhances transcytosis of silicasome-based chemotherapy for pancreatic cancer","type":"article-journal","volume":"127"},"uris":["http://www.mendeley.com/documents/?uuid=30630e2c-38f2-38cf-aa62-3ef064604962"]}],"mendeley":{"formattedCitation":"&lt;sup&gt;66,67,84,85&lt;/sup&gt;","plainTextFormattedCitation":"66,67,84,85","previouslyFormattedCitation":"&lt;sup&gt;66,67,84,85&lt;/sup&gt;"},"properties":{"noteIndex":0},"schema":"https://github.com/citation-style-language/schema/raw/master/csl-citation.json"}</w:instrText>
            </w:r>
            <w:r w:rsidRPr="00A22975">
              <w:rPr>
                <w:rFonts w:ascii="Arial" w:hAnsi="Arial" w:cs="Arial"/>
                <w:sz w:val="20"/>
                <w:szCs w:val="20"/>
              </w:rPr>
              <w:fldChar w:fldCharType="separate"/>
            </w:r>
            <w:r w:rsidR="009E6E61" w:rsidRPr="009E6E61">
              <w:rPr>
                <w:rFonts w:ascii="Arial" w:hAnsi="Arial" w:cs="Arial"/>
                <w:noProof/>
                <w:sz w:val="20"/>
                <w:szCs w:val="20"/>
                <w:vertAlign w:val="superscript"/>
              </w:rPr>
              <w:t>66,67,84,85</w:t>
            </w:r>
            <w:r w:rsidRPr="00A22975">
              <w:rPr>
                <w:rFonts w:ascii="Arial" w:hAnsi="Arial" w:cs="Arial"/>
                <w:sz w:val="20"/>
                <w:szCs w:val="20"/>
              </w:rPr>
              <w:fldChar w:fldCharType="end"/>
            </w:r>
          </w:p>
        </w:tc>
      </w:tr>
      <w:tr w:rsidR="00A22975" w:rsidRPr="00A22975" w14:paraId="2C329D27" w14:textId="77777777" w:rsidTr="00A22975">
        <w:tc>
          <w:tcPr>
            <w:tcW w:w="1661" w:type="dxa"/>
          </w:tcPr>
          <w:p w14:paraId="3B21F766"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Heat Treatment</w:t>
            </w:r>
            <w:r w:rsidRPr="00A22975">
              <w:rPr>
                <w:rStyle w:val="eop"/>
                <w:rFonts w:ascii="Arial" w:hAnsi="Arial" w:cs="Arial"/>
                <w:sz w:val="20"/>
                <w:szCs w:val="20"/>
              </w:rPr>
              <w:t> </w:t>
            </w:r>
          </w:p>
        </w:tc>
        <w:tc>
          <w:tcPr>
            <w:tcW w:w="1296" w:type="dxa"/>
          </w:tcPr>
          <w:p w14:paraId="211CD308"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1979</w:t>
            </w:r>
            <w:r w:rsidRPr="00A22975">
              <w:rPr>
                <w:rStyle w:val="eop"/>
                <w:rFonts w:ascii="Arial" w:hAnsi="Arial" w:cs="Arial"/>
                <w:sz w:val="20"/>
                <w:szCs w:val="20"/>
              </w:rPr>
              <w:t> </w:t>
            </w:r>
          </w:p>
        </w:tc>
        <w:tc>
          <w:tcPr>
            <w:tcW w:w="1680" w:type="dxa"/>
          </w:tcPr>
          <w:p w14:paraId="69D89E9D"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Physical</w:t>
            </w:r>
            <w:r w:rsidRPr="00A22975">
              <w:rPr>
                <w:rStyle w:val="eop"/>
                <w:rFonts w:ascii="Arial" w:hAnsi="Arial" w:cs="Arial"/>
                <w:sz w:val="20"/>
                <w:szCs w:val="20"/>
              </w:rPr>
              <w:t> </w:t>
            </w:r>
          </w:p>
        </w:tc>
        <w:tc>
          <w:tcPr>
            <w:tcW w:w="3825" w:type="dxa"/>
          </w:tcPr>
          <w:p w14:paraId="3649DC88"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Local heating of tumors several degrees above the average temperature has been shown to significantly increase the extravasation of nanoparticles until vessel destruction occurs. Photosensitive and paramagnetic nanoparticles are being studied to improve these effects. </w:t>
            </w:r>
            <w:r w:rsidRPr="00A22975">
              <w:rPr>
                <w:rStyle w:val="eop"/>
                <w:rFonts w:ascii="Arial" w:hAnsi="Arial" w:cs="Arial"/>
                <w:sz w:val="20"/>
                <w:szCs w:val="20"/>
              </w:rPr>
              <w:t> </w:t>
            </w:r>
          </w:p>
        </w:tc>
        <w:tc>
          <w:tcPr>
            <w:tcW w:w="893" w:type="dxa"/>
          </w:tcPr>
          <w:p w14:paraId="4A9E0BAC" w14:textId="22AA3FC0" w:rsidR="00A22975" w:rsidRPr="00A22975" w:rsidRDefault="00A22975">
            <w:pPr>
              <w:rPr>
                <w:rFonts w:ascii="Arial" w:hAnsi="Arial" w:cs="Arial"/>
                <w:sz w:val="20"/>
                <w:szCs w:val="20"/>
              </w:rPr>
            </w:pPr>
            <w:r w:rsidRPr="00A22975">
              <w:rPr>
                <w:rFonts w:ascii="Arial" w:hAnsi="Arial" w:cs="Arial"/>
                <w:sz w:val="20"/>
                <w:szCs w:val="20"/>
              </w:rPr>
              <w:fldChar w:fldCharType="begin" w:fldLock="1"/>
            </w:r>
            <w:r w:rsidR="00DF25E0">
              <w:rPr>
                <w:rFonts w:ascii="Arial" w:hAnsi="Arial" w:cs="Arial"/>
                <w:sz w:val="20"/>
                <w:szCs w:val="20"/>
              </w:rPr>
              <w:instrText>ADDIN CSL_CITATION {"citationItems":[{"id":"ITEM-1","itemData":{"author":[{"dropping-particle":"","family":"Weinstein","given":"J N","non-dropping-particle":"","parse-names":false,"suffix":""},{"dropping-particle":"","family":"Magin","given":"R L","non-dropping-particle":"","parse-names":false,"suffix":""},{"dropping-particle":"","family":"Yatvin","given":"M B","non-dropping-particle":"","parse-names":false,"suffix":""},{"dropping-particle":"","family":"Zaharko","given":"D S","non-dropping-particle":"","parse-names":false,"suffix":""}],"container-title":"Science","id":"ITEM-1","issue":"4389","issued":{"date-parts":[["1979"]]},"page":"188-191","title":"Liposomes and Local Hyperthermia: Selective Delivery","type":"article-journal","volume":"204"},"uris":["http://www.mendeley.com/documents/?uuid=59ff74d3-f5b2-4b8b-94fb-583f618918b9"]},{"id":"ITEM-2","itemData":{"DOI":"10.1080/026567399285558","ISBN":"0265673992","ISSN":"02656736","abstract":"Hyperthermia and liposomal drug delivery are treatment modalities that have been used to treat cancer over the last two decades. More recently, the two therapies have been used together in an attempt to exploit their mutual interactions against cancer. The goal of this review is to explore the literature related to combined hyperthermia and liposomal drug delivery for cancer therapy. The motivation behind combining hyperthermia and liposomal drug delivery is discussed from a physical chemical and physiological standpoint. Two types of therapeutic ratios were calculated for in vivo studies from across the literature. These ratios compared the results obtained from hyperthermia and liposomes to hyperthermia and free drug as well as to liposomes without hyperthermia. These two therapeutic ratios were applied to both tumour drug uptake and tumour growth delay studies. In all studies reviewed, hyperthermia in combination with liposomal drug showed an enhanced therapeutic effect compared to either treatment modality alone or hyperthermia and free drug. Future work needs to be focused on optimizing thermosensitive liposomes and understanding the effect of thermal dose on liposomal drug delivery. Though not currently used in the clinic, this combination therapy seems to hold great promise towards improving current cancer therapeutic regimens.","author":[{"dropping-particle":"","family":"Kong","given":"G.","non-dropping-particle":"","parse-names":false,"suffix":""},{"dropping-particle":"","family":"Dewhirst","given":"M. W.","non-dropping-particle":"","parse-names":false,"suffix":""}],"container-title":"International Journal of Hyperthermia","id":"ITEM-2","issue":"5","issued":{"date-parts":[["1999"]]},"page":"345-370","title":"Hyperthermia and liposomes","type":"article-journal","volume":"15"},"uris":["http://www.mendeley.com/documents/?uuid=7e8953a7-3d94-4c60-ba63-e087f3e5a9fc"]},{"id":"ITEM-3","itemData":{"DOI":"10.1016/j.colsurfb.2016.08.055","ISSN":"0927-7765","author":[{"dropping-particle":"","family":"Shah","given":"Saqlain A","non-dropping-particle":"","parse-names":false,"suffix":""},{"dropping-particle":"","family":"Khan","given":"M U Aslam","non-dropping-particle":"","parse-names":false,"suffix":""},{"dropping-particle":"","family":"Arshad","given":"M","non-dropping-particle":"","parse-names":false,"suffix":""},{"dropping-particle":"","family":"Awan","given":"S U","non-dropping-particle":"","parse-names":false,"suffix":""},{"dropping-particle":"","family":"Hashmi","given":"M U","non-dropping-particle":"","parse-names":false,"suffix":""},{"dropping-particle":"","family":"Ahmad","given":"N","non-dropping-particle":"","parse-names":false,"suffix":""}],"container-title":"Colloids and Surfaces B: Biointerfaces","id":"ITEM-3","issued":{"date-parts":[["2016"]]},"page":"157-164","publisher":"Elsevier B.V.","title":"Colloids and Surfaces B : Biointerfaces Doxorubicin-loaded photosensitive magnetic liposomes for multi-modal cancer therapy","type":"article-journal","volume":"148"},"uris":["http://www.mendeley.com/documents/?uuid=42af676b-f9ce-47df-89ae-bb4742d1c976"]}],"mendeley":{"formattedCitation":"&lt;sup&gt;68,69,86&lt;/sup&gt;","plainTextFormattedCitation":"68,69,86","previouslyFormattedCitation":"&lt;sup&gt;68,69,86&lt;/sup&gt;"},"properties":{"noteIndex":0},"schema":"https://github.com/citation-style-language/schema/raw/master/csl-citation.json"}</w:instrText>
            </w:r>
            <w:r w:rsidRPr="00A22975">
              <w:rPr>
                <w:rFonts w:ascii="Arial" w:hAnsi="Arial" w:cs="Arial"/>
                <w:sz w:val="20"/>
                <w:szCs w:val="20"/>
              </w:rPr>
              <w:fldChar w:fldCharType="separate"/>
            </w:r>
            <w:r w:rsidR="009E6E61" w:rsidRPr="009E6E61">
              <w:rPr>
                <w:rFonts w:ascii="Arial" w:hAnsi="Arial" w:cs="Arial"/>
                <w:noProof/>
                <w:sz w:val="20"/>
                <w:szCs w:val="20"/>
                <w:vertAlign w:val="superscript"/>
              </w:rPr>
              <w:t>68,69,86</w:t>
            </w:r>
            <w:r w:rsidRPr="00A22975">
              <w:rPr>
                <w:rFonts w:ascii="Arial" w:hAnsi="Arial" w:cs="Arial"/>
                <w:sz w:val="20"/>
                <w:szCs w:val="20"/>
              </w:rPr>
              <w:fldChar w:fldCharType="end"/>
            </w:r>
          </w:p>
        </w:tc>
      </w:tr>
      <w:tr w:rsidR="00A22975" w:rsidRPr="00A22975" w14:paraId="1EA3F77D" w14:textId="77777777" w:rsidTr="00A22975">
        <w:tc>
          <w:tcPr>
            <w:tcW w:w="1661" w:type="dxa"/>
          </w:tcPr>
          <w:p w14:paraId="2CC3A893" w14:textId="77777777" w:rsidR="00A22975" w:rsidRPr="00A22975" w:rsidRDefault="00A22975">
            <w:pPr>
              <w:rPr>
                <w:rFonts w:ascii="Arial" w:hAnsi="Arial" w:cs="Arial"/>
                <w:sz w:val="20"/>
                <w:szCs w:val="20"/>
              </w:rPr>
            </w:pPr>
            <w:bookmarkStart w:id="14" w:name="_Hlk39604393"/>
            <w:r w:rsidRPr="00A22975">
              <w:rPr>
                <w:rStyle w:val="normaltextrun"/>
                <w:rFonts w:ascii="Arial" w:hAnsi="Arial" w:cs="Arial"/>
                <w:sz w:val="20"/>
                <w:szCs w:val="20"/>
              </w:rPr>
              <w:t>Erythrocyte Hitchhiking </w:t>
            </w:r>
            <w:r w:rsidRPr="00A22975">
              <w:rPr>
                <w:rStyle w:val="eop"/>
                <w:rFonts w:ascii="Arial" w:hAnsi="Arial" w:cs="Arial"/>
                <w:sz w:val="20"/>
                <w:szCs w:val="20"/>
              </w:rPr>
              <w:t> </w:t>
            </w:r>
          </w:p>
        </w:tc>
        <w:tc>
          <w:tcPr>
            <w:tcW w:w="1296" w:type="dxa"/>
          </w:tcPr>
          <w:p w14:paraId="6926ED36"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1987</w:t>
            </w:r>
            <w:r w:rsidRPr="00A22975">
              <w:rPr>
                <w:rStyle w:val="eop"/>
                <w:rFonts w:ascii="Arial" w:hAnsi="Arial" w:cs="Arial"/>
                <w:sz w:val="20"/>
                <w:szCs w:val="20"/>
              </w:rPr>
              <w:t> </w:t>
            </w:r>
          </w:p>
        </w:tc>
        <w:tc>
          <w:tcPr>
            <w:tcW w:w="1680" w:type="dxa"/>
          </w:tcPr>
          <w:p w14:paraId="15671A58"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Biological/Cell Mediated</w:t>
            </w:r>
            <w:r w:rsidRPr="00A22975">
              <w:rPr>
                <w:rStyle w:val="eop"/>
                <w:rFonts w:ascii="Arial" w:hAnsi="Arial" w:cs="Arial"/>
                <w:sz w:val="20"/>
                <w:szCs w:val="20"/>
              </w:rPr>
              <w:t> </w:t>
            </w:r>
          </w:p>
        </w:tc>
        <w:tc>
          <w:tcPr>
            <w:tcW w:w="3825" w:type="dxa"/>
          </w:tcPr>
          <w:p w14:paraId="2F6A60C3"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normaltextrun"/>
                <w:rFonts w:ascii="Arial" w:hAnsi="Arial" w:cs="Arial"/>
                <w:sz w:val="20"/>
                <w:szCs w:val="20"/>
              </w:rPr>
              <w:t>This process has evolved from erythrocytes being removed from the patient and loaded with drugs and readministered to removed erythrocytes being conjugated with drug carrying nanoparticles and readministered to localize at the nearest downstream organ from the injection site. </w:t>
            </w:r>
            <w:r w:rsidRPr="00A22975">
              <w:rPr>
                <w:rStyle w:val="eop"/>
                <w:rFonts w:ascii="Arial" w:eastAsia="MS Mincho" w:hAnsi="Arial" w:cs="Arial"/>
                <w:sz w:val="20"/>
                <w:szCs w:val="20"/>
              </w:rPr>
              <w:t> </w:t>
            </w:r>
          </w:p>
          <w:p w14:paraId="1F0ED48F"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eop"/>
                <w:rFonts w:ascii="Arial" w:eastAsia="MS Mincho" w:hAnsi="Arial" w:cs="Arial"/>
                <w:sz w:val="20"/>
                <w:szCs w:val="20"/>
              </w:rPr>
              <w:t> </w:t>
            </w:r>
          </w:p>
          <w:p w14:paraId="16FD42E0"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Work has also been done on coating nanoparticles with intact membranes from erythrocytes containing the typically expressed surface proteins for improved circulation.</w:t>
            </w:r>
            <w:r w:rsidRPr="00A22975">
              <w:rPr>
                <w:rStyle w:val="eop"/>
                <w:rFonts w:ascii="Arial" w:hAnsi="Arial" w:cs="Arial"/>
                <w:sz w:val="20"/>
                <w:szCs w:val="20"/>
              </w:rPr>
              <w:t> </w:t>
            </w:r>
          </w:p>
        </w:tc>
        <w:tc>
          <w:tcPr>
            <w:tcW w:w="893" w:type="dxa"/>
          </w:tcPr>
          <w:p w14:paraId="0CFB4573" w14:textId="45179A6D" w:rsidR="00A22975" w:rsidRPr="00A22975" w:rsidRDefault="00A22975">
            <w:pPr>
              <w:rPr>
                <w:rFonts w:ascii="Arial" w:hAnsi="Arial" w:cs="Arial"/>
                <w:sz w:val="20"/>
                <w:szCs w:val="20"/>
              </w:rPr>
            </w:pPr>
            <w:r w:rsidRPr="00A22975">
              <w:rPr>
                <w:rFonts w:ascii="Arial" w:hAnsi="Arial" w:cs="Arial"/>
                <w:sz w:val="20"/>
                <w:szCs w:val="20"/>
              </w:rPr>
              <w:fldChar w:fldCharType="begin" w:fldLock="1"/>
            </w:r>
            <w:r w:rsidR="00DF25E0">
              <w:rPr>
                <w:rFonts w:ascii="Arial" w:hAnsi="Arial" w:cs="Arial"/>
                <w:sz w:val="20"/>
                <w:szCs w:val="20"/>
              </w:rPr>
              <w:instrText>ADDIN CSL_CITATION {"citationItems":[{"id":"ITEM-1","itemData":{"DOI":"10.1016/0076-6879(87)49068-X","ISSN":"15577988","abstract":"This chapter describes the magnetically responsive erythrocytes ghosts. The studies described were to examine whether ferromagnetic micromolecules, so-called ferrofluids, can be entrapped in erythrocyte ghosts, and if such ferromagnetic ghosts can be influenced by magnetic fields in vitro. This would open the door to in vivo studies on drug targeting by magnetically responsive erythrocyte ghosts. These studies have shown that it is possible to entrap magnetite particles in erythrocyte ghosts. The substance presently available, however, has a certain cytotoxic and hemolytic activity. Other kinds of ferrofluids should be produced, avoiding any additive of potential membrane-damaging detergents, or a coating (e.g., protein) could be applied around the magnetite particles to reduce their toxicity. If these problems could be solved, it would be possible to prevent such high leak streams as observed in the current studies. Then, magnetically responsive erythrocyte ghosts might become useful for drug targeting. © 1987, Elsevier Inc. All rights reserved.","author":[{"dropping-particle":"","family":"Sprandel","given":"U.","non-dropping-particle":"","parse-names":false,"suffix":""},{"dropping-particle":"","family":"Lanz","given":"D-J.","non-dropping-particle":"","parse-names":false,"suffix":""},{"dropping-particle":"","family":"Hörsten","given":"W.","non-dropping-particle":"von","parse-names":false,"suffix":""}],"container-title":"Methods in Enzymology","id":"ITEM-1","issue":"C","issued":{"date-parts":[["1987"]]},"page":"301-312","title":"Magnetically responsive erythrocyte ghosts","type":"chapter","volume":"149"},"uris":["http://www.mendeley.com/documents/?uuid=9e9803a9-e166-4b49-b916-3b0c603343b8"]},{"id":"ITEM-2","itemData":{"DOI":"10.1038/s41467-018-05079-7","ISBN":"4146701805","ISSN":"20411723","abstract":"Drug delivery by nanocarriers (NCs) has long been stymied by dominant liver uptake and limited target organ deposition, even when NCs are targeted using affinity moieties. Here we report a universal solution: red blood cell (RBC)-hitchhiking (RH), in which NCs adsorbed onto the RBCs transfer from RBCs to the first organ downstream of the intravascular injection. RH improves delivery for a wide range of NCs and even viral vectors. For example, RH injected intravenously increases liposome uptake in the first downstream organ, lungs, by ~40-fold compared with free NCs. Intra-carotid artery injection of RH NCs delivers &gt;10% of the injected NC dose to the brain, ~10× higher than that achieved with affinity moieties. Further, RH works in mice, pigs, and ex vivo human lungs without causing RBC or end-organ toxicities. Thus, RH is a clinically translatable platform technology poised to augment drug delivery in acute lung disease, stroke, and several other diseases.","author":[{"dropping-particle":"","family":"Brenner","given":"Jacob S.","non-dropping-particle":"","parse-names":false,"suffix":""},{"dropping-particle":"","family":"Pan","given":"Daniel C.","non-dropping-particle":"","parse-names":false,"suffix":""},{"dropping-particle":"","family":"Myerson","given":"Jacob W.","non-dropping-particle":"","parse-names":false,"suffix":""},{"dropping-particle":"","family":"Marcos-Contreras","given":"Oscar A.","non-dropping-particle":"","parse-names":false,"suffix":""},{"dropping-particle":"","family":"Villa","given":"Carlos H.","non-dropping-particle":"","parse-names":false,"suffix":""},{"dropping-particle":"","family":"Patel","given":"Priyal","non-dropping-particle":"","parse-names":false,"suffix":""},{"dropping-particle":"","family":"Hekierski","given":"Hugh","non-dropping-particle":"","parse-names":false,"suffix":""},{"dropping-particle":"","family":"Chatterjee","given":"Shampa","non-dropping-particle":"","parse-names":false,"suffix":""},{"dropping-particle":"","family":"Tao","given":"Jian Qin","non-dropping-particle":"","parse-names":false,"suffix":""},{"dropping-particle":"","family":"Parhiz","given":"Hamideh","non-dropping-particle":"","parse-names":false,"suffix":""},{"dropping-particle":"","family":"Bhamidipati","given":"Kartik","non-dropping-particle":"","parse-names":false,"suffix":""},{"dropping-particle":"","family":"Uhler","given":"Thomas G.","non-dropping-particle":"","parse-names":false,"suffix":""},{"dropping-particle":"","family":"Hood","given":"Elizabeth D.","non-dropping-particle":"","parse-names":false,"suffix":""},{"dropping-particle":"","family":"Kiseleva","given":"Raisa Yu","non-dropping-particle":"","parse-names":false,"suffix":""},{"dropping-particle":"","family":"Shuvaev","given":"Vladimir S.","non-dropping-particle":"","parse-names":false,"suffix":""},{"dropping-particle":"","family":"Shuvaeva","given":"Tea","non-dropping-particle":"","parse-names":false,"suffix":""},{"dropping-particle":"","family":"Khoshnejad","given":"Makan","non-dropping-particle":"","parse-names":false,"suffix":""},{"dropping-particle":"","family":"Johnston","given":"Ian","non-dropping-particle":"","parse-names":false,"suffix":""},{"dropping-particle":"V.","family":"Gregory","given":"Jason","non-dropping-particle":"","parse-names":false,"suffix":""},{"dropping-particle":"","family":"Lahann","given":"Joerg","non-dropping-particle":"","parse-names":false,"suffix":""},{"dropping-particle":"","family":"Wang","given":"Tao","non-dropping-particle":"","parse-names":false,"suffix":""},{"dropping-particle":"","family":"Cantu","given":"Edward","non-dropping-particle":"","parse-names":false,"suffix":""},{"dropping-particle":"","family":"Armstead","given":"William M.","non-dropping-particle":"","parse-names":false,"suffix":""},{"dropping-particle":"","family":"Mitragotri","given":"Samir","non-dropping-particle":"","parse-names":false,"suffix":""},{"dropping-particle":"","family":"Muzykantov","given":"Vladimir","non-dropping-particle":"","parse-names":false,"suffix":""}],"container-title":"Nature Communications","id":"ITEM-2","issue":"1","issued":{"date-parts":[["2018"]]},"publisher":"Springer US","title":"Red blood cell-hitchhiking boosts delivery of nanocarriers to chosen organs by orders of magnitude","type":"article-journal","volume":"9"},"uris":["http://www.mendeley.com/documents/?uuid=1ea9d3e2-5245-4fb2-8ac8-0aae25625a9e"]},{"id":"ITEM-3","itemData":{"DOI":"10.1073/pnas.1106634108","ISSN":"00278424","PMID":"21690347","abstract":"Efforts to extend nanoparticle residence time in vivo have inspired many strategies in particle surface modifications to bypass macrophage uptake and systemic clearance. Here we report a top-down biomimetic approach in particle functionalization by coating biodegradable polymeric nanoparticles with natural erythrocyte membranes, including both membrane lipids and associated membrane proteins for long-circulating cargo delivery. The structure, size and surface zeta potential, and protein contents of the erythrocyte membrane-coated nanoparticles were verified using transmission electron microscopy, dynamic light scattering, and gel electrophoresis, respectively. Mice injections with fluorophore-loaded nano-particles revealed superior circulation half-life by the erythrocytemimicking nanoparticles as compared to control particles coated with the state-of-the-art synthetic stealth materials. Biodistribution study revealed significant particle retention in the blood 72 h following the particle injection. The translocation of natural cellular membranes, their associated proteins, and the corresponding functionalities to the surface of synthetic particles represents a unique approach in nanoparticle functionalization.","author":[{"dropping-particle":"","family":"Hu","given":"Che Ming J.","non-dropping-particle":"","parse-names":false,"suffix":""},{"dropping-particle":"","family":"Zhang","given":"Li","non-dropping-particle":"","parse-names":false,"suffix":""},{"dropping-particle":"","family":"Aryal","given":"Santosh","non-dropping-particle":"","parse-names":false,"suffix":""},{"dropping-particle":"","family":"Cheung","given":"Connie","non-dropping-particle":"","parse-names":false,"suffix":""},{"dropping-particle":"","family":"Fang","given":"Ronnie H.","non-dropping-particle":"","parse-names":false,"suffix":""},{"dropping-particle":"","family":"Zhang","given":"Liangfang","non-dropping-particle":"","parse-names":false,"suffix":""}],"container-title":"Proceedings of the National Academy of Sciences of the United States of America","id":"ITEM-3","issue":"27","issued":{"date-parts":[["2011"]]},"page":"10980-10985","title":"Erythrocyte membrane-camouflaged polymeric nanoparticles as a biomimetic delivery platform","type":"article-journal","volume":"108"},"uris":["http://www.mendeley.com/documents/?uuid=6f1e4e68-3256-44d1-b147-643ebe6dbcee"]}],"mendeley":{"formattedCitation":"&lt;sup&gt;23,72,73&lt;/sup&gt;","plainTextFormattedCitation":"23,72,73","previouslyFormattedCitation":"&lt;sup&gt;23,72,73&lt;/sup&gt;"},"properties":{"noteIndex":0},"schema":"https://github.com/citation-style-language/schema/raw/master/csl-citation.json"}</w:instrText>
            </w:r>
            <w:r w:rsidRPr="00A22975">
              <w:rPr>
                <w:rFonts w:ascii="Arial" w:hAnsi="Arial" w:cs="Arial"/>
                <w:sz w:val="20"/>
                <w:szCs w:val="20"/>
              </w:rPr>
              <w:fldChar w:fldCharType="separate"/>
            </w:r>
            <w:r w:rsidR="009E6E61" w:rsidRPr="009E6E61">
              <w:rPr>
                <w:rFonts w:ascii="Arial" w:hAnsi="Arial" w:cs="Arial"/>
                <w:noProof/>
                <w:sz w:val="20"/>
                <w:szCs w:val="20"/>
                <w:vertAlign w:val="superscript"/>
              </w:rPr>
              <w:t>23,72,73</w:t>
            </w:r>
            <w:r w:rsidRPr="00A22975">
              <w:rPr>
                <w:rFonts w:ascii="Arial" w:hAnsi="Arial" w:cs="Arial"/>
                <w:sz w:val="20"/>
                <w:szCs w:val="20"/>
              </w:rPr>
              <w:fldChar w:fldCharType="end"/>
            </w:r>
          </w:p>
        </w:tc>
      </w:tr>
      <w:bookmarkEnd w:id="14"/>
      <w:tr w:rsidR="00A22975" w:rsidRPr="00A22975" w14:paraId="6689BEF5" w14:textId="77777777" w:rsidTr="00A22975">
        <w:tc>
          <w:tcPr>
            <w:tcW w:w="1661" w:type="dxa"/>
          </w:tcPr>
          <w:p w14:paraId="135A3E6B"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Vascular Normalization</w:t>
            </w:r>
            <w:r w:rsidRPr="00A22975">
              <w:rPr>
                <w:rStyle w:val="eop"/>
                <w:rFonts w:ascii="Arial" w:hAnsi="Arial" w:cs="Arial"/>
                <w:sz w:val="20"/>
                <w:szCs w:val="20"/>
              </w:rPr>
              <w:t> </w:t>
            </w:r>
          </w:p>
        </w:tc>
        <w:tc>
          <w:tcPr>
            <w:tcW w:w="1296" w:type="dxa"/>
          </w:tcPr>
          <w:p w14:paraId="081957B5"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1996</w:t>
            </w:r>
            <w:r w:rsidRPr="00A22975">
              <w:rPr>
                <w:rStyle w:val="eop"/>
                <w:rFonts w:ascii="Arial" w:hAnsi="Arial" w:cs="Arial"/>
                <w:sz w:val="20"/>
                <w:szCs w:val="20"/>
              </w:rPr>
              <w:t> </w:t>
            </w:r>
          </w:p>
        </w:tc>
        <w:tc>
          <w:tcPr>
            <w:tcW w:w="1680" w:type="dxa"/>
          </w:tcPr>
          <w:p w14:paraId="4F465D25"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Biological</w:t>
            </w:r>
            <w:r w:rsidRPr="00A22975">
              <w:rPr>
                <w:rStyle w:val="eop"/>
                <w:rFonts w:ascii="Arial" w:hAnsi="Arial" w:cs="Arial"/>
                <w:sz w:val="20"/>
                <w:szCs w:val="20"/>
              </w:rPr>
              <w:t> </w:t>
            </w:r>
          </w:p>
        </w:tc>
        <w:tc>
          <w:tcPr>
            <w:tcW w:w="3825" w:type="dxa"/>
          </w:tcPr>
          <w:p w14:paraId="59703C97"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normaltextrun"/>
                <w:rFonts w:ascii="Arial" w:hAnsi="Arial" w:cs="Arial"/>
                <w:sz w:val="20"/>
                <w:szCs w:val="20"/>
              </w:rPr>
              <w:t>This is an extension of typical anti-angiogenic treatments which aim to make tumor vasculature more functionally similar to normal vasculature by removing excessive endothelial cells that make up immature blood vessels, for a less constricted delivery of therapeutics to tumors before cutting off the blood supply to the tumor. </w:t>
            </w:r>
            <w:r w:rsidRPr="00A22975">
              <w:rPr>
                <w:rStyle w:val="eop"/>
                <w:rFonts w:ascii="Arial" w:eastAsia="MS Mincho" w:hAnsi="Arial" w:cs="Arial"/>
                <w:sz w:val="20"/>
                <w:szCs w:val="20"/>
              </w:rPr>
              <w:t> </w:t>
            </w:r>
          </w:p>
          <w:p w14:paraId="41D15921"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eop"/>
                <w:rFonts w:ascii="Arial" w:eastAsia="MS Mincho" w:hAnsi="Arial" w:cs="Arial"/>
                <w:sz w:val="20"/>
                <w:szCs w:val="20"/>
              </w:rPr>
              <w:t> </w:t>
            </w:r>
          </w:p>
          <w:p w14:paraId="17550C86"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Anti-angiogenic nanoparticles loaded with anti-cancer drugs are being explored as a method of simultaneously normalizing tumor vasculature and deliver cytotoxic drugs. </w:t>
            </w:r>
            <w:r w:rsidRPr="00A22975">
              <w:rPr>
                <w:rStyle w:val="eop"/>
                <w:rFonts w:ascii="Arial" w:hAnsi="Arial" w:cs="Arial"/>
                <w:sz w:val="20"/>
                <w:szCs w:val="20"/>
              </w:rPr>
              <w:t> </w:t>
            </w:r>
          </w:p>
        </w:tc>
        <w:tc>
          <w:tcPr>
            <w:tcW w:w="893" w:type="dxa"/>
          </w:tcPr>
          <w:p w14:paraId="34CE39BC" w14:textId="3D695253" w:rsidR="00A22975" w:rsidRPr="00A22975" w:rsidRDefault="00A22975">
            <w:pPr>
              <w:rPr>
                <w:rFonts w:ascii="Arial" w:hAnsi="Arial" w:cs="Arial"/>
                <w:sz w:val="20"/>
                <w:szCs w:val="20"/>
              </w:rPr>
            </w:pPr>
            <w:r w:rsidRPr="00A22975">
              <w:rPr>
                <w:rFonts w:ascii="Arial" w:hAnsi="Arial" w:cs="Arial"/>
                <w:sz w:val="20"/>
                <w:szCs w:val="20"/>
              </w:rPr>
              <w:fldChar w:fldCharType="begin" w:fldLock="1"/>
            </w:r>
            <w:r w:rsidR="00DF25E0">
              <w:rPr>
                <w:rFonts w:ascii="Arial" w:hAnsi="Arial" w:cs="Arial"/>
                <w:sz w:val="20"/>
                <w:szCs w:val="20"/>
              </w:rPr>
              <w:instrText>ADDIN CSL_CITATION {"citationItems":[{"id":"ITEM-1","itemData":{"DOI":"10.1073/pnas.93.25.14765","ISSN":"00278424","PMID":"8962129","abstract":"The hyperpermeability of tumor vessels to macromolecules, compared with normal vessels, is presumably due to vascular endothelial growth factor/vascular permeability factor (VEGF/VPF) released by neoplastic and/or host cells. In addition, VEGF/VPF is a potent angiogenic factor. Removal of this growth factor may reduce the permeability and inhibit tumor angiogenesis. To test these hypotheses, we transplanted a human glioblastoma (U87), a human colon adenocarcinoma (LS174T), and a human melanoma (P-MEL) into two locations in immunodeficient mice: the cranial window and the dorsal skinfold chamber. The mice bearing vascularized tumors were treated with a bolus (0.2 ml) of either a neutralizing antibody (A4.6.1) (492 μg/ml) against VEGF/VPF or PBS (control). We found that tumor vascular permeability to albumin in antibody-treated groups was lower than in the matched controls and that the effect of the antibody was time-dependent and influenced by the mode of injection. Tumor vascular permeability did not respond to i.p. injection of the antibody until 4 days posttreatment. However, the permeability was reduced within 6 h after i.v. injection of the same amount of antibody. In addition to the reduction in vascular permeability, the tumor vessels became smaller in diameter and less tortuous after antibody injections and eventually disappeared from the surface after four consecutive treatments in U87 tumors. These results demonstrate that tumor vascular permeability can be reduced by neutralization of endogenous VEGF/VPF and suggest that angiogenesis and the maintenance of integrity of tumor vessels require the presence of VEGF/VPF in the tissue microenvironment. The latter finding reveals a new mechanism of tumor vessel regression-i.e., blocking the interactions between VEGF/VPF and endothelial cells or inhibiting VEGF/VPF synthesis in solid tumors causes dramatic reduction in vessel diameter, which may block the passage of blood elements and thus lead to vascular regression.","author":[{"dropping-particle":"","family":"Yuan","given":"Fan","non-dropping-particle":"","parse-names":false,"suffix":""},{"dropping-particle":"","family":"Chen","given":"Yi","non-dropping-particle":"","parse-names":false,"suffix":""},{"dropping-particle":"","family":"Dellian","given":"Marc","non-dropping-particle":"","parse-names":false,"suffix":""},{"dropping-particle":"","family":"Safabakhsh","given":"Nina","non-dropping-particle":"","parse-names":false,"suffix":""},{"dropping-particle":"","family":"Ferrara","given":"Napoleone","non-dropping-particle":"","parse-names":false,"suffix":""},{"dropping-particle":"","family":"Jain","given":"Rakesh K.","non-dropping-particle":"","parse-names":false,"suffix":""}],"container-title":"Proceedings of the National Academy of Sciences of the United States of America","id":"ITEM-1","issue":"25","issued":{"date-parts":[["1996"]]},"page":"14765-14770","title":"Time-dependent vascular regression and permeability changes in established human tumor xenografts induced by an anti-vascular endothelial growth factor/vascular permeability factor antibody","type":"article-journal","volume":"93"},"uris":["http://www.mendeley.com/documents/?uuid=03a7cb1c-937a-4003-bde9-9bcde671276e"]},{"id":"ITEM-2","itemData":{"DOI":"10.1038/nm0901-987","ISSN":"1078-8956","author":[{"dropping-particle":"","family":"Jain","given":"Rakesh K.","non-dropping-particle":"","parse-names":false,"suffix":""}],"container-title":"Nature Medicine","id":"ITEM-2","issue":"9","issued":{"date-parts":[["2001","9"]]},"page":"987-989","title":"Normalizing tumor vasculature with anti-angiogenic therapy: A new paradigm for combination therapy","type":"article-journal","volume":"7"},"uris":["http://www.mendeley.com/documents/?uuid=5c5428a0-ee28-41a7-b3fe-3417da279ed6"]},{"id":"ITEM-3","itemData":{"DOI":"10.1039/c8bm01350k","ISSN":"20474849","PMID":"30648713","abstract":"Tumor vascular normalization theory opened the door for the rational use of antiangiogenic agents and chemotherapeutics. However, efforts to seize the normalization window have constrained the development of vascular normalization therapy in clinical applications owing to the lack of circulating biomarkers and the tedious dosage regimes. Applying \"Occam's Razor\" to therapeutic design inspired us to construct an effective and simple tumor vascular normalization prompting strategy. Herein, we developed tumor vessel normalization prompting nanomedicine lipid derivative conjugates (LGCs) made of anti-angiogenic agents with low molecular weight heparin (LMWH) and gemcitabine (Gem). This treatment exploits the complementary action of anti-vascular endothelial growth factor (VEGF) therapy and metronomic chemotherapy (MET) to strengthen the tumor vascular normalization effect. Furthermore, by loading cytotoxic drugs, such as paclitaxel (PTX), into the LGCs we constructed a \"nano-community\" to simultaneously restore the tumor vasculature and deliver the loaded drugs. Accordingly, improved drug delivery and therapeutic outcomes were achieved with no need to identify the precise time of the normalization window. Overall, our studies suggest that tumor vessel normalization therapy and nanomedicine design could be combined in one entity, using two waves of normalization strategies to achieve optimal chemo drug delivery into solid tumors.","author":[{"dropping-particle":"","family":"Du","given":"Shi","non-dropping-particle":"","parse-names":false,"suffix":""},{"dropping-particle":"","family":"Xiong","given":"Hui","non-dropping-particle":"","parse-names":false,"suffix":""},{"dropping-particle":"","family":"Xu","given":"Cheng","non-dropping-particle":"","parse-names":false,"suffix":""},{"dropping-particle":"","family":"Lu","given":"Yun","non-dropping-particle":"","parse-names":false,"suffix":""},{"dropping-particle":"","family":"Yao","given":"Jing","non-dropping-particle":"","parse-names":false,"suffix":""}],"container-title":"Biomaterials Science","id":"ITEM-3","issue":"3","issued":{"date-parts":[["2019"]]},"page":"1147-1160","publisher":"Royal Society of Chemistry","title":"Attempts to strengthen and simplify the tumor vascular normalization strategy using tumor vessel normalization promoting nanomedicines","type":"article-journal","volume":"7"},"uris":["http://www.mendeley.com/documents/?uuid=f2345ad1-081c-45d3-a08e-813a4bd147a2"]}],"mendeley":{"formattedCitation":"&lt;sup&gt;74,75,87&lt;/sup&gt;","plainTextFormattedCitation":"74,75,87","previouslyFormattedCitation":"&lt;sup&gt;74,75,87&lt;/sup&gt;"},"properties":{"noteIndex":0},"schema":"https://github.com/citation-style-language/schema/raw/master/csl-citation.json"}</w:instrText>
            </w:r>
            <w:r w:rsidRPr="00A22975">
              <w:rPr>
                <w:rFonts w:ascii="Arial" w:hAnsi="Arial" w:cs="Arial"/>
                <w:sz w:val="20"/>
                <w:szCs w:val="20"/>
              </w:rPr>
              <w:fldChar w:fldCharType="separate"/>
            </w:r>
            <w:r w:rsidR="009E6E61" w:rsidRPr="009E6E61">
              <w:rPr>
                <w:rFonts w:ascii="Arial" w:hAnsi="Arial" w:cs="Arial"/>
                <w:noProof/>
                <w:sz w:val="20"/>
                <w:szCs w:val="20"/>
                <w:vertAlign w:val="superscript"/>
              </w:rPr>
              <w:t>74,75,87</w:t>
            </w:r>
            <w:r w:rsidRPr="00A22975">
              <w:rPr>
                <w:rFonts w:ascii="Arial" w:hAnsi="Arial" w:cs="Arial"/>
                <w:sz w:val="20"/>
                <w:szCs w:val="20"/>
              </w:rPr>
              <w:fldChar w:fldCharType="end"/>
            </w:r>
          </w:p>
        </w:tc>
      </w:tr>
      <w:tr w:rsidR="00A22975" w:rsidRPr="00A22975" w14:paraId="4DDA2546" w14:textId="77777777" w:rsidTr="00A22975">
        <w:tc>
          <w:tcPr>
            <w:tcW w:w="1661" w:type="dxa"/>
          </w:tcPr>
          <w:p w14:paraId="4D6F98CA"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Ultrasound</w:t>
            </w:r>
            <w:r w:rsidRPr="00A22975">
              <w:rPr>
                <w:rStyle w:val="eop"/>
                <w:rFonts w:ascii="Arial" w:hAnsi="Arial" w:cs="Arial"/>
                <w:sz w:val="20"/>
                <w:szCs w:val="20"/>
              </w:rPr>
              <w:t> </w:t>
            </w:r>
          </w:p>
        </w:tc>
        <w:tc>
          <w:tcPr>
            <w:tcW w:w="1296" w:type="dxa"/>
          </w:tcPr>
          <w:p w14:paraId="4D456AC7"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1999</w:t>
            </w:r>
            <w:r w:rsidRPr="00A22975">
              <w:rPr>
                <w:rStyle w:val="eop"/>
                <w:rFonts w:ascii="Arial" w:hAnsi="Arial" w:cs="Arial"/>
                <w:sz w:val="20"/>
                <w:szCs w:val="20"/>
              </w:rPr>
              <w:t> </w:t>
            </w:r>
          </w:p>
        </w:tc>
        <w:tc>
          <w:tcPr>
            <w:tcW w:w="1680" w:type="dxa"/>
          </w:tcPr>
          <w:p w14:paraId="7B1E359F"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Physical</w:t>
            </w:r>
            <w:r w:rsidRPr="00A22975">
              <w:rPr>
                <w:rStyle w:val="eop"/>
                <w:rFonts w:ascii="Arial" w:hAnsi="Arial" w:cs="Arial"/>
                <w:sz w:val="20"/>
                <w:szCs w:val="20"/>
              </w:rPr>
              <w:t> </w:t>
            </w:r>
          </w:p>
        </w:tc>
        <w:tc>
          <w:tcPr>
            <w:tcW w:w="3825" w:type="dxa"/>
          </w:tcPr>
          <w:p w14:paraId="50FC1317"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normaltextrun"/>
                <w:rFonts w:ascii="Arial" w:hAnsi="Arial" w:cs="Arial"/>
                <w:sz w:val="20"/>
                <w:szCs w:val="20"/>
              </w:rPr>
              <w:t xml:space="preserve">The tensile pressure from ultrasonic waves directed at tumors </w:t>
            </w:r>
            <w:proofErr w:type="gramStart"/>
            <w:r w:rsidRPr="00A22975">
              <w:rPr>
                <w:rStyle w:val="normaltextrun"/>
                <w:rFonts w:ascii="Arial" w:hAnsi="Arial" w:cs="Arial"/>
                <w:sz w:val="20"/>
                <w:szCs w:val="20"/>
              </w:rPr>
              <w:t>have</w:t>
            </w:r>
            <w:proofErr w:type="gramEnd"/>
            <w:r w:rsidRPr="00A22975">
              <w:rPr>
                <w:rStyle w:val="normaltextrun"/>
                <w:rFonts w:ascii="Arial" w:hAnsi="Arial" w:cs="Arial"/>
                <w:sz w:val="20"/>
                <w:szCs w:val="20"/>
              </w:rPr>
              <w:t xml:space="preserve"> been shown to cause blood vessel perforation via cavitation, as well as </w:t>
            </w:r>
            <w:proofErr w:type="spellStart"/>
            <w:r w:rsidRPr="00A22975">
              <w:rPr>
                <w:rStyle w:val="normaltextrun"/>
                <w:rFonts w:ascii="Arial" w:hAnsi="Arial" w:cs="Arial"/>
                <w:sz w:val="20"/>
                <w:szCs w:val="20"/>
              </w:rPr>
              <w:t>microconvection</w:t>
            </w:r>
            <w:proofErr w:type="spellEnd"/>
            <w:r w:rsidRPr="00A22975">
              <w:rPr>
                <w:rStyle w:val="normaltextrun"/>
                <w:rFonts w:ascii="Arial" w:hAnsi="Arial" w:cs="Arial"/>
                <w:sz w:val="20"/>
                <w:szCs w:val="20"/>
              </w:rPr>
              <w:t xml:space="preserve"> that results in higher extravasation.</w:t>
            </w:r>
            <w:r w:rsidRPr="00A22975">
              <w:rPr>
                <w:rStyle w:val="eop"/>
                <w:rFonts w:ascii="Arial" w:eastAsia="MS Mincho" w:hAnsi="Arial" w:cs="Arial"/>
                <w:sz w:val="20"/>
                <w:szCs w:val="20"/>
              </w:rPr>
              <w:t> </w:t>
            </w:r>
          </w:p>
          <w:p w14:paraId="71753CC8"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eop"/>
                <w:rFonts w:ascii="Arial" w:eastAsia="MS Mincho" w:hAnsi="Arial" w:cs="Arial"/>
                <w:sz w:val="20"/>
                <w:szCs w:val="20"/>
              </w:rPr>
              <w:t> </w:t>
            </w:r>
          </w:p>
          <w:p w14:paraId="39A9C648"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lastRenderedPageBreak/>
              <w:t xml:space="preserve">Ultrasound has also been used to cause the release of drugs such as doxorubicin from liposomes upon </w:t>
            </w:r>
            <w:proofErr w:type="spellStart"/>
            <w:r w:rsidRPr="00A22975">
              <w:rPr>
                <w:rStyle w:val="normaltextrun"/>
                <w:rFonts w:ascii="Arial" w:hAnsi="Arial" w:cs="Arial"/>
                <w:sz w:val="20"/>
                <w:szCs w:val="20"/>
              </w:rPr>
              <w:t>insonation</w:t>
            </w:r>
            <w:proofErr w:type="spellEnd"/>
            <w:r w:rsidRPr="00A22975">
              <w:rPr>
                <w:rStyle w:val="normaltextrun"/>
                <w:rFonts w:ascii="Arial" w:hAnsi="Arial" w:cs="Arial"/>
                <w:sz w:val="20"/>
                <w:szCs w:val="20"/>
              </w:rPr>
              <w:t>, possibly through the formation of transient pores or other membrane defects</w:t>
            </w:r>
            <w:r w:rsidRPr="00A22975">
              <w:rPr>
                <w:rStyle w:val="eop"/>
                <w:rFonts w:ascii="Arial" w:hAnsi="Arial" w:cs="Arial"/>
                <w:sz w:val="20"/>
                <w:szCs w:val="20"/>
              </w:rPr>
              <w:t> </w:t>
            </w:r>
          </w:p>
        </w:tc>
        <w:tc>
          <w:tcPr>
            <w:tcW w:w="893" w:type="dxa"/>
          </w:tcPr>
          <w:p w14:paraId="41289B49" w14:textId="6188515A" w:rsidR="00A22975" w:rsidRPr="00A22975" w:rsidRDefault="00A22975">
            <w:pPr>
              <w:rPr>
                <w:rFonts w:ascii="Arial" w:hAnsi="Arial" w:cs="Arial"/>
                <w:sz w:val="20"/>
                <w:szCs w:val="20"/>
              </w:rPr>
            </w:pPr>
            <w:r w:rsidRPr="00A22975">
              <w:rPr>
                <w:rFonts w:ascii="Arial" w:hAnsi="Arial" w:cs="Arial"/>
                <w:sz w:val="20"/>
                <w:szCs w:val="20"/>
              </w:rPr>
              <w:lastRenderedPageBreak/>
              <w:fldChar w:fldCharType="begin" w:fldLock="1"/>
            </w:r>
            <w:r w:rsidR="00DF25E0">
              <w:rPr>
                <w:rFonts w:ascii="Arial" w:hAnsi="Arial" w:cs="Arial"/>
                <w:sz w:val="20"/>
                <w:szCs w:val="20"/>
              </w:rPr>
              <w:instrText>ADDIN CSL_CITATION {"citationItems":[{"id":"ITEM-1","itemData":{"DOI":"10.1117/12.350000","ISSN":"0277786X","author":[{"dropping-particle":"","family":"Esenaliev","given":"Rinat O.","non-dropping-particle":"","parse-names":false,"suffix":""}],"container-title":"Laser-Tissue Interaction X: Photochemical, Photothermal, and Photomechanical","id":"ITEM-1","issue":"June 1999","issued":{"date-parts":[["1999"]]},"page":"166","title":"Interaction of radiation with microparticles for enhancement of drug delivery in tumors","type":"article-journal","volume":"3601"},"uris":["http://www.mendeley.com/documents/?uuid=fb78d7c3-5caa-478a-9f7c-959ac15ec189"]},{"id":"ITEM-2","itemData":{"DOI":"10.1166/jnn.2011.3117","ISSN":"15334880","abstract":"Ultrasound is a convenient trigger for site-specific drug delivery in cancer therapy. Nanosized liposomes formulated from soy phosphatidyl choline, cholesterol, 1,2-distearoyl-sn-glycero-3-phosphoethanolamine-N- [carboxy(polyethylene glycol)-2000] and alpha-tocopherol were loaded with Doxorubicin (Dox) using a pH gradient. The liposomal suspension was infused through the tail vein of BDIX rats possessing bilateral intradermal DHD/K12 tumors on their hind legs. Then 20-kHz ultrasound was applied to only one of the tumors for 15 minutes. This therapy was repeated weekly for 4 weeks. The results showed that in five of six rats, the tumors regressed to non-measurable size within 4 weeks. A paired comparison of the normalized size of the insonated and non-insonated tumors in the same rat indicated that the insonated tumors were smaller (p &lt; 0.0001, n = 6 rats, 21 pairs). This observation has significant potential for non-invasive site-specific therapy of solid tumors. © 2011 American Scientific Publishers.","author":[{"dropping-particle":"","family":"Pitt","given":"William G.","non-dropping-particle":"","parse-names":false,"suffix":""},{"dropping-particle":"","family":"Husseini","given":"Ghaleb A.","non-dropping-particle":"","parse-names":false,"suffix":""},{"dropping-particle":"","family":"Roeder","given":"Beverly L.","non-dropping-particle":"","parse-names":false,"suffix":""},{"dropping-particle":"","family":"Dickinson","given":"David J.","non-dropping-particle":"","parse-names":false,"suffix":""},{"dropping-particle":"","family":"Warden","given":"David R.","non-dropping-particle":"","parse-names":false,"suffix":""},{"dropping-particle":"","family":"Hartley","given":"Jonathan M.","non-dropping-particle":"","parse-names":false,"suffix":""},{"dropping-particle":"","family":"Jones","given":"Peter W.","non-dropping-particle":"","parse-names":false,"suffix":""}],"container-title":"Journal of Nanoscience and Nanotechnology","id":"ITEM-2","issue":"3","issued":{"date-parts":[["2011"]]},"page":"1866-1870","title":"Preliminary results of combining low frequency low intensity ultrasound and liposomal drug delivery to treat tumors in rats","type":"article-journal","volume":"11"},"uris":["http://www.mendeley.com/documents/?uuid=cd7e5dbc-0612-4eb6-92ab-56b0ccc443c0"]}],"mendeley":{"formattedCitation":"&lt;sup&gt;78,79&lt;/sup&gt;","plainTextFormattedCitation":"78,79","previouslyFormattedCitation":"&lt;sup&gt;78,79&lt;/sup&gt;"},"properties":{"noteIndex":0},"schema":"https://github.com/citation-style-language/schema/raw/master/csl-citation.json"}</w:instrText>
            </w:r>
            <w:r w:rsidRPr="00A22975">
              <w:rPr>
                <w:rFonts w:ascii="Arial" w:hAnsi="Arial" w:cs="Arial"/>
                <w:sz w:val="20"/>
                <w:szCs w:val="20"/>
              </w:rPr>
              <w:fldChar w:fldCharType="separate"/>
            </w:r>
            <w:r w:rsidR="009E6E61" w:rsidRPr="009E6E61">
              <w:rPr>
                <w:rFonts w:ascii="Arial" w:hAnsi="Arial" w:cs="Arial"/>
                <w:noProof/>
                <w:sz w:val="20"/>
                <w:szCs w:val="20"/>
                <w:vertAlign w:val="superscript"/>
              </w:rPr>
              <w:t>78,79</w:t>
            </w:r>
            <w:r w:rsidRPr="00A22975">
              <w:rPr>
                <w:rFonts w:ascii="Arial" w:hAnsi="Arial" w:cs="Arial"/>
                <w:sz w:val="20"/>
                <w:szCs w:val="20"/>
              </w:rPr>
              <w:fldChar w:fldCharType="end"/>
            </w:r>
          </w:p>
        </w:tc>
      </w:tr>
      <w:tr w:rsidR="00A22975" w14:paraId="164937E2" w14:textId="77777777" w:rsidTr="00A22975">
        <w:tc>
          <w:tcPr>
            <w:tcW w:w="1661" w:type="dxa"/>
          </w:tcPr>
          <w:p w14:paraId="44D4BB88" w14:textId="77777777" w:rsidR="00A22975" w:rsidRPr="00A22975" w:rsidRDefault="00A22975">
            <w:pPr>
              <w:rPr>
                <w:rFonts w:ascii="Arial" w:hAnsi="Arial" w:cs="Arial"/>
                <w:sz w:val="20"/>
                <w:szCs w:val="20"/>
              </w:rPr>
            </w:pPr>
            <w:bookmarkStart w:id="15" w:name="_Hlk39604711"/>
            <w:r w:rsidRPr="00A22975">
              <w:rPr>
                <w:rStyle w:val="normaltextrun"/>
                <w:rFonts w:ascii="Arial" w:hAnsi="Arial" w:cs="Arial"/>
                <w:sz w:val="20"/>
                <w:szCs w:val="20"/>
              </w:rPr>
              <w:t>Leukocyte Hitchhiking</w:t>
            </w:r>
            <w:r w:rsidRPr="00A22975">
              <w:rPr>
                <w:rStyle w:val="eop"/>
                <w:rFonts w:ascii="Arial" w:hAnsi="Arial" w:cs="Arial"/>
                <w:sz w:val="20"/>
                <w:szCs w:val="20"/>
              </w:rPr>
              <w:t> </w:t>
            </w:r>
          </w:p>
        </w:tc>
        <w:tc>
          <w:tcPr>
            <w:tcW w:w="1296" w:type="dxa"/>
          </w:tcPr>
          <w:p w14:paraId="302B26BA"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2005</w:t>
            </w:r>
            <w:r w:rsidRPr="00A22975">
              <w:rPr>
                <w:rStyle w:val="eop"/>
                <w:rFonts w:ascii="Arial" w:hAnsi="Arial" w:cs="Arial"/>
                <w:sz w:val="20"/>
                <w:szCs w:val="20"/>
              </w:rPr>
              <w:t> </w:t>
            </w:r>
          </w:p>
        </w:tc>
        <w:tc>
          <w:tcPr>
            <w:tcW w:w="1680" w:type="dxa"/>
          </w:tcPr>
          <w:p w14:paraId="02796AA4"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Biological/Cell Mediated</w:t>
            </w:r>
            <w:r w:rsidRPr="00A22975">
              <w:rPr>
                <w:rStyle w:val="scxw27505186"/>
                <w:rFonts w:ascii="Arial" w:hAnsi="Arial" w:cs="Arial"/>
                <w:sz w:val="20"/>
                <w:szCs w:val="20"/>
              </w:rPr>
              <w:t> </w:t>
            </w:r>
            <w:r w:rsidRPr="00A22975">
              <w:rPr>
                <w:rFonts w:ascii="Arial" w:hAnsi="Arial" w:cs="Arial"/>
                <w:sz w:val="20"/>
                <w:szCs w:val="20"/>
              </w:rPr>
              <w:br/>
            </w:r>
            <w:r w:rsidRPr="00A22975">
              <w:rPr>
                <w:rStyle w:val="eop"/>
                <w:rFonts w:ascii="Arial" w:hAnsi="Arial" w:cs="Arial"/>
                <w:sz w:val="20"/>
                <w:szCs w:val="20"/>
              </w:rPr>
              <w:t> </w:t>
            </w:r>
          </w:p>
        </w:tc>
        <w:tc>
          <w:tcPr>
            <w:tcW w:w="3825" w:type="dxa"/>
          </w:tcPr>
          <w:p w14:paraId="06FCCA7B"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normaltextrun"/>
                <w:rFonts w:ascii="Arial" w:hAnsi="Arial" w:cs="Arial"/>
                <w:sz w:val="20"/>
                <w:szCs w:val="20"/>
              </w:rPr>
              <w:t xml:space="preserve">Antigen-specific T cells can be removed and loaded with viral vectors, that once readministered, will target </w:t>
            </w:r>
            <w:proofErr w:type="gramStart"/>
            <w:r w:rsidRPr="00A22975">
              <w:rPr>
                <w:rStyle w:val="normaltextrun"/>
                <w:rFonts w:ascii="Arial" w:hAnsi="Arial" w:cs="Arial"/>
                <w:sz w:val="20"/>
                <w:szCs w:val="20"/>
              </w:rPr>
              <w:t>tumors</w:t>
            </w:r>
            <w:proofErr w:type="gramEnd"/>
            <w:r w:rsidRPr="00A22975">
              <w:rPr>
                <w:rStyle w:val="normaltextrun"/>
                <w:rFonts w:ascii="Arial" w:hAnsi="Arial" w:cs="Arial"/>
                <w:sz w:val="20"/>
                <w:szCs w:val="20"/>
              </w:rPr>
              <w:t xml:space="preserve"> and transfer the viral vectors.</w:t>
            </w:r>
            <w:r w:rsidRPr="00A22975">
              <w:rPr>
                <w:rStyle w:val="eop"/>
                <w:rFonts w:ascii="Arial" w:eastAsia="MS Mincho" w:hAnsi="Arial" w:cs="Arial"/>
                <w:sz w:val="20"/>
                <w:szCs w:val="20"/>
              </w:rPr>
              <w:t> </w:t>
            </w:r>
          </w:p>
          <w:p w14:paraId="2AF08D4E"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eop"/>
                <w:rFonts w:ascii="Arial" w:eastAsia="MS Mincho" w:hAnsi="Arial" w:cs="Arial"/>
                <w:sz w:val="20"/>
                <w:szCs w:val="20"/>
              </w:rPr>
              <w:t> </w:t>
            </w:r>
          </w:p>
          <w:p w14:paraId="6969B1C8"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normaltextrun"/>
                <w:rFonts w:ascii="Arial" w:hAnsi="Arial" w:cs="Arial"/>
                <w:sz w:val="20"/>
                <w:szCs w:val="20"/>
              </w:rPr>
              <w:t>Intravenously administered nanoparticles can be phagocytosed by monocytes, which travel to the tumor microenvironment and differentiate </w:t>
            </w:r>
            <w:proofErr w:type="gramStart"/>
            <w:r w:rsidRPr="00A22975">
              <w:rPr>
                <w:rStyle w:val="normaltextrun"/>
                <w:rFonts w:ascii="Arial" w:hAnsi="Arial" w:cs="Arial"/>
                <w:sz w:val="20"/>
                <w:szCs w:val="20"/>
              </w:rPr>
              <w:t>in to</w:t>
            </w:r>
            <w:proofErr w:type="gramEnd"/>
            <w:r w:rsidRPr="00A22975">
              <w:rPr>
                <w:rStyle w:val="normaltextrun"/>
                <w:rFonts w:ascii="Arial" w:hAnsi="Arial" w:cs="Arial"/>
                <w:sz w:val="20"/>
                <w:szCs w:val="20"/>
              </w:rPr>
              <w:t> tumor-associated macrophages (TAMs) to migrate in to the hypoxic tumor core. Near-IR irradiation can be directed towards the tumor, which destroys the TAMs and heats up the nanoparticles to destroy surrounding tissues.</w:t>
            </w:r>
            <w:r w:rsidRPr="00A22975">
              <w:rPr>
                <w:rStyle w:val="eop"/>
                <w:rFonts w:ascii="Arial" w:eastAsia="MS Mincho" w:hAnsi="Arial" w:cs="Arial"/>
                <w:sz w:val="20"/>
                <w:szCs w:val="20"/>
              </w:rPr>
              <w:t> </w:t>
            </w:r>
          </w:p>
          <w:p w14:paraId="16D6290D" w14:textId="77777777" w:rsidR="00A22975" w:rsidRPr="00A22975" w:rsidRDefault="00A22975">
            <w:pPr>
              <w:pStyle w:val="paragraph"/>
              <w:spacing w:before="0" w:beforeAutospacing="0" w:after="0" w:afterAutospacing="0"/>
              <w:textAlignment w:val="baseline"/>
              <w:rPr>
                <w:rFonts w:ascii="Arial" w:hAnsi="Arial" w:cs="Arial"/>
                <w:sz w:val="20"/>
                <w:szCs w:val="20"/>
              </w:rPr>
            </w:pPr>
            <w:r w:rsidRPr="00A22975">
              <w:rPr>
                <w:rStyle w:val="eop"/>
                <w:rFonts w:ascii="Arial" w:eastAsia="MS Mincho" w:hAnsi="Arial" w:cs="Arial"/>
                <w:sz w:val="20"/>
                <w:szCs w:val="20"/>
              </w:rPr>
              <w:t> </w:t>
            </w:r>
          </w:p>
          <w:p w14:paraId="30F19C5C" w14:textId="77777777" w:rsidR="00A22975" w:rsidRPr="00A22975" w:rsidRDefault="00A22975">
            <w:pPr>
              <w:rPr>
                <w:rFonts w:ascii="Arial" w:hAnsi="Arial" w:cs="Arial"/>
                <w:sz w:val="20"/>
                <w:szCs w:val="20"/>
              </w:rPr>
            </w:pPr>
            <w:r w:rsidRPr="00A22975">
              <w:rPr>
                <w:rStyle w:val="normaltextrun"/>
                <w:rFonts w:ascii="Arial" w:hAnsi="Arial" w:cs="Arial"/>
                <w:sz w:val="20"/>
                <w:szCs w:val="20"/>
              </w:rPr>
              <w:t>The membranes of leukocytes can be coated on to nanoparticles in a similar manner as discussed above with erythrocytes, which could be applied to tumor targeting.</w:t>
            </w:r>
            <w:r w:rsidRPr="00A22975">
              <w:rPr>
                <w:rStyle w:val="eop"/>
                <w:rFonts w:ascii="Arial" w:hAnsi="Arial" w:cs="Arial"/>
                <w:sz w:val="20"/>
                <w:szCs w:val="20"/>
              </w:rPr>
              <w:t> </w:t>
            </w:r>
          </w:p>
        </w:tc>
        <w:tc>
          <w:tcPr>
            <w:tcW w:w="893" w:type="dxa"/>
          </w:tcPr>
          <w:p w14:paraId="40083795" w14:textId="4FB37C42" w:rsidR="00A22975" w:rsidRPr="00A22975" w:rsidRDefault="00A22975">
            <w:pPr>
              <w:rPr>
                <w:rFonts w:ascii="Arial" w:hAnsi="Arial" w:cs="Arial"/>
                <w:sz w:val="20"/>
                <w:szCs w:val="20"/>
              </w:rPr>
            </w:pPr>
            <w:r w:rsidRPr="00A22975">
              <w:rPr>
                <w:rFonts w:ascii="Arial" w:hAnsi="Arial" w:cs="Arial"/>
                <w:sz w:val="20"/>
                <w:szCs w:val="20"/>
              </w:rPr>
              <w:fldChar w:fldCharType="begin" w:fldLock="1"/>
            </w:r>
            <w:r w:rsidR="00DF25E0">
              <w:rPr>
                <w:rFonts w:ascii="Arial" w:hAnsi="Arial" w:cs="Arial"/>
                <w:sz w:val="20"/>
                <w:szCs w:val="20"/>
              </w:rPr>
              <w:instrText>ADDIN CSL_CITATION {"citationItems":[{"id":"ITEM-1","itemData":{"DOI":"10.1038/nm1297","ISSN":"10788956","abstract":"Antigen-specific T cells circulate freely and accumulate specifically at sites of antigen expression. To enhance the survival and targeting of systemically delivered viral vectors, we exploited the observation that retroviral particles adhere nonspecifically, or 'hitchhike,' to the surface of T cells. Adoptive transfer of antigen-specific T cells, loaded with viruses encoding interleukin (IL)-12 or Herpes Simplex Virus thymidine kinase (HSVtk), cured established metastatic disease where adoptive T-cell transfer alone was not effective. Productive hand off correlated with local heparanase expression either from malignant tumor cells and/or as a result of T-cell activation by antigen, providing high levels of selectivity for viral transfer to metastatic tumors in vivo. Protection, concentration and targeting of viruses by adsorption to cell carriers represent a new technique for systemic delivery of vectors, in fully immunocompetent hosts, for a variety of diseases in which delivery of genes may be therapeutically beneficial. © 2005 Nature Publishing Group.","author":[{"dropping-particle":"","family":"Cole","given":"Caroline","non-dropping-particle":"","parse-names":false,"suffix":""},{"dropping-particle":"","family":"Qiao","given":"Jian","non-dropping-particle":"","parse-names":false,"suffix":""},{"dropping-particle":"","family":"Kottke","given":"Timothy","non-dropping-particle":"","parse-names":false,"suffix":""},{"dropping-particle":"","family":"Diaz","given":"Rosa Maria","non-dropping-particle":"","parse-names":false,"suffix":""},{"dropping-particle":"","family":"Ahmed","given":"Atique","non-dropping-particle":"","parse-names":false,"suffix":""},{"dropping-particle":"","family":"Sanchez-Perez","given":"Luis","non-dropping-particle":"","parse-names":false,"suffix":""},{"dropping-particle":"","family":"Brunn","given":"Gregory","non-dropping-particle":"","parse-names":false,"suffix":""},{"dropping-particle":"","family":"Thompson","given":"Jill","non-dropping-particle":"","parse-names":false,"suffix":""},{"dropping-particle":"","family":"Chester","given":"John","non-dropping-particle":"","parse-names":false,"suffix":""},{"dropping-particle":"","family":"Vile","given":"Richard G.","non-dropping-particle":"","parse-names":false,"suffix":""}],"container-title":"Nature Medicine","id":"ITEM-1","issue":"10","issued":{"date-parts":[["2005"]]},"page":"1073-1081","title":"Tumor-targeted, systemic delivery of therapeutic viral vectors using hitchhiking on antigen-specific T cells","type":"article-journal","volume":"11"},"uris":["http://www.mendeley.com/documents/?uuid=bb51725f-221a-4cf6-ad13-3b6288baf5db"]},{"id":"ITEM-2","itemData":{"DOI":"10.1021/nl072209h","ISSN":"1530-6984","abstract":"Destruction of hypoxic regions within tumors, virtually inaccessible to cancer therapies, may well prevent malignant progression. The tumor's recruitment of monocytes into these regions may be exploited for nanoparticle-based delivery. Monocytes containing therapeutic nanoparticles could serve as \"Trojan Horses\" for nanoparticle transport into these tumor regions. Here we report the demonstration of several key steps toward this therapeutic strategy: phagocytosis of Au nanoshells, and photoinduced cell death of monocytes/macrophages as isolates and within tumor spheroids. © 2007 American Chemical Society.","author":[{"dropping-particle":"","family":"Choi","given":"Mi-Ran","non-dropping-particle":"","parse-names":false,"suffix":""},{"dropping-particle":"","family":"Stanton-Maxey","given":"Katie J.","non-dropping-particle":"","parse-names":false,"suffix":""},{"dropping-particle":"","family":"Stanley","given":"Jennifer K.","non-dropping-particle":"","parse-names":false,"suffix":""},{"dropping-particle":"","family":"Levin","given":"Carly S.","non-dropping-particle":"","parse-names":false,"suffix":""},{"dropping-particle":"","family":"Bardhan","given":"Rizia","non-dropping-particle":"","parse-names":false,"suffix":""},{"dropping-particle":"","family":"Akin","given":"Demir","non-dropping-particle":"","parse-names":false,"suffix":""},{"dropping-particle":"","family":"Badve","given":"Sunil","non-dropping-particle":"","parse-names":false,"suffix":""},{"dropping-particle":"","family":"Sturgis","given":"Jennifer","non-dropping-particle":"","parse-names":false,"suffix":""},{"dropping-particle":"","family":"Robinson","given":"J. Paul","non-dropping-particle":"","parse-names":false,"suffix":""},{"dropping-particle":"","family":"Bashir","given":"Rashid","non-dropping-particle":"","parse-names":false,"suffix":""},{"dropping-particle":"","family":"Halas","given":"Naomi J.","non-dropping-particle":"","parse-names":false,"suffix":""},{"dropping-particle":"","family":"Clare","given":"Susan E.","non-dropping-particle":"","parse-names":false,"suffix":""}],"container-title":"Nano Letters","id":"ITEM-2","issue":"12","issued":{"date-parts":[["2007","12"]]},"page":"3759-3765","title":"A Cellular Trojan Horse for Delivery of Therapeutic Nanoparticles into Tumors","type":"article-journal","volume":"7"},"uris":["http://www.mendeley.com/documents/?uuid=b0eeefa3-2f4b-41df-9361-57242c25fced"]},{"id":"ITEM-3","itemData":{"DOI":"10.1038/s41565-018-0254-4","ISSN":"17483395","PMID":"30177807","abstract":"Rheumatoid arthritis is a common chronic inflammatory disorder and a major cause of disability. Despite the progress made with recent clinical use of anti-cytokine biologics, the response rate of rheumatoid arthritis treatment remains unsatisfactory, owing largely to the complexity of cytokine interactions and the multiplicity of cytokine targets. Here, we show a nanoparticle-based broad-spectrum anti-inflammatory strategy for rheumatoid arthritis management. By fusing neutrophil membrane onto polymeric cores, we prepare neutrophil membrane-coated nanoparticles that inherit the antigenic exterior and associated membrane functions of the source cells, which makes them ideal decoys of neutrophil-targeted biological molecules. It is shown that these nanoparticles can neutralize proinflammatory cytokines, suppress synovial inflammation, target deep into the cartilage matrix, and provide strong chondroprotection against joint damage. In a mouse model of collagen-induced arthritis and a human transgenic mouse model of arthritis, the neutrophil membrane-coated nanoparticles show significant therapeutic efficacy by ameliorating joint damage and suppressing overall arthritis severity.","author":[{"dropping-particle":"","family":"Zhang","given":"Qiangzhe","non-dropping-particle":"","parse-names":false,"suffix":""},{"dropping-particle":"","family":"Dehaini","given":"Diana","non-dropping-particle":"","parse-names":false,"suffix":""},{"dropping-particle":"","family":"Zhang","given":"Yue","non-dropping-particle":"","parse-names":false,"suffix":""},{"dropping-particle":"","family":"Zhou","given":"Julia","non-dropping-particle":"","parse-names":false,"suffix":""},{"dropping-particle":"","family":"Chen","given":"Xiangyu","non-dropping-particle":"","parse-names":false,"suffix":""},{"dropping-particle":"","family":"Zhang","given":"Lifen","non-dropping-particle":"","parse-names":false,"suffix":""},{"dropping-particle":"","family":"Fang","given":"Ronnie H","non-dropping-particle":"","parse-names":false,"suffix":""},{"dropping-particle":"","family":"Gao","given":"Weiwei","non-dropping-particle":"","parse-names":false,"suffix":""},{"dropping-particle":"","family":"Zhang","given":"Liangfang","non-dropping-particle":"","parse-names":false,"suffix":""}],"container-title":"Nature Nanotechnology","id":"ITEM-3","issue":"12","issued":{"date-parts":[["2018","12","3"]]},"page":"1182-1190","title":"Neutrophil membrane-coated nanoparticles inhibit synovial inflammation and alleviate joint damage in inflammatory arthritis","type":"article-journal","volume":"13"},"uris":["http://www.mendeley.com/documents/?uuid=74874567-0913-425f-bcf2-cf1a022344da"]}],"mendeley":{"formattedCitation":"&lt;sup&gt;7,81,88&lt;/sup&gt;","plainTextFormattedCitation":"7,81,88","previouslyFormattedCitation":"&lt;sup&gt;7,81,88&lt;/sup&gt;"},"properties":{"noteIndex":0},"schema":"https://github.com/citation-style-language/schema/raw/master/csl-citation.json"}</w:instrText>
            </w:r>
            <w:r w:rsidRPr="00A22975">
              <w:rPr>
                <w:rFonts w:ascii="Arial" w:hAnsi="Arial" w:cs="Arial"/>
                <w:sz w:val="20"/>
                <w:szCs w:val="20"/>
              </w:rPr>
              <w:fldChar w:fldCharType="separate"/>
            </w:r>
            <w:r w:rsidR="009E6E61" w:rsidRPr="009E6E61">
              <w:rPr>
                <w:rFonts w:ascii="Arial" w:hAnsi="Arial" w:cs="Arial"/>
                <w:noProof/>
                <w:sz w:val="20"/>
                <w:szCs w:val="20"/>
                <w:vertAlign w:val="superscript"/>
              </w:rPr>
              <w:t>7,81,88</w:t>
            </w:r>
            <w:r w:rsidRPr="00A22975">
              <w:rPr>
                <w:rFonts w:ascii="Arial" w:hAnsi="Arial" w:cs="Arial"/>
                <w:sz w:val="20"/>
                <w:szCs w:val="20"/>
              </w:rPr>
              <w:fldChar w:fldCharType="end"/>
            </w:r>
          </w:p>
        </w:tc>
      </w:tr>
      <w:bookmarkEnd w:id="15"/>
    </w:tbl>
    <w:p w14:paraId="58CE44BB" w14:textId="003D28F7" w:rsidR="00A22975" w:rsidRDefault="00A22975">
      <w:pPr>
        <w:rPr>
          <w:rFonts w:ascii="Arial" w:hAnsi="Arial" w:cs="Arial"/>
          <w:sz w:val="24"/>
          <w:szCs w:val="24"/>
        </w:rPr>
      </w:pPr>
      <w:r>
        <w:rPr>
          <w:rFonts w:ascii="Arial" w:hAnsi="Arial" w:cs="Arial"/>
          <w:sz w:val="24"/>
          <w:szCs w:val="24"/>
        </w:rPr>
        <w:br w:type="page"/>
      </w:r>
    </w:p>
    <w:p w14:paraId="7F1F82F9" w14:textId="04AF5900"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bdr w:val="none" w:sz="0" w:space="0" w:color="auto" w:frame="1"/>
        </w:rPr>
        <w:lastRenderedPageBreak/>
        <w:t xml:space="preserve">Significant work has also been done to describe the extravasation of nanoparticles from tumor vasculature based on the biological properties of endothelial cells. Leong et al. suggested that certain nanoparticles, such as titanium and gold nanoparticles, can induce the widening of gaps between endothelial cells by disrupting interactions between </w:t>
      </w:r>
      <w:r w:rsidRPr="008D2F80">
        <w:rPr>
          <w:rStyle w:val="normaltextrun"/>
          <w:rFonts w:ascii="Arial" w:hAnsi="Arial" w:cs="Arial"/>
          <w:color w:val="000000"/>
          <w:sz w:val="24"/>
          <w:szCs w:val="24"/>
          <w:bdr w:val="none" w:sz="0" w:space="0" w:color="auto" w:frame="1"/>
        </w:rPr>
        <w:t>pairs of vascular endothelial cadherin,</w:t>
      </w:r>
      <w:r w:rsidR="00DF25E0" w:rsidRPr="008D2F80">
        <w:rPr>
          <w:rStyle w:val="normaltextrun"/>
          <w:rFonts w:ascii="Arial" w:hAnsi="Arial" w:cs="Arial"/>
          <w:color w:val="000000"/>
          <w:sz w:val="24"/>
          <w:szCs w:val="24"/>
          <w:bdr w:val="none" w:sz="0" w:space="0" w:color="auto" w:frame="1"/>
        </w:rPr>
        <w:t xml:space="preserve"> </w:t>
      </w:r>
      <w:r w:rsidR="00DF25E0" w:rsidRPr="008C387C">
        <w:rPr>
          <w:rStyle w:val="normaltextrun"/>
          <w:rFonts w:ascii="Arial" w:hAnsi="Arial" w:cs="Arial"/>
          <w:color w:val="000000"/>
          <w:sz w:val="24"/>
          <w:szCs w:val="24"/>
          <w:bdr w:val="none" w:sz="0" w:space="0" w:color="auto" w:frame="1"/>
        </w:rPr>
        <w:t>in a size and surface roughness dependent manner,</w:t>
      </w:r>
      <w:r w:rsidRPr="008D2F80">
        <w:rPr>
          <w:rStyle w:val="normaltextrun"/>
          <w:rFonts w:ascii="Arial" w:hAnsi="Arial" w:cs="Arial"/>
          <w:color w:val="000000"/>
          <w:sz w:val="24"/>
          <w:szCs w:val="24"/>
          <w:bdr w:val="none" w:sz="0" w:space="0" w:color="auto" w:frame="1"/>
        </w:rPr>
        <w:t xml:space="preserve"> allowing for nanoparticles to leak out of the vasculature, in a process they named</w:t>
      </w:r>
      <w:r w:rsidRPr="00C06183">
        <w:rPr>
          <w:rStyle w:val="normaltextrun"/>
          <w:rFonts w:ascii="Arial" w:hAnsi="Arial" w:cs="Arial"/>
          <w:color w:val="000000"/>
          <w:sz w:val="24"/>
          <w:szCs w:val="24"/>
          <w:bdr w:val="none" w:sz="0" w:space="0" w:color="auto" w:frame="1"/>
        </w:rPr>
        <w:t xml:space="preserve"> NanoEL</w:t>
      </w:r>
      <w:r w:rsidR="00DF25E0">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9D7D40">
        <w:rPr>
          <w:rFonts w:ascii="Arial" w:hAnsi="Arial" w:cs="Arial"/>
          <w:sz w:val="24"/>
          <w:szCs w:val="24"/>
        </w:rPr>
        <w:instrText>ADDIN CSL_CITATION {"citationItems":[{"id":"ITEM-1","itemData":{"DOI":"10.1038/ncomms2655","ISSN":"20411723","abstract":"The use of nanomaterials has raised safety concerns, as their small size facilitates accumulation in and interaction with biological tissues. Here we show that exposure of endothelial cells to TiO2 nanomaterials causes endothelial cell leakiness. This effect is caused by the physical interaction between TiO2 nanomaterials and endothelial cells' adherens junction protein VE-cadherin. As a result, VE-cadherin is phosphorylated at intracellular residues (Y658 and Y731), and the interaction between VE-cadherin and p120 as well as β-catenin is lost. The resulting signalling cascade promotes actin remodelling, as well as internalization and degradation of VE-cadherin. We show that injections of TiO2 nanomaterials cause leakiness of subcutaneous blood vessels in mice and, in a melanoma-lung metastasis mouse model, increase the number of pulmonary metastases. Our findings uncover a novel non-receptor-mediated mechanism by which nanomaterials trigger intracellular signalling cascades via specific interaction with VE-cadherin, resulting in nanomaterial-induced endothelial cell leakiness. © 2013 Macmillan Publishers Limited. All rights reserved.","author":[{"dropping-particle":"","family":"Setyawati","given":"M. I.","non-dropping-particle":"","parse-names":false,"suffix":""},{"dropping-particle":"","family":"Tay","given":"C. Y.","non-dropping-particle":"","parse-names":false,"suffix":""},{"dropping-particle":"","family":"Chia","given":"S. L.","non-dropping-particle":"","parse-names":false,"suffix":""},{"dropping-particle":"","family":"Goh","given":"S. L.","non-dropping-particle":"","parse-names":false,"suffix":""},{"dropping-particle":"","family":"Fang","given":"W.","non-dropping-particle":"","parse-names":false,"suffix":""},{"dropping-particle":"","family":"Neo","given":"M. J.","non-dropping-particle":"","parse-names":false,"suffix":""},{"dropping-particle":"","family":"Chong","given":"H. C.","non-dropping-particle":"","parse-names":false,"suffix":""},{"dropping-particle":"","family":"Tan","given":"S. M.","non-dropping-particle":"","parse-names":false,"suffix":""},{"dropping-particle":"","family":"Loo","given":"S. C.J.","non-dropping-particle":"","parse-names":false,"suffix":""},{"dropping-particle":"","family":"Ng","given":"K. W.","non-dropping-particle":"","parse-names":false,"suffix":""},{"dropping-particle":"","family":"Xie","given":"J. P.","non-dropping-particle":"","parse-names":false,"suffix":""},{"dropping-particle":"","family":"Ong","given":"C. N.","non-dropping-particle":"","parse-names":false,"suffix":""},{"dropping-particle":"","family":"Tan","given":"N. S.","non-dropping-particle":"","parse-names":false,"suffix":""},{"dropping-particle":"","family":"Leong","given":"D. T.","non-dropping-particle":"","parse-names":false,"suffix":""}],"container-title":"Nature Communications","id":"ITEM-1","issued":{"date-parts":[["2013"]]},"page":"1-12","title":"Titanium dioxide nanomaterials cause endothelial cell leakiness by disrupting the homophilic interaction of VE-cadherin","type":"article-journal","volume":"4"},"uris":["http://www.mendeley.com/documents/?uuid=c3c60688-fdce-4e38-bf79-916b326b7c25"]},{"id":"ITEM-2","itemData":{"DOI":"10.1021/acsnano.7b01744","ISSN":"1936-0851","abstract":"© 2017 American Chemical Society. The endothelium presents a formidable barrier for cancer nanomedicine, as the intravenously introduced nanomedicine needs to leave the blood vessel at the tumor site. Endothelial permeability and retention effect (EPR) is not dependable since it is derived from tumors. Certain nanoparticles with specific characteristics are able to induce micrometer sized gaps between endothelial cells. This effect is called \"nanoparticle induced endothelial leakiness\" (NanoEL). NanoEL therefore allows the nanotechnology to control access to the tumor even in the absence of any EPR effect. Morever, NanoEL can be applicable to noncancer issues, thereby expanding its usefulness in other subfields of nanomedicine. In this paper, we have shown that Gold (Au) nanoparticles within the range of 10-30 nm are good NanoEL inducing particles. As not all endothelial cells have the same permeability, we found that human mammary endothelial cells and human skin endothelial cells are sensitive to Au induced NanoEL, while human umbilical vein endothelial cells are insensitive, reflective of their innate nature of endothelial permeability. The size window and endothelial cell type sensitivity then helps the nanotechnologists to design future nanoparticles that either exploit NanoEL as a nanotechnology driven strategy to access immature tumors, which do not induce the EPR effect, or avoid NanoEL as a nanotoxic side effect.","author":[{"dropping-particle":"","family":"Setyawati","given":"Magdiel I.","non-dropping-particle":"","parse-names":false,"suffix":""},{"dropping-particle":"","family":"Tay","given":"Chor Yong","non-dropping-particle":"","parse-names":false,"suffix":""},{"dropping-particle":"","family":"Bay","given":"Boon Huat","non-dropping-particle":"","parse-names":false,"suffix":""},{"dropping-particle":"","family":"Leong","given":"David T.","non-dropping-particle":"","parse-names":false,"suffix":""}],"container-title":"ACS Nano","id":"ITEM-2","issue":"5","issued":{"date-parts":[["2017","5","23"]]},"page":"5020-5030","publisher":"American Chemical Society","title":"Gold Nanoparticles Induced Endothelial Leakiness Depends on Particle Size and Endothelial Cell Origin","type":"article-journal","volume":"11"},"uris":["http://www.mendeley.com/documents/?uuid=7a839acd-234d-3613-8a1d-2bcefddd6476"]},{"id":"ITEM-3","itemData":{"DOI":"10.1038/s41467-023-40015-4","ISSN":"20411723","PMID":"37460554","abstract":"Delivering cancer therapeutics to tumors necessitates their escape from the surrounding blood vessels. Tumor vasculatures are not always sufficiently leaky. Herein, we engineer therapeutically competent leakage of therapeutics from tumor vasculature with gold nanoparticles capable of inducing endothelial leakiness (NanoEL). These NanoEL gold nanoparticles activated the loss of endothelial adherens junctions without any perceivable toxicity to the endothelial cells. Microscopically, through real time live animal intravital imaging, we show that NanoEL particles induced leakiness in the tumor vessels walls and improved infiltration into the interstitial space within the tumor. In both primary tumor and secondary micrometastases animal models, we show that pretreatment of tumor vasculature with NanoEL particles before therapeutics administration could completely regress the cancer. Engineering tumoral vasculature leakiness represents a new paradigm in our approach towards increasing tumoral accessibility of anti-cancer therapeutics instead of further increasing their anti-cancer lethality.","author":[{"dropping-particle":"","family":"Setyawati","given":"Magdiel Inggrid","non-dropping-particle":"","parse-names":false,"suffix":""},{"dropping-particle":"","family":"Wang","given":"Qin","non-dropping-particle":"","parse-names":false,"suffix":""},{"dropping-particle":"","family":"Ni","given":"Nengyi","non-dropping-particle":"","parse-names":false,"suffix":""},{"dropping-particle":"","family":"Tee","given":"Jie Kai","non-dropping-particle":"","parse-names":false,"suffix":""},{"dropping-particle":"","family":"Ariga","given":"Katsuhiko","non-dropping-particle":"","parse-names":false,"suffix":""},{"dropping-particle":"","family":"Ke","given":"Pu Chun","non-dropping-particle":"","parse-names":false,"suffix":""},{"dropping-particle":"","family":"Ho","given":"Han Kiat","non-dropping-particle":"","parse-names":false,"suffix":""},{"dropping-particle":"","family":"Wang","given":"Yucai","non-dropping-particle":"","parse-names":false,"suffix":""},{"dropping-particle":"","family":"Leong","given":"David Tai","non-dropping-particle":"","parse-names":false,"suffix":""}],"container-title":"Nature Communications","id":"ITEM-3","issue":"1","issued":{"date-parts":[["2023"]]},"publisher":"Springer US","title":"Engineering tumoral vascular leakiness with gold nanoparticles","type":"article-journal","volume":"14"},"uris":["http://www.mendeley.com/documents/?uuid=71ce6992-1897-449f-bc94-34e8fbe48df4"]}],"mendeley":{"formattedCitation":"&lt;sup&gt;89–91&lt;/sup&gt;","plainTextFormattedCitation":"89–91","previouslyFormattedCitation":"&lt;sup&gt;89–91&lt;/sup&gt;"},"properties":{"noteIndex":0},"schema":"https://github.com/citation-style-language/schema/raw/master/csl-citation.json"}</w:instrText>
      </w:r>
      <w:r w:rsidRPr="00C06183">
        <w:rPr>
          <w:rFonts w:ascii="Arial" w:hAnsi="Arial" w:cs="Arial"/>
          <w:sz w:val="24"/>
          <w:szCs w:val="24"/>
        </w:rPr>
        <w:fldChar w:fldCharType="separate"/>
      </w:r>
      <w:r w:rsidR="00DF25E0" w:rsidRPr="00DF25E0">
        <w:rPr>
          <w:rFonts w:ascii="Arial" w:hAnsi="Arial" w:cs="Arial"/>
          <w:noProof/>
          <w:sz w:val="24"/>
          <w:szCs w:val="24"/>
          <w:vertAlign w:val="superscript"/>
        </w:rPr>
        <w:t>89–91</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 xml:space="preserve">A different paracellular pathway mechanism called vascular bursts was proposed by Kataoka et al., who suggested that dynamic vents open and close at endothelial cell junctions, causing fluid to flow outwards into the tumor </w:t>
      </w:r>
      <w:proofErr w:type="spellStart"/>
      <w:r w:rsidRPr="00C06183">
        <w:rPr>
          <w:rStyle w:val="normaltextrun"/>
          <w:rFonts w:ascii="Arial" w:hAnsi="Arial" w:cs="Arial"/>
          <w:color w:val="000000"/>
          <w:sz w:val="24"/>
          <w:szCs w:val="24"/>
          <w:bdr w:val="none" w:sz="0" w:space="0" w:color="auto" w:frame="1"/>
        </w:rPr>
        <w:t>interstitium</w:t>
      </w:r>
      <w:proofErr w:type="spellEnd"/>
      <w:r w:rsidRPr="00C06183">
        <w:rPr>
          <w:rStyle w:val="normaltextrun"/>
          <w:rFonts w:ascii="Arial" w:hAnsi="Arial" w:cs="Arial"/>
          <w:color w:val="000000"/>
          <w:sz w:val="24"/>
          <w:szCs w:val="24"/>
          <w:bdr w:val="none" w:sz="0" w:space="0" w:color="auto" w:frame="1"/>
        </w:rPr>
        <w:t xml:space="preserve"> and </w:t>
      </w:r>
      <w:r w:rsidRPr="008D2F80">
        <w:rPr>
          <w:rStyle w:val="normaltextrun"/>
          <w:rFonts w:ascii="Arial" w:hAnsi="Arial" w:cs="Arial"/>
          <w:color w:val="000000"/>
          <w:sz w:val="24"/>
          <w:szCs w:val="24"/>
          <w:bdr w:val="none" w:sz="0" w:space="0" w:color="auto" w:frame="1"/>
        </w:rPr>
        <w:t>carrying nanoparticles with it</w:t>
      </w:r>
      <w:r w:rsidR="00DF25E0" w:rsidRPr="008D2F80">
        <w:rPr>
          <w:rStyle w:val="normaltextrun"/>
          <w:rFonts w:ascii="Arial" w:hAnsi="Arial" w:cs="Arial"/>
          <w:color w:val="000000"/>
          <w:sz w:val="24"/>
          <w:szCs w:val="24"/>
          <w:bdr w:val="none" w:sz="0" w:space="0" w:color="auto" w:frame="1"/>
        </w:rPr>
        <w:t>.</w:t>
      </w:r>
      <w:r w:rsidRPr="008D2F80">
        <w:rPr>
          <w:rFonts w:ascii="Arial" w:hAnsi="Arial" w:cs="Arial"/>
          <w:sz w:val="24"/>
          <w:szCs w:val="24"/>
        </w:rPr>
        <w:fldChar w:fldCharType="begin" w:fldLock="1"/>
      </w:r>
      <w:r w:rsidR="009D7D40" w:rsidRPr="008D2F80">
        <w:rPr>
          <w:rFonts w:ascii="Arial" w:hAnsi="Arial" w:cs="Arial"/>
          <w:sz w:val="24"/>
          <w:szCs w:val="24"/>
        </w:rPr>
        <w:instrText>ADDIN CSL_CITATION {"citationItems":[{"id":"ITEM-1","itemData":{"DOI":"10.1038/nnano.2015.342","ISSN":"17483395","PMID":"26878143","abstract":"Enhanced permeability in tumours is thought to result from malformed vascular walls with leaky cell-to-cell junctions. This assertion is backed by studies using electron microscopy and polymer casts that show incomplete pericyte coverage of tumour vessels and the presence of intercellular gaps. However, this gives the impression that tumour permeability is static amid a chaotic tumour environment. Using intravital confocal laser scanning microscopy we show that the permeability of tumour blood vessels includes a dynamic phenomenon characterized by vascular bursts followed by brief vigorous outward flow of fluid (named 'eruptions') into the tumour interstitial space. We propose that 'dynamic vents' form transient openings and closings at these leaky blood vessels. These stochastic eruptions may explain the enhanced extravasation of nanoparticles from the tumour blood vessels, and offer insights into the underlying distribution patterns of an administered drug.","author":[{"dropping-particle":"","family":"Matsumoto","given":"Yu","non-dropping-particle":"","parse-names":false,"suffix":""},{"dropping-particle":"","family":"Nichols","given":"Joseph W.","non-dropping-particle":"","parse-names":false,"suffix":""},{"dropping-particle":"","family":"Toh","given":"Kazuko","non-dropping-particle":"","parse-names":false,"suffix":""},{"dropping-particle":"","family":"Nomoto","given":"Takahiro","non-dropping-particle":"","parse-names":false,"suffix":""},{"dropping-particle":"","family":"Cabral","given":"Horacio","non-dropping-particle":"","parse-names":false,"suffix":""},{"dropping-particle":"","family":"Miura","given":"Yutaka","non-dropping-particle":"","parse-names":false,"suffix":""},{"dropping-particle":"","family":"Christie","given":"R. James","non-dropping-particle":"","parse-names":false,"suffix":""},{"dropping-particle":"","family":"Yamada","given":"Naoki","non-dropping-particle":"","parse-names":false,"suffix":""},{"dropping-particle":"","family":"Ogura","given":"Tadayoshi","non-dropping-particle":"","parse-names":false,"suffix":""},{"dropping-particle":"","family":"Kano","given":"Mitsunobu R.","non-dropping-particle":"","parse-names":false,"suffix":""},{"dropping-particle":"","family":"Matsumura","given":"Yasuhiro","non-dropping-particle":"","parse-names":false,"suffix":""},{"dropping-particle":"","family":"Nishiyama","given":"Nobuhiro","non-dropping-particle":"","parse-names":false,"suffix":""},{"dropping-particle":"","family":"Yamasoba","given":"Tatsuya","non-dropping-particle":"","parse-names":false,"suffix":""},{"dropping-particle":"","family":"Bae","given":"You Han","non-dropping-particle":"","parse-names":false,"suffix":""},{"dropping-particle":"","family":"Kataoka","given":"Kazunori","non-dropping-particle":"","parse-names":false,"suffix":""}],"container-title":"Nature Nanotechnology","id":"ITEM-1","issue":"6","issued":{"date-parts":[["2016"]]},"page":"533-538","publisher":"Nature Publishing Group","title":"Vascular bursts enhance permeability of tumour blood vessels and improve nanoparticle delivery","type":"article-journal","volume":"11"},"uris":["http://www.mendeley.com/documents/?uuid=f10ae973-adeb-44b3-a7e4-87e3a65c8da5"]}],"mendeley":{"formattedCitation":"&lt;sup&gt;92&lt;/sup&gt;","plainTextFormattedCitation":"92","previouslyFormattedCitation":"&lt;sup&gt;92&lt;/sup&gt;"},"properties":{"noteIndex":0},"schema":"https://github.com/citation-style-language/schema/raw/master/csl-citation.json"}</w:instrText>
      </w:r>
      <w:r w:rsidRPr="008D2F80">
        <w:rPr>
          <w:rFonts w:ascii="Arial" w:hAnsi="Arial" w:cs="Arial"/>
          <w:sz w:val="24"/>
          <w:szCs w:val="24"/>
        </w:rPr>
        <w:fldChar w:fldCharType="separate"/>
      </w:r>
      <w:r w:rsidR="00DF25E0" w:rsidRPr="008D2F80">
        <w:rPr>
          <w:rFonts w:ascii="Arial" w:hAnsi="Arial" w:cs="Arial"/>
          <w:noProof/>
          <w:sz w:val="24"/>
          <w:szCs w:val="24"/>
          <w:vertAlign w:val="superscript"/>
        </w:rPr>
        <w:t>92</w:t>
      </w:r>
      <w:r w:rsidRPr="008D2F80">
        <w:rPr>
          <w:rFonts w:ascii="Arial" w:hAnsi="Arial" w:cs="Arial"/>
          <w:sz w:val="24"/>
          <w:szCs w:val="24"/>
        </w:rPr>
        <w:fldChar w:fldCharType="end"/>
      </w:r>
      <w:r w:rsidR="009D7D40" w:rsidRPr="008D2F80">
        <w:rPr>
          <w:rFonts w:ascii="Arial" w:hAnsi="Arial" w:cs="Arial"/>
          <w:sz w:val="24"/>
          <w:szCs w:val="24"/>
        </w:rPr>
        <w:t xml:space="preserve"> </w:t>
      </w:r>
      <w:r w:rsidR="009D7D40" w:rsidRPr="008C387C">
        <w:rPr>
          <w:rFonts w:ascii="Arial" w:hAnsi="Arial" w:cs="Arial"/>
          <w:sz w:val="24"/>
          <w:szCs w:val="24"/>
        </w:rPr>
        <w:t>It has also been suggested that these types of vents can be induced by picosecond pulsed laser irradiation for improved nanoparticle transport across endothelial barriers.</w:t>
      </w:r>
      <w:r w:rsidR="009D7D40" w:rsidRPr="008C387C">
        <w:rPr>
          <w:rFonts w:ascii="Arial" w:hAnsi="Arial" w:cs="Arial"/>
          <w:sz w:val="24"/>
          <w:szCs w:val="24"/>
        </w:rPr>
        <w:fldChar w:fldCharType="begin" w:fldLock="1"/>
      </w:r>
      <w:r w:rsidR="008C387C">
        <w:rPr>
          <w:rFonts w:ascii="Arial" w:hAnsi="Arial" w:cs="Arial"/>
          <w:sz w:val="24"/>
          <w:szCs w:val="24"/>
        </w:rPr>
        <w:instrText>ADDIN CSL_CITATION {"citationItems":[{"id":"ITEM-1","itemData":{"DOI":"10.1039/D2NR05062E","ISSN":"2040-3364","abstract":"Picosecond laser excitation of vascular-targeted gold nanoparticles activates multiple mechanobiological pathways in the endothelial cells and induces reversible blood–brain barrier opening.","author":[{"dropping-particle":"","family":"Li","given":"Xiaoqing","non-dropping-particle":"","parse-names":false,"suffix":""},{"dropping-particle":"","family":"Cai","given":"Qi","non-dropping-particle":"","parse-names":false,"suffix":""},{"dropping-particle":"","family":"Wilson","given":"Blake A","non-dropping-particle":"","parse-names":false,"suffix":""},{"dropping-particle":"","family":"Fan","given":"Hanwen","non-dropping-particle":"","parse-names":false,"suffix":""},{"dropping-particle":"","family":"Dave","given":"Harsh","non-dropping-particle":"","parse-names":false,"suffix":""},{"dropping-particle":"","family":"Giannotta","given":"Monica","non-dropping-particle":"","parse-names":false,"suffix":""},{"dropping-particle":"","family":"Bachoo","given":"Robert","non-dropping-particle":"","parse-names":false,"suffix":""},{"dropping-particle":"","family":"Qin","given":"Zhenpeng","non-dropping-particle":"","parse-names":false,"suffix":""}],"container-title":"Nanoscale","id":"ITEM-1","issued":{"date-parts":[["2023"]]},"publisher":"Royal Society of Chemistry","title":"Mechanobiological modulation of blood–brain barrier permeability by laser stimulation of endothelial-targeted nanoparticles","type":"article-journal"},"uris":["http://www.mendeley.com/documents/?uuid=9015fa8c-1ee8-4629-970d-91b10aab6201"]}],"mendeley":{"formattedCitation":"&lt;sup&gt;93&lt;/sup&gt;","plainTextFormattedCitation":"93","previouslyFormattedCitation":"&lt;sup&gt;93&lt;/sup&gt;"},"properties":{"noteIndex":0},"schema":"https://github.com/citation-style-language/schema/raw/master/csl-citation.json"}</w:instrText>
      </w:r>
      <w:r w:rsidR="009D7D40" w:rsidRPr="008C387C">
        <w:rPr>
          <w:rFonts w:ascii="Arial" w:hAnsi="Arial" w:cs="Arial"/>
          <w:sz w:val="24"/>
          <w:szCs w:val="24"/>
        </w:rPr>
        <w:fldChar w:fldCharType="separate"/>
      </w:r>
      <w:r w:rsidR="009D7D40" w:rsidRPr="008C387C">
        <w:rPr>
          <w:rFonts w:ascii="Arial" w:hAnsi="Arial" w:cs="Arial"/>
          <w:noProof/>
          <w:sz w:val="24"/>
          <w:szCs w:val="24"/>
          <w:vertAlign w:val="superscript"/>
        </w:rPr>
        <w:t>93</w:t>
      </w:r>
      <w:r w:rsidR="009D7D40" w:rsidRPr="008C387C">
        <w:rPr>
          <w:rFonts w:ascii="Arial" w:hAnsi="Arial" w:cs="Arial"/>
          <w:sz w:val="24"/>
          <w:szCs w:val="24"/>
        </w:rPr>
        <w:fldChar w:fldCharType="end"/>
      </w:r>
      <w:r w:rsidR="009D7D40">
        <w:rPr>
          <w:rFonts w:ascii="Arial" w:hAnsi="Arial" w:cs="Arial"/>
          <w:sz w:val="24"/>
          <w:szCs w:val="24"/>
        </w:rPr>
        <w:t xml:space="preserve"> </w:t>
      </w:r>
    </w:p>
    <w:p w14:paraId="76F079B9" w14:textId="6713552C" w:rsidR="00C06183" w:rsidRPr="00C06183" w:rsidRDefault="00C06183" w:rsidP="00C06183">
      <w:pPr>
        <w:spacing w:line="480" w:lineRule="auto"/>
        <w:ind w:firstLine="720"/>
        <w:jc w:val="both"/>
        <w:rPr>
          <w:rStyle w:val="normaltextrun"/>
          <w:rFonts w:ascii="Arial" w:hAnsi="Arial" w:cs="Arial"/>
          <w:color w:val="000000"/>
          <w:sz w:val="24"/>
          <w:szCs w:val="24"/>
          <w:shd w:val="clear" w:color="auto" w:fill="FFFFFF"/>
        </w:rPr>
      </w:pPr>
      <w:r w:rsidRPr="00C06183">
        <w:rPr>
          <w:rStyle w:val="normaltextrun"/>
          <w:rFonts w:ascii="Arial" w:hAnsi="Arial" w:cs="Arial"/>
          <w:color w:val="000000"/>
          <w:sz w:val="24"/>
          <w:szCs w:val="24"/>
          <w:bdr w:val="none" w:sz="0" w:space="0" w:color="auto" w:frame="1"/>
        </w:rPr>
        <w:t>In a recent paper by Chan et al., the contribution of paracellular nanoparticle transport across tumor blood vessels was quantified using a so-called Zombie model, a fixed tumor-bearing mouse model with blood artificially circulating with a peristaltic pump. Given that fixed cells cannot perform active transport, the only nanoparticles that could accumulate in a solid tumor were those that passively leaked from intercellular gaps. The passive paracellular transport pathway was found to only contribute to 3%-25% of the total nanoparticle tumor accumulation seen in living control tumor-bearing mice</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A22975">
        <w:rPr>
          <w:rFonts w:ascii="Arial" w:hAnsi="Arial" w:cs="Arial"/>
          <w:sz w:val="24"/>
          <w:szCs w:val="24"/>
        </w:rPr>
        <w:instrText>ADDIN CSL_CITATION {"citationItems":[{"id":"ITEM-1","itemData":{"DOI":"10.1038/s41563-019-0566-2","ISSN":"1476-1122","author":[{"dropping-particle":"","family":"Sindhwani","given":"Shrey","non-dropping-particle":"","parse-names":false,"suffix":""},{"dropping-particle":"","family":"Syed","given":"Abdullah Muhammad","non-dropping-particle":"","parse-names":false,"suffix":""},{"dropping-particle":"","family":"Ngai","given":"Jessica","non-dropping-particle":"","parse-names":false,"suffix":""},{"dropping-particle":"","family":"Kingston","given":"Benjamin R","non-dropping-particle":"","parse-names":false,"suffix":""},{"dropping-particle":"","family":"Maiorino","given":"Laura","non-dropping-particle":"","parse-names":false,"suffix":""},{"dropping-particle":"","family":"Rothschild","given":"Jeremy","non-dropping-particle":"","parse-names":false,"suffix":""},{"dropping-particle":"","family":"MacMillan","given":"Presley","non-dropping-particle":"","parse-names":false,"suffix":""},{"dropping-particle":"","family":"Zhang","given":"Yuwei","non-dropping-particle":"","parse-names":false,"suffix":""},{"dropping-particle":"","family":"Rajesh","given":"Netra Unni","non-dropping-particle":"","parse-names":false,"suffix":""},{"dropping-particle":"","family":"Hoang","given":"Tran","non-dropping-particle":"","parse-names":false,"suffix":""},{"dropping-particle":"","family":"Wu","given":"Jamie L Y","non-dropping-particle":"","parse-names":false,"suffix":""},{"dropping-particle":"","family":"Wilhelm","given":"Stefan","non-dropping-particle":"","parse-names":false,"suffix":""},{"dropping-particle":"","family":"Zilman","given":"Anton","non-dropping-particle":"","parse-names":false,"suffix":""},{"dropping-particle":"","family":"Gadde","given":"Suresh","non-dropping-particle":"","parse-names":false,"suffix":""},{"dropping-particle":"","family":"Sulaiman","given":"Andrew","non-dropping-particle":"","parse-names":false,"suffix":""},{"dropping-particle":"","family":"Ouyang","given":"Ben","non-dropping-particle":"","parse-names":false,"suffix":""},{"dropping-particle":"","family":"Lin","given":"Zachary","non-dropping-particle":"","parse-names":false,"suffix":""},{"dropping-particle":"","family":"Wang","given":"Lisheng","non-dropping-particle":"","parse-names":false,"suffix":""},{"dropping-particle":"","family":"Egeblad","given":"Mikala","non-dropping-particle":"","parse-names":false,"suffix":""},{"dropping-particle":"","family":"Chan","given":"Warren C W","non-dropping-particle":"","parse-names":false,"suffix":""}],"container-title":"Nature Materials","id":"ITEM-1","issue":"5","issued":{"date-parts":[["2020","5","13"]]},"page":"566-575","publisher":"Springer US","title":"The entry of nanoparticles into solid tumours","type":"article-journal","volume":"19"},"uris":["http://www.mendeley.com/documents/?uuid=6caf5b47-28aa-463f-96e8-0fddd5b09d36"]}],"mendeley":{"formattedCitation":"&lt;sup&gt;30&lt;/sup&gt;","plainTextFormattedCitation":"30","previouslyFormattedCitation":"&lt;sup&gt;30&lt;/sup&gt;"},"properties":{"noteIndex":0},"schema":"https://github.com/citation-style-language/schema/raw/master/csl-citation.json"}</w:instrText>
      </w:r>
      <w:r w:rsidRPr="00C06183">
        <w:rPr>
          <w:rFonts w:ascii="Arial" w:hAnsi="Arial" w:cs="Arial"/>
          <w:sz w:val="24"/>
          <w:szCs w:val="24"/>
        </w:rPr>
        <w:fldChar w:fldCharType="separate"/>
      </w:r>
      <w:r w:rsidR="00A22975" w:rsidRPr="00A22975">
        <w:rPr>
          <w:rFonts w:ascii="Arial" w:hAnsi="Arial" w:cs="Arial"/>
          <w:noProof/>
          <w:sz w:val="24"/>
          <w:szCs w:val="24"/>
          <w:vertAlign w:val="superscript"/>
        </w:rPr>
        <w:t>30</w:t>
      </w:r>
      <w:r w:rsidRPr="00C06183">
        <w:rPr>
          <w:rFonts w:ascii="Arial" w:hAnsi="Arial" w:cs="Arial"/>
          <w:sz w:val="24"/>
          <w:szCs w:val="24"/>
        </w:rPr>
        <w:fldChar w:fldCharType="end"/>
      </w:r>
      <w:r w:rsidRPr="00C06183">
        <w:rPr>
          <w:rStyle w:val="normaltextrun"/>
          <w:rFonts w:ascii="Arial" w:hAnsi="Arial" w:cs="Arial"/>
          <w:color w:val="000000"/>
          <w:sz w:val="24"/>
          <w:szCs w:val="24"/>
          <w:shd w:val="clear" w:color="auto" w:fill="FFFFFF"/>
        </w:rPr>
        <w:t xml:space="preserve"> Combined with transmission electron micrographs of nanoparticles inside intracellular vesicles within tumor endothelial cells, this study suggests that nanoparticles primarily take active transcellular routes to transport from tumor blood vessels into the tumor microenvironment.</w:t>
      </w:r>
    </w:p>
    <w:p w14:paraId="36009539" w14:textId="288D5889" w:rsidR="00C06183" w:rsidRDefault="00E34AB4" w:rsidP="00721691">
      <w:pPr>
        <w:pStyle w:val="Heading3"/>
      </w:pPr>
      <w:bookmarkStart w:id="16" w:name="_Toc151032412"/>
      <w:r>
        <w:lastRenderedPageBreak/>
        <w:t>1.</w:t>
      </w:r>
      <w:r w:rsidR="00C06183" w:rsidRPr="00C06183">
        <w:t xml:space="preserve">3.2 </w:t>
      </w:r>
      <w:r w:rsidR="00C06183" w:rsidRPr="00C06183">
        <w:tab/>
        <w:t>Endocytosis mechanisms of tumor endothelial cells</w:t>
      </w:r>
      <w:bookmarkEnd w:id="16"/>
    </w:p>
    <w:p w14:paraId="4FE1D755" w14:textId="77777777" w:rsidR="00721691" w:rsidRPr="00721691" w:rsidRDefault="00721691" w:rsidP="00721691"/>
    <w:p w14:paraId="4F6974D7" w14:textId="41021F5B"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r>
      <w:r w:rsidRPr="00C06183">
        <w:rPr>
          <w:rStyle w:val="normaltextrun"/>
          <w:rFonts w:ascii="Arial" w:hAnsi="Arial" w:cs="Arial"/>
          <w:color w:val="000000"/>
          <w:sz w:val="24"/>
          <w:szCs w:val="24"/>
          <w:shd w:val="clear" w:color="auto" w:fill="FFFFFF"/>
        </w:rPr>
        <w:t>For nanoparticles to transcytose across the tumor endothelium, they first need to endocytose into tumor endothelial cells. There are many different pathways that have been defined for endocytosis, but not all of them may be useful for transcytosis. The most common of these pathways are clathrin-mediated endocytosis, caveolae-mediated endocytosis, and macropinocytosis (</w:t>
      </w:r>
      <w:r w:rsidRPr="000E44BA">
        <w:rPr>
          <w:rStyle w:val="normaltextrun"/>
          <w:rFonts w:ascii="Arial" w:hAnsi="Arial" w:cs="Arial"/>
          <w:color w:val="000000"/>
          <w:sz w:val="24"/>
          <w:szCs w:val="24"/>
          <w:shd w:val="clear" w:color="auto" w:fill="FFFFFF"/>
        </w:rPr>
        <w:t xml:space="preserve">Figure </w:t>
      </w:r>
      <w:r w:rsidR="00EA02B4" w:rsidRPr="000E44BA">
        <w:rPr>
          <w:rStyle w:val="normaltextrun"/>
          <w:rFonts w:ascii="Arial" w:hAnsi="Arial" w:cs="Arial"/>
          <w:color w:val="000000"/>
          <w:sz w:val="24"/>
          <w:szCs w:val="24"/>
          <w:shd w:val="clear" w:color="auto" w:fill="FFFFFF"/>
        </w:rPr>
        <w:t>1.</w:t>
      </w:r>
      <w:r w:rsidRPr="000E44BA">
        <w:rPr>
          <w:rStyle w:val="normaltextrun"/>
          <w:rFonts w:ascii="Arial" w:hAnsi="Arial" w:cs="Arial"/>
          <w:color w:val="000000"/>
          <w:sz w:val="24"/>
          <w:szCs w:val="24"/>
          <w:shd w:val="clear" w:color="auto" w:fill="FFFFFF"/>
        </w:rPr>
        <w:t>5</w:t>
      </w:r>
      <w:r w:rsidRPr="00C06183">
        <w:rPr>
          <w:rStyle w:val="normaltextrun"/>
          <w:rFonts w:ascii="Arial" w:hAnsi="Arial" w:cs="Arial"/>
          <w:color w:val="000000"/>
          <w:sz w:val="24"/>
          <w:szCs w:val="24"/>
          <w:shd w:val="clear" w:color="auto" w:fill="FFFFFF"/>
        </w:rPr>
        <w:t>). While caveolae-mediated endocytosis is the pathway that is most associated with transcytosis across endothelial barriers, clathrin-mediated endocytosis is well-noted as a transcytotic mechanism for crossing the blood-brain barrier. It has also been suggested that both clathrin-mediated and macropinocyt</w:t>
      </w:r>
      <w:r w:rsidRPr="00C06183">
        <w:rPr>
          <w:rStyle w:val="normaltextrun"/>
          <w:rFonts w:ascii="Arial" w:hAnsi="Arial" w:cs="Arial"/>
          <w:color w:val="000000" w:themeColor="text1"/>
          <w:sz w:val="24"/>
          <w:szCs w:val="24"/>
        </w:rPr>
        <w:t>osis contribute to blood vessel permeability as well</w:t>
      </w:r>
      <w:r w:rsidR="00EF773E">
        <w:rPr>
          <w:rStyle w:val="normaltextrun"/>
          <w:rFonts w:ascii="Arial" w:hAnsi="Arial" w:cs="Arial"/>
          <w:color w:val="000000" w:themeColor="text1"/>
          <w:sz w:val="24"/>
          <w:szCs w:val="24"/>
        </w:rPr>
        <w:t>.</w:t>
      </w:r>
      <w:r w:rsidRPr="00C06183">
        <w:rPr>
          <w:rStyle w:val="normaltextrun"/>
          <w:rFonts w:ascii="Arial" w:hAnsi="Arial" w:cs="Arial"/>
          <w:color w:val="000000" w:themeColor="text1"/>
          <w:sz w:val="24"/>
          <w:szCs w:val="24"/>
        </w:rPr>
        <w:fldChar w:fldCharType="begin" w:fldLock="1"/>
      </w:r>
      <w:r w:rsidR="008C387C">
        <w:rPr>
          <w:rStyle w:val="normaltextrun"/>
          <w:rFonts w:ascii="Arial" w:hAnsi="Arial" w:cs="Arial"/>
          <w:color w:val="000000" w:themeColor="text1"/>
          <w:sz w:val="24"/>
          <w:szCs w:val="24"/>
        </w:rPr>
        <w:instrText>ADDIN CSL_CITATION {"citationItems":[{"id":"ITEM-1","itemData":{"DOI":"10.1007/s00018-018-2982-x","ISBN":"0123456789","ISSN":"14209071","PMID":"30523362","abstract":"The blood–brain barrier is a dynamic multicellular interface that regulates the transport of molecules between the blood circulation and the brain parenchyma. Proteins and peptides required for brain homeostasis cross the blood–brain barrier via transcellular transport, but the mechanisms that control this pathway are not well characterized. Here, we highlight recent studies on intracellular transport and transcytosis across the blood–brain barrier. Endothelial cells at the blood–brain barrier possess an intricate endosomal network that allows sorting to diverse cellular destinations. Internalization from the plasma membrane, endosomal sorting, and exocytosis all contribute to the regulation of transcytosis. Transmembrane receptors and blood-borne proteins utilize different pathways and mechanisms for transport across brain endothelial cells. Alterations to intracellular transport in brain endothelial cells during diseases of the central nervous system contribute to blood–brain barrier disruption and disease progression. Harnessing the intracellular sorting mechanisms at the blood–brain barrier can help improve delivery of biotherapeutics to the brain.","author":[{"dropping-particle":"","family":"Villaseñor","given":"Roberto","non-dropping-particle":"","parse-names":false,"suffix":""},{"dropping-particle":"","family":"Lampe","given":"Josephine","non-dropping-particle":"","parse-names":false,"suffix":""},{"dropping-particle":"","family":"Schwaninger","given":"Markus","non-dropping-particle":"","parse-names":false,"suffix":""},{"dropping-particle":"","family":"Collin","given":"Ludovic","non-dropping-particle":"","parse-names":false,"suffix":""}],"container-title":"Cellular and Molecular Life Sciences","id":"ITEM-1","issue":"6","issued":{"date-parts":[["2019"]]},"page":"1081-1092","publisher":"Springer International Publishing","title":"Intracellular transport and regulation of transcytosis across the blood–brain barrier","type":"article-journal","volume":"76"},"uris":["http://www.mendeley.com/documents/?uuid=9fb34f89-0781-43f9-9d6d-c83d48b5eab9"]},{"id":"ITEM-2","itemData":{"DOI":"10.7150/thno.38587","ISSN":"18387640","abstract":"Numerous nano drug delivery systems have been developed for preclinical cancer research in the past 15 years with the hope for a fundamental change in oncology. The robust nanotherapeutic research has yielded early-stage clinical products as exemplified by the FDA-approved nano formulations (Abraxane® for paclitaxel and Onyvide® for irinotecan) for the treatment of solid tumors, including pancreatic ductal adenocarcinoma (PDAC). It is generally believed that enhanced permeability and retention (EPR) plays a key role in nanocarriers' accumulation in preclinical tumor models and is a clinically relevant phenomenon in certain cancer types. However, use of EPR effect as an across-the-board explanation for nanoparticle tumor access is likely over-simplified, particularly in the stroma rich solid tumors such as PDAC. Recently, ample evidences including our own data showed that it is possible to use transcytosis as a major mechanism for PDAC drug delivery. In this mini-review, we summarize the key studies that discuss how transcytosis can be employed to enhance EPR effect in PDAC, and potentially, other cancer malignancies. We also mentioned other vasculature engineering approaches that work beyond the classic EPR effect.","author":[{"dropping-particle":"","family":"Liu","given":"Xiangsheng","non-dropping-particle":"","parse-names":false,"suffix":""},{"dropping-particle":"","family":"Jiang","given":"Jinhong","non-dropping-particle":"","parse-names":false,"suffix":""},{"dropping-particle":"","family":"Meng","given":"Huan","non-dropping-particle":"","parse-names":false,"suffix":""}],"container-title":"Theranostics","id":"ITEM-2","issue":"26","issued":{"date-parts":[["2019"]]},"page":"8018-8025","title":"Transcytosis - An effective targeting strategy that is complementary to “EPR effect” for pancreatic cancer nano drug delivery","type":"article-journal","volume":"9"},"uris":["http://www.mendeley.com/documents/?uuid=7f689d49-e0f7-4bc8-bb81-7d58b1808f7e"]},{"id":"ITEM-3","itemData":{"DOI":"10.1021/acsnano.7b07214","ISBN":"0000000252324","ISSN":"1936086X","PMID":"29065443","author":[{"dropping-particle":"","family":"Nel","given":"Andre","non-dropping-particle":"","parse-names":false,"suffix":""},{"dropping-particle":"","family":"Ruoslahti","given":"Erkki","non-dropping-particle":"","parse-names":false,"suffix":""},{"dropping-particle":"","family":"Meng","given":"Huan","non-dropping-particle":"","parse-names":false,"suffix":""}],"container-title":"ACS Nano","id":"ITEM-3","issue":"10","issued":{"date-parts":[["2017"]]},"page":"9567-9569","title":"New Insights into \"permeability\" as in the Enhanced Permeability and Retention Effect of Cancer Nanotherapeutics","type":"article-journal","volume":"11"},"uris":["http://www.mendeley.com/documents/?uuid=ef8dbf2e-42f0-4047-a59c-1967f74b718e"]}],"mendeley":{"formattedCitation":"&lt;sup&gt;94–96&lt;/sup&gt;","plainTextFormattedCitation":"94–96","previouslyFormattedCitation":"&lt;sup&gt;94–96&lt;/sup&gt;"},"properties":{"noteIndex":0},"schema":"https://github.com/citation-style-language/schema/raw/master/csl-citation.json"}</w:instrText>
      </w:r>
      <w:r w:rsidRPr="00C06183">
        <w:rPr>
          <w:rStyle w:val="normaltextrun"/>
          <w:rFonts w:ascii="Arial" w:hAnsi="Arial" w:cs="Arial"/>
          <w:color w:val="000000" w:themeColor="text1"/>
          <w:sz w:val="24"/>
          <w:szCs w:val="24"/>
        </w:rPr>
        <w:fldChar w:fldCharType="separate"/>
      </w:r>
      <w:r w:rsidR="009D7D40" w:rsidRPr="009D7D40">
        <w:rPr>
          <w:rStyle w:val="normaltextrun"/>
          <w:rFonts w:ascii="Arial" w:hAnsi="Arial" w:cs="Arial"/>
          <w:noProof/>
          <w:color w:val="000000" w:themeColor="text1"/>
          <w:sz w:val="24"/>
          <w:szCs w:val="24"/>
          <w:vertAlign w:val="superscript"/>
        </w:rPr>
        <w:t>94–96</w:t>
      </w:r>
      <w:r w:rsidRPr="00C06183">
        <w:rPr>
          <w:rStyle w:val="normaltextrun"/>
          <w:rFonts w:ascii="Arial" w:hAnsi="Arial" w:cs="Arial"/>
          <w:color w:val="000000" w:themeColor="text1"/>
          <w:sz w:val="24"/>
          <w:szCs w:val="24"/>
        </w:rPr>
        <w:fldChar w:fldCharType="end"/>
      </w:r>
      <w:r w:rsidRPr="00C06183">
        <w:rPr>
          <w:rStyle w:val="normaltextrun"/>
          <w:rFonts w:ascii="Arial" w:hAnsi="Arial" w:cs="Arial"/>
          <w:color w:val="000000"/>
          <w:sz w:val="24"/>
          <w:szCs w:val="24"/>
          <w:shd w:val="clear" w:color="auto" w:fill="FFFFFF"/>
        </w:rPr>
        <w:t xml:space="preserve"> Several groups have reported the endocytic cell uptake of various nanoparticles, with suggestions that nanoparticles take multiple different uptake routes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{"citationItems":[{"id":"ITEM-1","itemData":{"DOI":"10.1016/j.ijbiomac.2019.02.133","ISSN":"18790003","abstract":"Heparosan polysaccharide, known as a heparin precursor, can be used in drug delivery systems due to its good biocompatibility and anti-cancer effect. But few studies on the cellular uptake mechanism of heparosan polysaccharide-based nanocarrier have been investigated. Therefore, the intracellular trafficking and the uptake mechanism of heparosan-based micelles by different tumor cells were investigated in this study. Heparosan-cholesterol amphipathic conjugates (KC) were constructed and doxorubicin (DOX) was loaded to prepare DOX/KC micelles. Different cancer cells were selected to find out the influence on DOX/KC uptake. There was an obvious difference in cytotoxicity and cellular uptake of DOX/KC in various cancer cells. Interestingly, DOX/KC micelles exhibited the strongest cytotoxicity against MGC80-3 cells and displayed highly cellular uptake by B16 cells. The results of the uptake mechanism showed that the internalization of DOX/KC micelles into MGC80-3 cells and A549 cells was mainly through clathrin-mediated endocytosis and macropinocytosis, while micropinocytosis, clathrin-mediated endocytosis and clathrin/caveolae -independent multi-pathways all contributed to the uptake of micelles in B16 cells. Furthermore, after being internalized by MGC80-3 cells, DOX/KC could escape from the lysosome and simultaneously be transported into the nucleus and mitochondria resulting in the greatest cytotoxicity. These results indicate that heparosan-based drug delivery systems may have different uptake and subcellular distribution behavior in tumor cells, and they will achieve the maximum efficacy only in specific kind of cancers.","author":[{"dropping-particle":"","family":"Qiu","given":"Lipeng","non-dropping-particle":"","parse-names":false,"suffix":""},{"dropping-particle":"","family":"Shan","given":"Xiaotian","non-dropping-particle":"","parse-names":false,"suffix":""},{"dropping-particle":"","family":"Long","given":"Miaomiao","non-dropping-particle":"","parse-names":false,"suffix":""},{"dropping-particle":"","family":"Ahmed","given":"Kamel S.","non-dropping-particle":"","parse-names":false,"suffix":""},{"dropping-particle":"","family":"Zhao","given":"Li","non-dropping-particle":"","parse-names":false,"suffix":""},{"dropping-particle":"","family":"Mao","given":"Jing","non-dropping-particle":"","parse-names":false,"suffix":""},{"dropping-particle":"","family":"Zhang","given":"Huijie","non-dropping-particle":"","parse-names":false,"suffix":""},{"dropping-particle":"","family":"Sun","given":"Changling","non-dropping-particle":"","parse-names":false,"suffix":""},{"dropping-particle":"","family":"You","given":"Chongzhao","non-dropping-particle":"","parse-names":false,"suffix":""},{"dropping-particle":"","family":"Lv","given":"Guozhong","non-dropping-particle":"","parse-names":false,"suffix":""},{"dropping-particle":"","family":"Chen","given":"Jinghua","non-dropping-particle":"","parse-names":false,"suffix":""}],"container-title":"International Journal of Biological Macromolecules","id":"ITEM-1","issued":{"date-parts":[["2019"]]},"page":"755-764","publisher":"Elsevier B.V.","title":"Elucidation of cellular uptake and intracellular trafficking of heparosan polysaccharide-based micelles in various cancer cells","type":"article-journal","volume":"130"},"uris":["http://www.mendeley.com/documents/?uuid=c1ff7d51-b986-4698-a331-58371d185be3"]},{"id":"ITEM-2","itemData":{"DOI":"10.1016/j.bbrc.2008.09.077","ISSN":"0006291X","abstract":"Successful drug delivery by functionalized nanocarriers largely depends on their efficient intracellular transport which has not yet been fully understood. We developed a new tracking technique by encapsulating quantum dots into the core of wheat germ agglutinin-conjugated nanoparticles (WGA-NP) to track cellular transport of functionalized nanocarriers. The resulting nanoparticles showed no changes in particle size, zeta potential or biobinding activity, and the loaded probe presented excellent photostability and tracking ability. Taking advantage of these properties, cellular transport profiles of WGA-NP in Caco-2 cells was demonstrated. The cellular uptake begins with binding of WGA to its receptor at the cell surface. The subsequent endocytosis happened in a cytoskeleton-dependent manner and by means of clathrin and caveolae-mediated mechanisms. After endosome creating, transport occurs to both trans-Golgi and lysosome. Our study provides new evidences for quantum dots as a cellular tracking probe of nanocarriers and helps understand intracellular transport profile of lectin-functionalized nanoparticles. © 2008 Elsevier Inc. All rights reserved.","author":[{"dropping-particle":"","family":"Gao","given":"Xiaoling","non-dropping-particle":"","parse-names":false,"suffix":""},{"dropping-particle":"","family":"Wang","given":"Tao","non-dropping-particle":"","parse-names":false,"suffix":""},{"dropping-particle":"","family":"Wu","given":"Bingxian","non-dropping-particle":"","parse-names":false,"suffix":""},{"dropping-particle":"","family":"Chen","given":"Jun","non-dropping-particle":"","parse-names":false,"suffix":""},{"dropping-particle":"","family":"Chen","given":"Jiyao","non-dropping-particle":"","parse-names":false,"suffix":""},{"dropping-particle":"","family":"Yue","given":"Yang","non-dropping-particle":"","parse-names":false,"suffix":""},{"dropping-particle":"","family":"Dai","given":"Ning","non-dropping-particle":"","parse-names":false,"suffix":""},{"dropping-particle":"","family":"Chen","given":"Hongzhuan","non-dropping-particle":"","parse-names":false,"suffix":""},{"dropping-particle":"","family":"Jiang","given":"Xinguo","non-dropping-particle":"","parse-names":false,"suffix":""}],"container-title":"Biochemical and Biophysical Research Communications","id":"ITEM-2","issue":"1","issued":{"date-parts":[["2008"]]},"page":"35-40","publisher":"Elsevier Inc.","title":"Quantum dots for tracking cellular transport of lectin-functionalized nanoparticles","type":"article-journal","volume":"377"},"uris":["http://www.mendeley.com/documents/?uuid=ce4c3ca2-c061-4ef0-9e1a-6e8dc30e53e8"]}],"mendeley":{"formattedCitation":"&lt;sup&gt;97,98&lt;/sup&gt;","plainTextFormattedCitation":"97,98","previouslyFormattedCitation":"&lt;sup&gt;97,98&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97,98</w:t>
      </w:r>
      <w:r w:rsidRPr="00C06183">
        <w:rPr>
          <w:rFonts w:ascii="Arial" w:hAnsi="Arial" w:cs="Arial"/>
          <w:sz w:val="24"/>
          <w:szCs w:val="24"/>
        </w:rPr>
        <w:fldChar w:fldCharType="end"/>
      </w:r>
      <w:r w:rsidRPr="00C06183">
        <w:rPr>
          <w:rFonts w:ascii="Arial" w:hAnsi="Arial" w:cs="Arial"/>
          <w:sz w:val="24"/>
          <w:szCs w:val="24"/>
        </w:rPr>
        <w:t xml:space="preserve"> Understanding the mechanisms behind these endocytosis pathways will allow for targeting of specific transport routes to deliver nanomedicines more efficiently into tumors.</w:t>
      </w:r>
    </w:p>
    <w:p w14:paraId="1BB43160" w14:textId="2512BB0D" w:rsidR="00EA02B4" w:rsidRDefault="00EA02B4">
      <w:pPr>
        <w:rPr>
          <w:rFonts w:ascii="Arial" w:hAnsi="Arial" w:cs="Arial"/>
          <w:sz w:val="24"/>
          <w:szCs w:val="24"/>
        </w:rPr>
      </w:pPr>
      <w:r>
        <w:rPr>
          <w:rFonts w:ascii="Arial" w:hAnsi="Arial" w:cs="Arial"/>
          <w:sz w:val="24"/>
          <w:szCs w:val="24"/>
        </w:rPr>
        <w:br w:type="page"/>
      </w:r>
    </w:p>
    <w:p w14:paraId="6DD99B07" w14:textId="77777777" w:rsidR="00EA02B4" w:rsidRDefault="00EA02B4" w:rsidP="00EA02B4">
      <w:pPr>
        <w:jc w:val="center"/>
        <w:rPr>
          <w:rFonts w:ascii="Arial" w:hAnsi="Arial" w:cs="Arial"/>
          <w:sz w:val="24"/>
          <w:szCs w:val="24"/>
        </w:rPr>
      </w:pPr>
      <w:r w:rsidRPr="00BD00FA">
        <w:rPr>
          <w:noProof/>
        </w:rPr>
        <w:lastRenderedPageBreak/>
        <w:drawing>
          <wp:inline distT="0" distB="0" distL="0" distR="0" wp14:anchorId="34D0A0C4" wp14:editId="0561E632">
            <wp:extent cx="5106838" cy="7116287"/>
            <wp:effectExtent l="0" t="0" r="0" b="8890"/>
            <wp:docPr id="855265997" name="Picture 855265997" descr="A diagram of a cell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65997" name="Picture 855265997" descr="A diagram of a cell cyc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114791" cy="7127369"/>
                    </a:xfrm>
                    <a:prstGeom prst="rect">
                      <a:avLst/>
                    </a:prstGeom>
                    <a:ln>
                      <a:noFill/>
                    </a:ln>
                    <a:extLst>
                      <a:ext uri="{53640926-AAD7-44D8-BBD7-CCE9431645EC}">
                        <a14:shadowObscured xmlns:a14="http://schemas.microsoft.com/office/drawing/2010/main"/>
                      </a:ext>
                    </a:extLst>
                  </pic:spPr>
                </pic:pic>
              </a:graphicData>
            </a:graphic>
          </wp:inline>
        </w:drawing>
      </w:r>
    </w:p>
    <w:p w14:paraId="5A9EBA5D" w14:textId="47C050B2" w:rsidR="00EA02B4" w:rsidRDefault="00EA02B4" w:rsidP="00EA02B4">
      <w:pPr>
        <w:jc w:val="both"/>
        <w:rPr>
          <w:rFonts w:ascii="Arial" w:hAnsi="Arial" w:cs="Arial"/>
          <w:sz w:val="24"/>
          <w:szCs w:val="24"/>
        </w:rPr>
      </w:pPr>
      <w:r w:rsidRPr="00EA02B4">
        <w:rPr>
          <w:rFonts w:ascii="Arial" w:hAnsi="Arial" w:cs="Arial"/>
          <w:b/>
          <w:bCs/>
          <w:sz w:val="24"/>
          <w:szCs w:val="24"/>
        </w:rPr>
        <w:t>Figure 1.5. Common endocytic pathway mechanisms in endothelial cells.</w:t>
      </w:r>
      <w:r w:rsidRPr="00EA02B4">
        <w:rPr>
          <w:rFonts w:ascii="Arial" w:hAnsi="Arial" w:cs="Arial"/>
          <w:sz w:val="24"/>
          <w:szCs w:val="24"/>
        </w:rPr>
        <w:t xml:space="preserve"> The specific pathways that nanoparticles take to enter endothelial cells vary,</w:t>
      </w:r>
      <w:r>
        <w:rPr>
          <w:rFonts w:ascii="Arial" w:hAnsi="Arial" w:cs="Arial"/>
          <w:sz w:val="24"/>
          <w:szCs w:val="24"/>
        </w:rPr>
        <w:t xml:space="preserve"> </w:t>
      </w:r>
      <w:r w:rsidRPr="00EA02B4">
        <w:rPr>
          <w:rFonts w:ascii="Arial" w:hAnsi="Arial" w:cs="Arial"/>
          <w:sz w:val="24"/>
          <w:szCs w:val="24"/>
        </w:rPr>
        <w:t>with the receptors that trigger the pathways as well as the nanoparticles’ destination varying with the pathways themselves. Cell membrane invaginations</w:t>
      </w:r>
      <w:r>
        <w:rPr>
          <w:rFonts w:ascii="Arial" w:hAnsi="Arial" w:cs="Arial"/>
          <w:sz w:val="24"/>
          <w:szCs w:val="24"/>
        </w:rPr>
        <w:t xml:space="preserve"> </w:t>
      </w:r>
      <w:r w:rsidRPr="00EA02B4">
        <w:rPr>
          <w:rFonts w:ascii="Arial" w:hAnsi="Arial" w:cs="Arial"/>
          <w:sz w:val="24"/>
          <w:szCs w:val="24"/>
        </w:rPr>
        <w:t>are a typical occurrence for the receptor-mediated endocytic pathways of caveolae-mediated endocytosis and clathrin-</w:t>
      </w:r>
      <w:r w:rsidRPr="00EA02B4">
        <w:rPr>
          <w:rFonts w:ascii="Arial" w:hAnsi="Arial" w:cs="Arial"/>
          <w:sz w:val="24"/>
          <w:szCs w:val="24"/>
        </w:rPr>
        <w:lastRenderedPageBreak/>
        <w:t>mediated endocytosis,</w:t>
      </w:r>
      <w:r>
        <w:rPr>
          <w:rFonts w:ascii="Arial" w:hAnsi="Arial" w:cs="Arial"/>
          <w:sz w:val="24"/>
          <w:szCs w:val="24"/>
        </w:rPr>
        <w:t xml:space="preserve"> </w:t>
      </w:r>
      <w:r w:rsidRPr="00EA02B4">
        <w:rPr>
          <w:rFonts w:ascii="Arial" w:hAnsi="Arial" w:cs="Arial"/>
          <w:sz w:val="24"/>
          <w:szCs w:val="24"/>
        </w:rPr>
        <w:t>however, caveolar vesicles are typically trafficked to the endoplasmic reticulum before being exocytosed, while clathrin coated vesicles are typically</w:t>
      </w:r>
      <w:r>
        <w:rPr>
          <w:rFonts w:ascii="Arial" w:hAnsi="Arial" w:cs="Arial"/>
          <w:sz w:val="24"/>
          <w:szCs w:val="24"/>
        </w:rPr>
        <w:t xml:space="preserve"> </w:t>
      </w:r>
      <w:r w:rsidRPr="00EA02B4">
        <w:rPr>
          <w:rFonts w:ascii="Arial" w:hAnsi="Arial" w:cs="Arial"/>
          <w:sz w:val="24"/>
          <w:szCs w:val="24"/>
        </w:rPr>
        <w:t>trafficked to lysosomes for degradation. The growth factor triggered macropinocytosis involves a heavy actin remodeling to nonspecifically engulf fluid</w:t>
      </w:r>
      <w:r>
        <w:rPr>
          <w:rFonts w:ascii="Arial" w:hAnsi="Arial" w:cs="Arial"/>
          <w:sz w:val="24"/>
          <w:szCs w:val="24"/>
        </w:rPr>
        <w:t xml:space="preserve"> </w:t>
      </w:r>
      <w:r w:rsidRPr="00EA02B4">
        <w:rPr>
          <w:rFonts w:ascii="Arial" w:hAnsi="Arial" w:cs="Arial"/>
          <w:sz w:val="24"/>
          <w:szCs w:val="24"/>
        </w:rPr>
        <w:t>in the area, packaging any contents in to a macropinosomes, which are also typically trafficked to lysosomes for degradation.</w:t>
      </w:r>
    </w:p>
    <w:p w14:paraId="171AFAF4" w14:textId="011A1825" w:rsidR="00EA02B4" w:rsidRDefault="00EA02B4">
      <w:pPr>
        <w:rPr>
          <w:rFonts w:ascii="Arial" w:hAnsi="Arial" w:cs="Arial"/>
          <w:sz w:val="24"/>
          <w:szCs w:val="24"/>
        </w:rPr>
      </w:pPr>
      <w:r>
        <w:rPr>
          <w:rFonts w:ascii="Arial" w:hAnsi="Arial" w:cs="Arial"/>
          <w:sz w:val="24"/>
          <w:szCs w:val="24"/>
        </w:rPr>
        <w:br w:type="page"/>
      </w:r>
    </w:p>
    <w:p w14:paraId="6AD6FE79" w14:textId="3FA8B4DE" w:rsidR="00C06183" w:rsidRDefault="00E34AB4" w:rsidP="00721691">
      <w:pPr>
        <w:pStyle w:val="Heading4"/>
      </w:pPr>
      <w:r>
        <w:lastRenderedPageBreak/>
        <w:t>1.</w:t>
      </w:r>
      <w:r w:rsidR="00C06183" w:rsidRPr="00C06183">
        <w:t>3.2.1</w:t>
      </w:r>
      <w:r w:rsidR="00C06183" w:rsidRPr="00C06183">
        <w:tab/>
        <w:t>Clathrin-mediated endocytosis</w:t>
      </w:r>
    </w:p>
    <w:p w14:paraId="1C2C369E" w14:textId="77777777" w:rsidR="00721691" w:rsidRPr="00721691" w:rsidRDefault="00721691" w:rsidP="00721691"/>
    <w:p w14:paraId="54ED568D" w14:textId="0CF797F0"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t>Clathrin-mediated endocytosis is a receptor specific form of endocytosis that uses vesicles coated with the triskelion protein, clathrin, to internalize materials that bind to its surface receptors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{"citationItems":[{"id":"ITEM-1","itemData":{"DOI":"10.1038/nrm3151","ISSN":"14710072","abstract":"Clathrin-mediated endocytosis is the endocytic portal into cells through which cargo is packaged into vesicles with the aid of a clathrin coat. It is fundamental to neurotransmission, signal transduction and the regulation of many plasma membrane activities and is thus essential to higher eukaryotic life. Morphological stages of vesicle formation are mirrored by progression through various protein modules (complexes). The process involves the formation of a putative FCH domain only (FCHO) initiation complex, which matures through adaptor protein 2 (AP2)-dependent cargo selection, and subsequent coat building, dynamin-mediated scission and finally auxilin-and heat shock cognate 70 (HSC70)-dependent uncoating. Some modules can be used in other pathways, and additions or substitutions confer cell specificity and adaptability. © 2011 Macmillan Publishers Limited. All rights reserved.","author":[{"dropping-particle":"","family":"McMahon","given":"Harvey T.","non-dropping-particle":"","parse-names":false,"suffix":""},{"dropping-particle":"","family":"Boucrot","given":"Emmanuel","non-dropping-particle":"","parse-names":false,"suffix":""}],"container-title":"Nature Reviews Molecular Cell Biology","id":"ITEM-1","issue":"8","issued":{"date-parts":[["2011"]]},"page":"517-533","publisher":"Nature Publishing Group","title":"Molecular mechanism and physiological functions of clathrin-mediated endocytosis","type":"article-journal","volume":"12"},"uris":["http://www.mendeley.com/documents/?uuid=b1a24d35-e435-45c6-88e6-5cd6160e530b"]}],"mendeley":{"formattedCitation":"&lt;sup&gt;99&lt;/sup&gt;","plainTextFormattedCitation":"99","previouslyFormattedCitation":"&lt;sup&gt;99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99</w:t>
      </w:r>
      <w:r w:rsidRPr="00C06183">
        <w:rPr>
          <w:rFonts w:ascii="Arial" w:hAnsi="Arial" w:cs="Arial"/>
          <w:sz w:val="24"/>
          <w:szCs w:val="24"/>
        </w:rPr>
        <w:fldChar w:fldCharType="end"/>
      </w:r>
      <w:r w:rsidRPr="00C06183">
        <w:rPr>
          <w:rFonts w:ascii="Arial" w:hAnsi="Arial" w:cs="Arial"/>
          <w:sz w:val="24"/>
          <w:szCs w:val="24"/>
        </w:rPr>
        <w:t xml:space="preserve"> Clathrin does not directly bind to the cell membrane or its specific receptors, and as such, requires several other proteins for binding and vesicle formation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{"citationItems":[{"id":"ITEM-1","itemData":{"DOI":"10.1002/j.1460-2075.1993.tb05865.x","ISSN":"0261-4189","abstract":"Initiation of receptor-mediated endocytosis by nucleation of clathrin-coated pits involves binding of AP2 adaptor molecules to the plasma membrane. This process was reconstituted in vitro, using plasma membrane fragments, prepared by freeze-thaw lysis of cells, and stripped of their endogenous coat proteins, as targets for binding of purified adaptor molecules and their dissociated subunits. The dissociated α-adaptin subunit of AP2 bound to plasma membrane fragments, while the dissociated β-adaptin subunit did not, suggesting that plasma membrane localization of AP2 adaptors is mediated by α-adaptin. Membrane binding of intact AP2 adaptor molecules was enhanced by adaptor self-aggregation, which can be modulated by physiological concentrations of inositol phosphates, and may therefore be sensitive to receptor signaling. Adaptor binding was partially inhibited by soluble peptides representing the cytoplasmic domains of the asialoglycoprotein receptor and the polymeric immunoglobulin receptor. These results indicate that direct binding of adaptors to the cytoplasmic domains of receptors contributes to coated pit nucleation but this appears to be a weak interaction, suggesting that an additional recognition signal could be required for high affinity adaptor binding.","author":[{"dropping-particle":"","family":"Chang","given":"M.P.","non-dropping-particle":"","parse-names":false,"suffix":""},{"dropping-particle":"","family":"Mallet","given":"W.G.","non-dropping-particle":"","parse-names":false,"suffix":""},{"dropping-particle":"","family":"Mostov","given":"K.E.","non-dropping-particle":"","parse-names":false,"suffix":""},{"dropping-particle":"","family":"Brodsky","given":"F.M.","non-dropping-particle":"","parse-names":false,"suffix":""}],"container-title":"The EMBO Journal","id":"ITEM-1","issue":"5","issued":{"date-parts":[["1993"]]},"page":"2169-2180","title":"Adaptor self-aggregation, adaptor-receptor recognition and binding of alpha-adaptin subunits to the plasma membrane contribute to recruitment of adaptor (AP2) components of clathrin-coated pits.","type":"article-journal","volume":"12"},"uris":["http://www.mendeley.com/documents/?uuid=166d7808-52ba-4097-8c1c-f248ea4db398"]}],"mendeley":{"formattedCitation":"&lt;sup&gt;100&lt;/sup&gt;","plainTextFormattedCitation":"100","previouslyFormattedCitation":"&lt;sup&gt;100&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100</w:t>
      </w:r>
      <w:r w:rsidRPr="00C06183">
        <w:rPr>
          <w:rFonts w:ascii="Arial" w:hAnsi="Arial" w:cs="Arial"/>
          <w:sz w:val="24"/>
          <w:szCs w:val="24"/>
        </w:rPr>
        <w:fldChar w:fldCharType="end"/>
      </w:r>
      <w:r w:rsidRPr="00C06183">
        <w:rPr>
          <w:rFonts w:ascii="Arial" w:hAnsi="Arial" w:cs="Arial"/>
          <w:sz w:val="24"/>
          <w:szCs w:val="24"/>
        </w:rPr>
        <w:t xml:space="preserve"> Specific proteins of note are the AP-2 complex, which serves as an intermediate between the cell membrane and clathrin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{"citationItems":[{"id":"ITEM-1","itemData":{"DOI":"10.1126/science.1254836","ISSN":"10959203","PMID":"25061211","abstract":"Clathrin-mediated endocytosis (CME) is vital for the internalization of most cell-surface proteins. In CME, plasma membrane-binding clathrin adaptors recruit and polymerize clathrin to form clathrin-coated pits into which cargo is sorted. Assembly polypeptide 2 (AP2) is the most abundant adaptor and is pivotal to CME. Here, we determined a structure of AP2 that includes the clathrin-binding β2 hinge and developed an AP2-dependent budding assay. Our findings suggest that an autoinhibitory mechanism prevents clathrin recruitment by cytosolic AP2. A large-scale conformational change driven by the plasma membrane phosphoinositide phosphatidylinositol 4,5-bisphosphate and cargo relieves this autoinhibition, triggering clathrin recruitment and hence clathrin-coated bud formation. This molecular switching mechanism can couple AP2's membrane recruitment to its key functions of cargo and clathrin binding.","author":[{"dropping-particle":"","family":"Kelly","given":"Bernard T.","non-dropping-particle":"","parse-names":false,"suffix":""},{"dropping-particle":"","family":"Graham","given":"Stephen C.","non-dropping-particle":"","parse-names":false,"suffix":""},{"dropping-particle":"","family":"Liska","given":"Nicole","non-dropping-particle":"","parse-names":false,"suffix":""},{"dropping-particle":"","family":"Dannhauser","given":"Philip N.","non-dropping-particle":"","parse-names":false,"suffix":""},{"dropping-particle":"","family":"Höning","given":"Stefan","non-dropping-particle":"","parse-names":false,"suffix":""},{"dropping-particle":"","family":"Ungewickell","given":"Ernst J.","non-dropping-particle":"","parse-names":false,"suffix":""},{"dropping-particle":"","family":"Owen","given":"David J.","non-dropping-particle":"","parse-names":false,"suffix":""}],"container-title":"Science","id":"ITEM-1","issue":"6195","issued":{"date-parts":[["2014"]]},"page":"459-463","title":"AP2 controls clathrin polymerization with a membrane-activated switch","type":"article-journal","volume":"345"},"uris":["http://www.mendeley.com/documents/?uuid=c0c4db64-17c7-450f-81ca-00f6e25a80d7"]}],"mendeley":{"formattedCitation":"&lt;sup&gt;101&lt;/sup&gt;","plainTextFormattedCitation":"101","previouslyFormattedCitation":"&lt;sup&gt;101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101</w:t>
      </w:r>
      <w:r w:rsidRPr="00C06183">
        <w:rPr>
          <w:rFonts w:ascii="Arial" w:hAnsi="Arial" w:cs="Arial"/>
          <w:sz w:val="24"/>
          <w:szCs w:val="24"/>
        </w:rPr>
        <w:fldChar w:fldCharType="end"/>
      </w:r>
      <w:r w:rsidRPr="00C06183">
        <w:rPr>
          <w:rFonts w:ascii="Arial" w:hAnsi="Arial" w:cs="Arial"/>
          <w:sz w:val="24"/>
          <w:szCs w:val="24"/>
        </w:rPr>
        <w:t xml:space="preserve"> the clathrin assembly lymphoid myeloid leukemia protein (CALM), which helps control vesicle size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{"citationItems":[{"id":"ITEM-1","itemData":{"DOI":"10.1016/j.devcel.2015.03.002","ISSN":"18781551","abstract":"The size of endocytic clathrin-coated vesicles (CCVs) is remarkably uniform, suggesting that it is optimized to achieve the appropriate levels of cargo and lipid internalization. The three most abundant proteins in mammalian endocytic CCVs are clathrin and the two cargo-selecting, clathrin adaptors, CALM and AP2. Here we demonstrate that depletion of CALMcauses a substantial increase in the ratio of \"open\" clathrin-coated pits (CCPs) to \"necked\"/\"closed\" CCVs and a doubling of CCP/CCV diameter, whereas AP2 depletion has opposite effects. Depletion of either adaptor, however, significantly inhibits endocytosis of transferrin and epidermal growth factor. The phenotypic effects of CALM depletion can be rescued by re-expression of wild-type CALM, but not with CALM that lacks a functional N-terminal, membrane-inserting, curvature-sensing/driving amphipathic helix, the existence and properties of which are demonstrated. CALM is thus a major factor in controlling CCV size and maturation and hence in determining the rates of endocytic cargo uptake.","author":[{"dropping-particle":"","family":"Miller","given":"Sharon E.","non-dropping-particle":"","parse-names":false,"suffix":""},{"dropping-particle":"","family":"Mathiasen","given":"Signe","non-dropping-particle":"","parse-names":false,"suffix":""},{"dropping-particle":"","family":"Bright","given":"Nicholas A.","non-dropping-particle":"","parse-names":false,"suffix":""},{"dropping-particle":"","family":"Pierre","given":"Fabienne","non-dropping-particle":"","parse-names":false,"suffix":""},{"dropping-particle":"","family":"Kelly","given":"Bernard T.","non-dropping-particle":"","parse-names":false,"suffix":""},{"dropping-particle":"","family":"Kladt","given":"Nikolay","non-dropping-particle":"","parse-names":false,"suffix":""},{"dropping-particle":"","family":"Schauss","given":"Astrid","non-dropping-particle":"","parse-names":false,"suffix":""},{"dropping-particle":"","family":"Merrifield","given":"Christien J.","non-dropping-particle":"","parse-names":false,"suffix":""},{"dropping-particle":"","family":"Stamou","given":"Dimitrios","non-dropping-particle":"","parse-names":false,"suffix":""},{"dropping-particle":"","family":"Höning","given":"Stefan","non-dropping-particle":"","parse-names":false,"suffix":""},{"dropping-particle":"","family":"Owen","given":"David J.","non-dropping-particle":"","parse-names":false,"suffix":""}],"container-title":"Developmental Cell","id":"ITEM-1","issue":"2","issued":{"date-parts":[["2015"]]},"page":"163-175","title":"CALM Regulates Clathrin-Coated Vesicle Size and Maturation by Directly Sensing and Driving Membrane Curvature","type":"article-journal","volume":"33"},"uris":["http://www.mendeley.com/documents/?uuid=be397813-6a5d-45ba-8c02-38bed52a4866"]}],"mendeley":{"formattedCitation":"&lt;sup&gt;102&lt;/sup&gt;","plainTextFormattedCitation":"102","previouslyFormattedCitation":"&lt;sup&gt;102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102</w:t>
      </w:r>
      <w:r w:rsidRPr="00C06183">
        <w:rPr>
          <w:rFonts w:ascii="Arial" w:hAnsi="Arial" w:cs="Arial"/>
          <w:sz w:val="24"/>
          <w:szCs w:val="24"/>
        </w:rPr>
        <w:fldChar w:fldCharType="end"/>
      </w:r>
      <w:r w:rsidRPr="00C06183">
        <w:rPr>
          <w:rFonts w:ascii="Arial" w:hAnsi="Arial" w:cs="Arial"/>
          <w:sz w:val="24"/>
          <w:szCs w:val="24"/>
        </w:rPr>
        <w:t xml:space="preserve"> and dynamin, which regulates the maturation of clathrin coated pits and also catalyzes the snipping of the vesicle from the membrane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{"citationItems":[{"id":"ITEM-1","itemData":{"DOI":"10.1091/mbc.E14-07-1240","ISSN":"19394586","abstract":"Dynamin, the GTPase required for clathrin-mediated endocytosis, is recruited to clathrin-coated pits in two sequential phases. The first is associated with coated pit maturation; the second, with fission of the membrane neck of a coated pit. Using gene-edited cells that express dynamin2-EGFP instead of dynamin2 and live-cell TIRF imaging with single-molecule EGFP sensitivity and high temporal resolution, we detected the arrival of dynamin at coated pits and defined dynamin dimers as the preferred assembly unit. We also used live-cell spinning-disk confocal microscopy calibrated by single-molecule EGFP detection to determine the number of dynamins recruited to the coated pits. A large fraction of budding coated pits recruit between 26 and 40 dynamins (between 1 and 1.5 helical turns of a dynamin collar) during the recruitment phase associated with neck fission; 26 are enough for coated vesicle release in cells partially depleted of dynamin by RNA interference. We discuss how these results restrict models for the mechanism of dynamin-mediated membrane scission.","author":[{"dropping-particle":"","family":"Cocucci","given":"Emanuele","non-dropping-particle":"","parse-names":false,"suffix":""},{"dropping-particle":"","family":"Gaudin","given":"Raphaël","non-dropping-particle":"","parse-names":false,"suffix":""},{"dropping-particle":"","family":"Kirchhausen","given":"Tom","non-dropping-particle":"","parse-names":false,"suffix":""}],"container-title":"Molecular Biology of the Cell","id":"ITEM-1","issue":"22","issued":{"date-parts":[["2014"]]},"page":"3595-3609","title":"Dynamin recruitment and membrane scission at the neck of a clathrin-coated pit","type":"article-journal","volume":"25"},"uris":["http://www.mendeley.com/documents/?uuid=44a481c1-566a-4ea5-a446-2e108fdc8570"]}],"mendeley":{"formattedCitation":"&lt;sup&gt;103&lt;/sup&gt;","plainTextFormattedCitation":"103","previouslyFormattedCitation":"&lt;sup&gt;103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103</w:t>
      </w:r>
      <w:r w:rsidRPr="00C06183">
        <w:rPr>
          <w:rFonts w:ascii="Arial" w:hAnsi="Arial" w:cs="Arial"/>
          <w:sz w:val="24"/>
          <w:szCs w:val="24"/>
        </w:rPr>
        <w:fldChar w:fldCharType="end"/>
      </w:r>
      <w:r w:rsidRPr="00C06183">
        <w:rPr>
          <w:rFonts w:ascii="Arial" w:hAnsi="Arial" w:cs="Arial"/>
          <w:sz w:val="24"/>
          <w:szCs w:val="24"/>
        </w:rPr>
        <w:t xml:space="preserve"> The vesicles formed in this process are typically sized at around 80 – 100 nm. However, it has been shown that nanoparticles (522 nm in size) conjugated with transferrin, a clathrin-mediated endocytosis tracer, have been uptaken by clathrin coated vesicles in HeLa cells, indicating that there is a potential variability in the vesicle size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{"citationItems":[{"id":"ITEM-1","itemData":{"DOI":"10.1016/j.devcel.2015.03.002","ISSN":"18781551","abstract":"The size of endocytic clathrin-coated vesicles (CCVs) is remarkably uniform, suggesting that it is optimized to achieve the appropriate levels of cargo and lipid internalization. The three most abundant proteins in mammalian endocytic CCVs are clathrin and the two cargo-selecting, clathrin adaptors, CALM and AP2. Here we demonstrate that depletion of CALMcauses a substantial increase in the ratio of \"open\" clathrin-coated pits (CCPs) to \"necked\"/\"closed\" CCVs and a doubling of CCP/CCV diameter, whereas AP2 depletion has opposite effects. Depletion of either adaptor, however, significantly inhibits endocytosis of transferrin and epidermal growth factor. The phenotypic effects of CALM depletion can be rescued by re-expression of wild-type CALM, but not with CALM that lacks a functional N-terminal, membrane-inserting, curvature-sensing/driving amphipathic helix, the existence and properties of which are demonstrated. CALM is thus a major factor in controlling CCV size and maturation and hence in determining the rates of endocytic cargo uptake.","author":[{"dropping-particle":"","family":"Miller","given":"Sharon E.","non-dropping-particle":"","parse-names":false,"suffix":""},{"dropping-particle":"","family":"Mathiasen","given":"Signe","non-dropping-particle":"","parse-names":false,"suffix":""},{"dropping-particle":"","family":"Bright","given":"Nicholas A.","non-dropping-particle":"","parse-names":false,"suffix":""},{"dropping-particle":"","family":"Pierre","given":"Fabienne","non-dropping-particle":"","parse-names":false,"suffix":""},{"dropping-particle":"","family":"Kelly","given":"Bernard T.","non-dropping-particle":"","parse-names":false,"suffix":""},{"dropping-particle":"","family":"Kladt","given":"Nikolay","non-dropping-particle":"","parse-names":false,"suffix":""},{"dropping-particle":"","family":"Schauss","given":"Astrid","non-dropping-particle":"","parse-names":false,"suffix":""},{"dropping-particle":"","family":"Merrifield","given":"Christien J.","non-dropping-particle":"","parse-names":false,"suffix":""},{"dropping-particle":"","family":"Stamou","given":"Dimitrios","non-dropping-particle":"","parse-names":false,"suffix":""},{"dropping-particle":"","family":"Höning","given":"Stefan","non-dropping-particle":"","parse-names":false,"suffix":""},{"dropping-particle":"","family":"Owen","given":"David J.","non-dropping-particle":"","parse-names":false,"suffix":""}],"container-title":"Developmental Cell","id":"ITEM-1","issue":"2","issued":{"date-parts":[["2015"]]},"page":"163-175","title":"CALM Regulates Clathrin-Coated Vesicle Size and Maturation by Directly Sensing and Driving Membrane Curvature","type":"article-journal","volume":"33"},"uris":["http://www.mendeley.com/documents/?uuid=be397813-6a5d-45ba-8c02-38bed52a4866"]},{"id":"ITEM-2","itemData":{"DOI":"10.1093/jmicro/dfs080","ISSN":"00220744","abstract":"When considering drug delivery, the amount of drug that can be carried at a particular time and how the drug is incorporated efficiently into cells are important parameters. Transferrin (Tf)-conjugated nanocarriers have been used for the targeted delivery of drugs to cancer cells due to the availability of receptor-mediated clathrin-dependent endocytosis. In general, however, endocytosis seems to differ according to the size and shape of carriers. Large substances are generally internalized into cells by phagocytosis. We studied the internalization mechanism of Tf-conjugated nanoparticles (diameter, 522 nm). Tf-conjugated polystyrene particles were incorporated into cells by receptor-mediated endocytosis with large clathrin-coated vesicles even though their diameter was &gt;500 nm and despite that fact that clathrin-coated vesicles have a diameter of 100 nm. This finding suggests that signals for internalization generated by stimulated Tf receptors (TfRs) activate clathrin-mediated endocytosis preferentially. Whether these larger particles could deliver drugs more efficiently than smaller particles was then examined. The toxicity of larger Tf-conjugated biodegradable nanoparticles (poly(lactic-co-glycolic acid)) encapsulating doxorubicin (diameter, 216 ± 38 nm) was appreciably dependent on the number of Tf molecules conjugated on a particle and the number of TfRs expressed on the cell membrane. Larger Tf-conjugated particles delivered drugs to cancer cells expressing many TfRs more selectively than their smaller counterparts (diameter, 56 ± 9 nm) if they were decorated with an appropriate number of Tf molecules. © The Author 2012. Published by Oxford University Press [on behalf of Japanese Society of Microscopy]. All rights reserved.","author":[{"dropping-particle":"","family":"Tsuji","given":"Takuma","non-dropping-particle":"","parse-names":false,"suffix":""},{"dropping-particle":"","family":"Yoshitomi","given":"Hiroshi","non-dropping-particle":"","parse-names":false,"suffix":""},{"dropping-particle":"","family":"Usukura","given":"Jiro","non-dropping-particle":"","parse-names":false,"suffix":""}],"container-title":"Journal of Electron Microscopy","id":"ITEM-2","issue":"3","issued":{"date-parts":[["2013"]]},"page":"341-352","title":"Endocytic mechanism of transferrin-conjugated nanoparticles and the effects of their size and ligand number on the efficiency of drug delivery","type":"article-journal","volume":"62"},"uris":["http://www.mendeley.com/documents/?uuid=db3a7b23-5d4a-4e4e-8591-d141f2c6723b"]}],"mendeley":{"formattedCitation":"&lt;sup&gt;102,104&lt;/sup&gt;","plainTextFormattedCitation":"102,104","previouslyFormattedCitation":"&lt;sup&gt;102,104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102,104</w:t>
      </w:r>
      <w:r w:rsidRPr="00C06183">
        <w:rPr>
          <w:rFonts w:ascii="Arial" w:hAnsi="Arial" w:cs="Arial"/>
          <w:sz w:val="24"/>
          <w:szCs w:val="24"/>
        </w:rPr>
        <w:fldChar w:fldCharType="end"/>
      </w:r>
      <w:r w:rsidRPr="00C06183">
        <w:rPr>
          <w:rFonts w:ascii="Arial" w:hAnsi="Arial" w:cs="Arial"/>
          <w:sz w:val="24"/>
          <w:szCs w:val="24"/>
        </w:rPr>
        <w:t xml:space="preserve"> </w:t>
      </w:r>
    </w:p>
    <w:p w14:paraId="301E3CF6" w14:textId="714A02C3" w:rsidR="00C06183" w:rsidRPr="00C06183" w:rsidRDefault="00C06183" w:rsidP="00C06183">
      <w:pPr>
        <w:spacing w:line="480" w:lineRule="auto"/>
        <w:ind w:firstLine="720"/>
        <w:jc w:val="both"/>
        <w:rPr>
          <w:rFonts w:ascii="Arial" w:hAnsi="Arial" w:cs="Arial"/>
          <w:sz w:val="24"/>
          <w:szCs w:val="24"/>
        </w:rPr>
      </w:pPr>
      <w:r w:rsidRPr="00C06183">
        <w:rPr>
          <w:rFonts w:ascii="Arial" w:hAnsi="Arial" w:cs="Arial"/>
          <w:sz w:val="24"/>
          <w:szCs w:val="24"/>
        </w:rPr>
        <w:t>Following the snipping of the vesicles, the clathrin coat is disassembled, allowing the removed proteins to be reused for other clathrin-mediated endocytosis events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{"citationItems":[{"id":"ITEM-1","itemData":{"DOI":"10.1074/jbc.M113.491753","ISBN":"9798621123","ISSN":"00219258","abstract":"Background: Hsc70-auxilin rapidly disassembles clathrin coats from synaptic vesicles for function in neurotransmission. Results: Ssa1p-Swa2p cooperatively disassembles yeast clathrin into coat fragments containing multiple triskelia. Conclusion: Single-particle analysis of yeast clathrin coat disassembly leads to the identification of a partial coat intermediate. Significance: Discovery of a partial clathrin coat intermediate may shed light on coordinated vesicle transport events in the cell. © 2013 by The American Society for Biochemistry and Molecular Biology, Inc.","author":[{"dropping-particle":"","family":"Krantz","given":"Kelly C.","non-dropping-particle":"","parse-names":false,"suffix":""},{"dropping-particle":"","family":"Puchalla","given":"Jason","non-dropping-particle":"","parse-names":false,"suffix":""},{"dropping-particle":"","family":"Thapa","given":"Rajan","non-dropping-particle":"","parse-names":false,"suffix":""},{"dropping-particle":"","family":"Kobayashi","given":"Callie","non-dropping-particle":"","parse-names":false,"suffix":""},{"dropping-particle":"","family":"Bisher","given":"Margaret","non-dropping-particle":"","parse-names":false,"suffix":""},{"dropping-particle":"","family":"Viehweg","given":"Julie","non-dropping-particle":"","parse-names":false,"suffix":""},{"dropping-particle":"","family":"Carr","given":"Chavela M.","non-dropping-particle":"","parse-names":false,"suffix":""},{"dropping-particle":"","family":"Rye","given":"Hays S.","non-dropping-particle":"","parse-names":false,"suffix":""}],"container-title":"Journal of Biological Chemistry","id":"ITEM-1","issue":"37","issued":{"date-parts":[["2013"]]},"page":"26721-26730","title":"Clathrin coat disassembly by the yeast hsc70/Ssa1p and auxilin/Swa2p proteins observed by single-particle burst analysis spectroscopy","type":"article-journal","volume":"288"},"uris":["http://www.mendeley.com/documents/?uuid=a61b67fb-3403-49f6-b58e-3cee2f684fe5"]}],"mendeley":{"formattedCitation":"&lt;sup&gt;105&lt;/sup&gt;","plainTextFormattedCitation":"105","previouslyFormattedCitation":"&lt;sup&gt;105&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105</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At this stage, the vesicles are sorted based on their ligand and receptor contents to early endosomes for trafficking to either late endosomes and are transported to lysosomes for degradation (seen with the epidermal growth factor), or are recycled back to the membrane with the contents exocytosed (seen with the transferrin)</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{"citationItems":[{"id":"ITEM-1","itemData":{"DOI":"10.1016/j.cell.2005.12.038","ISSN":"00928674","PMID":"16530046","abstract":"Cells rely on the correct sorting of endocytic ligands and receptors for proper function. Early endosomes have been considered as the initial sorting station where cargos for degradation separate from those for recycling. Using live-cell imaging to monitor individual endosomes and ligand particles in real time, we have discovered a sorting mechanism that takes place prior to early endosome entry. We show that early endosomes are in fact comprised of two distinct populations: a dynamic population that is highly mobile on microtubules and matures rapidly toward late endosomes and a static population that matures much more slowly. Several cargos destined for degradation are preferentially targeted to the dynamic endosomes, whereas the recycling ligand transferrin is nonselectively delivered to all early endosomes and effectively enriched in the larger, static population. This pre-early endosome sorting process begins at clathrin-coated vesicles, depends on microtubule-dependent motility, and appears to involve endocytic adaptors. ©2006 Elsevier Inc.","author":[{"dropping-particle":"","family":"Lakadamyali","given":"Melike","non-dropping-particle":"","parse-names":false,"suffix":""},{"dropping-particle":"","family":"Rust","given":"Michael J.","non-dropping-particle":"","parse-names":false,"suffix":""},{"dropping-particle":"","family":"Zhuang","given":"Xiaowei","non-dropping-particle":"","parse-names":false,"suffix":""}],"container-title":"Cell","id":"ITEM-1","issue":"5","issued":{"date-parts":[["2006"]]},"page":"997-1009","title":"Ligands for clathrin-mediated endocytosis are differentially sorted into distinct populations of early endosomes","type":"article-journal","volume":"124"},"uris":["http://www.mendeley.com/documents/?uuid=02d11d01-8940-4d99-bbfa-432f5325e9c4"]},{"id":"ITEM-2","itemData":{"DOI":"10.1016/j.addr.2019.04.008","ISSN":"0169409X","abstract":"Nanoparticle-based therapeutics and diagnostics are commonly referred to as nanomedicine and may significantly impact the future of healthcare. However, the clinical translation of these technologies is challenging. One of these challenges is the efficient delivery of nanoparticles to specific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benefit. In this overview article, we review and discuss cellular internalization pathways, summarize the field`s understanding of how nanoparticle physicochemical properties affect cellular interactions, and explore and discuss intracellular nanoparticle trafficking and kinetics. Our overview may provide a valuable resource for researchers and may inspire new studies to expand our current understanding of nanotechnology-biology interactions at cellular and subcellular levels with the goal to improve clinical translation of nanomedicines.","author":[{"dropping-particle":"","family":"Donahue","given":"Nathan D.","non-dropping-particle":"","parse-names":false,"suffix":""},{"dropping-particle":"","family":"Acar","given":"Handan","non-dropping-particle":"","parse-names":false,"suffix":""},{"dropping-particle":"","family":"Wilhelm","given":"Stefan","non-dropping-particle":"","parse-names":false,"suffix":""}],"container-title":"Advanced Drug Delivery Reviews","id":"ITEM-2","issued":{"date-parts":[["2019","3"]]},"page":"68-96","publisher":"Elsevier B.V.","title":"Concepts of nanoparticle cellular uptake, intracellular trafficking, and kinetics in nanomedicine","type":"article-journal","volume":"143"},"uris":["http://www.mendeley.com/documents/?uuid=894c3c80-f0b3-3f80-94f0-703b7b15d7d3"]},{"id":"ITEM-3","itemData":{"DOI":"10.1126/sciadv.aba5379","ISSN":"23752548","PMID":"32743073","abstract":"Gene silencing using small-interfering RNA (siRNA) is a viable therapeutic approach; however, the lack of effective delivery systems limits its clinical translation. Herein, we doped conventional siRNA-liposomal formulations with gold nanoparticles to create “auroliposomes,” which significantly enhanced gene silencing. We targeted MICU1, a novel glycolytic switch in ovarian cancer, and delivered MICU1-siRNA using three delivery systems-commercial transfection agents, conventional liposomes, and auroliposomes. Low-dose siRNA via transfection or conventional liposomes was ineffective for MICU1 silencing; however, in auroliposomes, the same dose gave &gt;85% gene silencing. Efficacy was evident from both in vitro growth assays of ovarian cancer cells and in vivo tumor growth in human ovarian cell line-and patient-derived xenograft models. Incorporation of gold nanoparticles shifted intracellular uptake pathways such that liposomes avoided degradation within lysosomes. Auroliposomes were nontoxic to vital organs. Therefore, auroliposomes represent a novel siRNA delivery system with superior efficacy for multiple therapeutic applications.","author":[{"dropping-particle":"","family":"Nazir Hossen","given":"Md","non-dropping-particle":"","parse-names":false,"suffix":""},{"dropping-particle":"","family":"Wang","given":"Lin","non-dropping-particle":"","parse-names":false,"suffix":""},{"dropping-particle":"","family":"Chinthalapally","given":"Harisha R","non-dropping-particle":"","parse-names":false,"suffix":""},{"dropping-particle":"","family":"Robertson","given":"Joe D","non-dropping-particle":"","parse-names":false,"suffix":""},{"dropping-particle":"","family":"Fung","given":"Kar Ming","non-dropping-particle":"","parse-names":false,"suffix":""},{"dropping-particle":"","family":"Wilhelm","given":"Stefan","non-dropping-particle":"","parse-names":false,"suffix":""},{"dropping-particle":"","family":"Bieniasz","given":"Magdalena","non-dropping-particle":"","parse-names":false,"suffix":""},{"dropping-particle":"","family":"Bhattacharya","given":"Resham","non-dropping-particle":"","parse-names":false,"suffix":""},{"dropping-particle":"","family":"Mukherjee","given":"Priyabrata","non-dropping-particle":"","parse-names":false,"suffix":""}],"container-title":"Science Advances","id":"ITEM-3","issue":"30","issued":{"date-parts":[["2020","7","22"]]},"page":"eaba5379","title":"Switching the intracellular pathway and enhancing the therapeutic efficacy of small interfering RNA by auroliposome","type":"article-journal","volume":"6"},"uris":["http://www.mendeley.com/documents/?uuid=89c2a3fe-879e-4821-b2bd-20a1ca0deeac"]}],"mendeley":{"formattedCitation":"&lt;sup&gt;106–108&lt;/sup&gt;","plainTextFormattedCitation":"106–108","previouslyFormattedCitation":"&lt;sup&gt;106–108&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106–108</w:t>
      </w:r>
      <w:r w:rsidRPr="00C06183">
        <w:rPr>
          <w:rFonts w:ascii="Arial" w:hAnsi="Arial" w:cs="Arial"/>
          <w:sz w:val="24"/>
          <w:szCs w:val="24"/>
        </w:rPr>
        <w:fldChar w:fldCharType="end"/>
      </w:r>
      <w:r w:rsidRPr="00C06183">
        <w:rPr>
          <w:rFonts w:ascii="Arial" w:hAnsi="Arial" w:cs="Arial"/>
          <w:sz w:val="24"/>
          <w:szCs w:val="24"/>
        </w:rPr>
        <w:t xml:space="preserve"> The recycling endosome has been shown to traffic to either the apical surface or the basal/basolateral surfaces in other cell types such as blood-brain barrier endothelial cells and epithelial cells, which could be useful as a transcytotic pathway for nanoparticle tumor </w:t>
      </w:r>
      <w:r w:rsidRPr="00C06183">
        <w:rPr>
          <w:rFonts w:ascii="Arial" w:hAnsi="Arial" w:cs="Arial"/>
          <w:sz w:val="24"/>
          <w:szCs w:val="24"/>
        </w:rPr>
        <w:lastRenderedPageBreak/>
        <w:t>delivery</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{"citationItems":[{"id":"ITEM-1","itemData":{"DOI":"10.1016/bs.apha.2014.06.001","ISSN":"0031-9333","abstract":"Tuma, Pamela L., and Ann L. Hubbard. Transcytosis: Crossing Cellular Barriers. Physiol Rev 83: 871–932, 2003; 10.1152/physrev.00001.2003.—Transcytosis, the vesicular transport of macromolecules from one side of a cell to the other, is a strategy used by multicellular organisms to selectively move material between two environments without altering the unique compositions of those environments. In this review, we summarize our knowledge of the different cell types using transcytosis in vivo, the variety of cargo moved, and the diverse pathways for delivering that cargo. We evaluate in vitro models that are currently being used to study transcytosis. Caveolae-mediated transcytosis by endothelial cells that line the microvasculature and carry circulating plasma proteins to the interstitium is explained in more detail, as is clathrin-mediated transcytosis of IgA by epithelial cells of the digestive tract. The molecular basis of vesicle traffic is discussed, with emphasis on the gaps and uncertainties in our understanding of the molecules and mechanisms that regulate transcytosis. In our view there is still much to be learned about this fundamental process.","author":[{"dropping-particle":"","family":"Preston","given":"Jane E.","non-dropping-particle":"","parse-names":false,"suffix":""},{"dropping-particle":"","family":"Joan Abbott","given":"N.","non-dropping-particle":"","parse-names":false,"suffix":""},{"dropping-particle":"","family":"Begley","given":"David J.","non-dropping-particle":"","parse-names":false,"suffix":""}],"container-title":"Physiological Reviews","edition":"1","id":"ITEM-1","issue":"3","issued":{"date-parts":[["2014","7"]]},"page":"147-163","publisher":"Elsevier Inc.","title":"Transcytosis of Macromolecules at the Blood–Brain Barrier","type":"chapter","volume":"83"},"uris":["http://www.mendeley.com/documents/?uuid=c459417a-d258-4268-a0de-aaa26b82b5f9"]},{"id":"ITEM-2","itemData":{"DOI":"10.1152/physrev.00001.2003","ISSN":"00319333","PMID":"12843411","abstract":"Transcytosis, the vesicular transport of macromolecules from one side of a cell to the other, is a strategy used by multicellular organisms to selectively move material between two environments without altering the unique compositions of those environments. In this review, we summarize our knowledge of the different cell types using transcytosis in vivo, the variety of cargo moved, and the diverse pathways for delivering that cargo. We evaluate in vitro models that are currently being used to study transcytosis. Caveolae-mediated transcytosis by endothelial cells that line the microvasculature and carry circulating plasma proteins to the interstitium is explained in more detail, as is clathrin-mediated transcytosis of IgA by epithelial cells of the digestive tract. The molecular basis of vesicle traffic is discussed, with emphasis on the gaps and uncertainties in our understanding of the molecules and mechanisms that regulate transcytosis. In our view there is still much to be learned about this fundamental process.","author":[{"dropping-particle":"","family":"Tuma","given":"Pamela L.","non-dropping-particle":"","parse-names":false,"suffix":""},{"dropping-particle":"","family":"Hubbard","given":"Ann L.","non-dropping-particle":"","parse-names":false,"suffix":""}],"container-title":"Physiological Reviews","id":"ITEM-2","issue":"3","issued":{"date-parts":[["2003","7"]]},"page":"871-932","title":"Transcytosis: Crossing cellular barriers","type":"article","volume":"83"},"uris":["http://www.mendeley.com/documents/?uuid=e3ec1c52-08c8-4183-96ca-6a984570f8c4"]}],"mendeley":{"formattedCitation":"&lt;sup&gt;109,110&lt;/sup&gt;","plainTextFormattedCitation":"109,110","previouslyFormattedCitation":"&lt;sup&gt;109,110&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109,110</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Clathrin-mediated endocytosis has been of particular interest for blood-brain barrier permeability</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{"citationItems":[{"id":"ITEM-1","itemData":{"DOI":"10.1155/2013/703545","ISSN":"16878876","abstract":"Transport of macromolecules across the blood-brain-barrier (BBB) requires both specific and nonspecific interactions between macromolecules and proteins/receptors expressed on the luminal and/or the abluminal surfaces of the brain capillary endothelial cells. Endocytosis and transcytosis play important roles in the distribution of macromolecules. Due to the tight junction of BBB, brain delivery of traditional therapeutic proteins with large molecular weight is generally not possible. There are multiple pathways through which macromolecules can be taken up into cells through both specific and nonspecific interactions with proteins/receptors on the cell surface. This review is focused on the current knowledge of receptor-mediated endocytosis/transcytosis and brain delivery using the Angiopep-2-conjugated system and the molecular Trojan horses. In addition, the role of neonatal Fc receptor (FcRn) in regulating the efflux of Immunoglobulin G (IgG) from brain to blood, and approaches to improve the pharmacokinetics of therapeutic biologics by generating Fc fusion proteins, and increasing the pH dependent binding affinity between Fc and FcRn, are discussed. © 2013 Guangqing Xiao and Liang-Shang Gan.","author":[{"dropping-particle":"","family":"Xiao","given":"Guangqing","non-dropping-particle":"","parse-names":false,"suffix":""},{"dropping-particle":"","family":"Gan","given":"Liang Shang","non-dropping-particle":"","parse-names":false,"suffix":""}],"container-title":"International Journal of Cell Biology","id":"ITEM-1","issued":{"date-parts":[["2013"]]},"title":"Receptor-mediated endocytosis and brain delivery of therapeutic biologics","type":"article-journal","volume":"2013"},"uris":["http://www.mendeley.com/documents/?uuid=8bd8b2e3-a936-44ad-b05c-5e89aec783f0"]},{"id":"ITEM-2","itemData":{"DOI":"10.1021/acsnano.7b08172","ISSN":"1936086X","abstract":"Excess iron deposition in the brain often causes oxidative stress-related damage and necrosis of dopaminergic neurons in the substantia nigra and has been reported to be one of the major vulnerability factors in Parkinson's disease (PD). Iron chelation therapy using deferoxamine (DFO) may inhibit this nigrostriatal degeneration and prevent the progress of PD. However, DFO shows very short half-life in vivo and hardly penetrates the blood brain barrier (BBB). Hence, it is of great interest to develop DFO formulations for safe and efficient intracerebral drug delivery. Herein, we report a polymeric nanoparticle system modified with brain-targeting peptide rabies virus glycoprotein (RVG) 29 that can intracerebrally deliver DFO. The nanoparticle system penetrates the BBB possibly through specific receptor-mediated endocytosis triggered by the RVG29 peptide. Administration of these nanoparticles significantly decreased iron content and oxidative stress levels in the substantia nigra and striatum of PD mice and effectively reduced their dopaminergic neuron damage and as reversed their neurobehavioral deficits, without causing any overt adverse effects in the brain or other organs. This DFO-based nanoformulation holds great promise for delivery of DFO into the brain and for realizing iron chelation therapy in PD treatment.","author":[{"dropping-particle":"","family":"You","given":"Linhao","non-dropping-particle":"","parse-names":false,"suffix":""},{"dropping-particle":"","family":"Wang","given":"Jing","non-dropping-particle":"","parse-names":false,"suffix":""},{"dropping-particle":"","family":"Liu","given":"Tianqing","non-dropping-particle":"","parse-names":false,"suffix":""},{"dropping-particle":"","family":"Zhang","given":"Yinlong","non-dropping-particle":"","parse-names":false,"suffix":""},{"dropping-particle":"","family":"Han","given":"Xuexiang","non-dropping-particle":"","parse-names":false,"suffix":""},{"dropping-particle":"","family":"Wang","given":"Ting","non-dropping-particle":"","parse-names":false,"suffix":""},{"dropping-particle":"","family":"Guo","given":"Shanshan","non-dropping-particle":"","parse-names":false,"suffix":""},{"dropping-particle":"","family":"Dong","given":"Tianyu","non-dropping-particle":"","parse-names":false,"suffix":""},{"dropping-particle":"","family":"Xu","given":"Junchao","non-dropping-particle":"","parse-names":false,"suffix":""},{"dropping-particle":"","family":"Anderson","given":"Gregory J.","non-dropping-particle":"","parse-names":false,"suffix":""},{"dropping-particle":"","family":"Liu","given":"Qiang","non-dropping-particle":"","parse-names":false,"suffix":""},{"dropping-particle":"","family":"Chang","given":"Yan Zhong","non-dropping-particle":"","parse-names":false,"suffix":""},{"dropping-particle":"","family":"Lou","given":"Xin","non-dropping-particle":"","parse-names":false,"suffix":""},{"dropping-particle":"","family":"Nie","given":"Guangjun","non-dropping-particle":"","parse-names":false,"suffix":""}],"container-title":"ACS Nano","id":"ITEM-2","issue":"5","issued":{"date-parts":[["2018"]]},"page":"4123-4139","title":"Targeted Brain Delivery of Rabies Virus Glycoprotein 29-Modified Deferoxamine-Loaded Nanoparticles Reverses Functional Deficits in Parkinsonian Mice","type":"article-journal","volume":"12"},"uris":["http://www.mendeley.com/documents/?uuid=0994da5b-7db9-4047-a3b8-6a23018271b9"]}],"mendeley":{"formattedCitation":"&lt;sup&gt;111,112&lt;/sup&gt;","plainTextFormattedCitation":"111,112","previouslyFormattedCitation":"&lt;sup&gt;111,112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111,112</w:t>
      </w:r>
      <w:r w:rsidRPr="00C06183">
        <w:rPr>
          <w:rFonts w:ascii="Arial" w:hAnsi="Arial" w:cs="Arial"/>
          <w:sz w:val="24"/>
          <w:szCs w:val="24"/>
        </w:rPr>
        <w:fldChar w:fldCharType="end"/>
      </w:r>
      <w:r w:rsidRPr="00C06183">
        <w:rPr>
          <w:rFonts w:ascii="Arial" w:hAnsi="Arial" w:cs="Arial"/>
          <w:sz w:val="24"/>
          <w:szCs w:val="24"/>
        </w:rPr>
        <w:t xml:space="preserve"> though it may still be relevant for nanoparticle extravasation in tumor vasculature. This concept is evidenced by Bendas et al., who used liposomes conjugated with antibodies against vascular cell adhesion molecule 1 (VCAM-1), which is expressed on activated tumor endothelial cells, to access a clathrin-mediated uptake pathway in a mouse xenograft tumor model (Colo677 - human lung cancer)</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{"citationItems":[{"id":"ITEM-1","itemData":{"DOI":"10.1016/j.bbamem.2007.12.021","ISSN":"00052736","PMID":"18211818","abstract":"Targeting the tumor vasculature and selectively modifying endothelial functions is an attractive anti-tumor strategy. We prepared polyethyleneglycol modified immunoliposomes (IL) directed against vascular cell adhesion molecule 1 (VCAM-1), a surface receptor over-expressed on tumor vessels, and investigated the liposomal targetability in vitro and in vivo. In vitro, anti-VCAM-1 liposomes displayed specific binding to activated endothelial cells under static conditions, as well as under simulated blood flow conditions. The in vivo targeting of IL was analysed in mice bearing human Colo 677 tumor xenografts 30 min and 24 h post i.v. injection. Whereas biodistribution studies using [3H]-labelled liposomes displayed only marginal higher tumor accumulation of VCAM-1 targeted versus unspecific ILs, fluorescence microscopy evaluation revealed that their localisations within tumors differed strongly. VCAM-1 targeted ILs accumulated in tumor vessels with increasing intensities from 30 min to 24 h, while control ILs accumulated in the tumor tissue by passive diffusion. ILs that accumulated in non-affected organs, mainly liver and spleen, primarily co-localised with macrophages. This is the first morphological evidence for selective in vivo targeting of tumor vessels using ILs. VCAM-directed ILs are candidate drug delivery systems for therapeutic anti-cancer approaches designed to alter endothelial function. © 2007 Elsevier B.V. All rights reserved.","author":[{"dropping-particle":"","family":"Gosk","given":"Sara","non-dropping-particle":"","parse-names":false,"suffix":""},{"dropping-particle":"","family":"Moos","given":"Torben","non-dropping-particle":"","parse-names":false,"suffix":""},{"dropping-particle":"","family":"Gottstein","given":"Claudia","non-dropping-particle":"","parse-names":false,"suffix":""},{"dropping-particle":"","family":"Bendas","given":"Gerd","non-dropping-particle":"","parse-names":false,"suffix":""}],"container-title":"Biochimica et Biophysica Acta - Biomembranes","id":"ITEM-1","issue":"4","issued":{"date-parts":[["2008"]]},"page":"854-863","title":"VCAM-1 directed immunoliposomes selectively target tumor vasculature in vivo","type":"article-journal","volume":"1778"},"uris":["http://www.mendeley.com/documents/?uuid=e432e0a2-ed73-4d72-9624-abb528d835d1"]}],"mendeley":{"formattedCitation":"&lt;sup&gt;113&lt;/sup&gt;","plainTextFormattedCitation":"113","previouslyFormattedCitation":"&lt;sup&gt;113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113</w:t>
      </w:r>
      <w:r w:rsidRPr="00C06183">
        <w:rPr>
          <w:rFonts w:ascii="Arial" w:hAnsi="Arial" w:cs="Arial"/>
          <w:sz w:val="24"/>
          <w:szCs w:val="24"/>
        </w:rPr>
        <w:fldChar w:fldCharType="end"/>
      </w:r>
      <w:r w:rsidRPr="00C06183">
        <w:rPr>
          <w:rFonts w:ascii="Arial" w:hAnsi="Arial" w:cs="Arial"/>
          <w:sz w:val="24"/>
          <w:szCs w:val="24"/>
        </w:rPr>
        <w:t xml:space="preserve"> Further research is needed to determine if a basal recycling endosome pathway can be exploited for the transcytotic delivery of nanomedicine across tumor blood vessels. </w:t>
      </w:r>
    </w:p>
    <w:p w14:paraId="131565C3" w14:textId="77777777" w:rsidR="00C06183" w:rsidRPr="00C06183" w:rsidRDefault="00C06183" w:rsidP="00C06183">
      <w:pPr>
        <w:spacing w:line="480" w:lineRule="auto"/>
        <w:jc w:val="both"/>
        <w:rPr>
          <w:rFonts w:ascii="Arial" w:hAnsi="Arial" w:cs="Arial"/>
          <w:sz w:val="24"/>
          <w:szCs w:val="24"/>
        </w:rPr>
      </w:pPr>
    </w:p>
    <w:p w14:paraId="36EDACC0" w14:textId="26889446" w:rsidR="00C06183" w:rsidRDefault="00E34AB4" w:rsidP="00721691">
      <w:pPr>
        <w:pStyle w:val="Heading4"/>
      </w:pPr>
      <w:r>
        <w:t>1.</w:t>
      </w:r>
      <w:r w:rsidR="00C06183" w:rsidRPr="00C06183">
        <w:t>3.2.2</w:t>
      </w:r>
      <w:r w:rsidR="00C06183" w:rsidRPr="00C06183">
        <w:tab/>
        <w:t>Caveolae-mediated endocytosis</w:t>
      </w:r>
    </w:p>
    <w:p w14:paraId="357066D9" w14:textId="77777777" w:rsidR="00721691" w:rsidRPr="00721691" w:rsidRDefault="00721691" w:rsidP="00721691"/>
    <w:p w14:paraId="57092375" w14:textId="0C0F2FFD"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t>Caveolae-mediated endocytosis is another form of receptor specific endocytosis that is based on caveolae, membrane invaginations that are furnished with cholesterol and sphingolipids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{"citationItems":[{"id":"ITEM-1","itemData":{"DOI":"10.1091/mbc.e04-03-0189","ISSN":"1059-1524","abstract":"Internalization of some plasma membrane constituents, bacterial toxins, and viruses occurs via caveolae; however, the factors that regulate caveolar internalization are still unclear. Here, we demonstrate that a brief treatment of cultured cells with natural or synthetic glycosphingolipids (GSLs) or elevation of cholesterol (either by acute treatment with mβ-cyclodextrin/cholesterol or by alteration of growth conditions) dramatically stimulates caveolar endocytosis with little or no effect on other endocytic mechanisms. These treatments also stimulated the movement of GFP-labeled vesicles in cells transfected with caveolin-1-GFP and reduced the number of surface-connected caveolae seen by electron microscopy. In contrast, overexpression of caveolin-1 decreased caveolar uptake, but treatment with GSLs reversed this effect and stimulated caveolar endocytosis. Stimulation of caveolar endocytosis did not occur using ceramide or phosphatidylcholine and was not due to GSL degradation because similar results were obtained using a nonhydrolyzable GSL analog. Stimulated caveolar endocytosis required src kinase and PKC-α activity as shown by i) use of pharmacological inhibitors, ii) expression of kinase inactive src or dominant negative PKCα, and iii) stimulation of src kinase activity upon addition of GSLs or cholesterol. These results suggest that caveolar endocytosis is regulated by a balance of caveolin-1, cholesterol, and GSLs at the plasma membrane.","author":[{"dropping-particle":"","family":"Sharma","given":"Deepak K.","non-dropping-particle":"","parse-names":false,"suffix":""},{"dropping-particle":"","family":"Brown","given":"Jennifer C.","non-dropping-particle":"","parse-names":false,"suffix":""},{"dropping-particle":"","family":"Choudhury","given":"Amit","non-dropping-particle":"","parse-names":false,"suffix":""},{"dropping-particle":"","family":"Peterson","given":"Timothy E.","non-dropping-particle":"","parse-names":false,"suffix":""},{"dropping-particle":"","family":"Holicky","given":"Eileen","non-dropping-particle":"","parse-names":false,"suffix":""},{"dropping-particle":"","family":"Marks","given":"David L.","non-dropping-particle":"","parse-names":false,"suffix":""},{"dropping-particle":"","family":"Simari","given":"Robert","non-dropping-particle":"","parse-names":false,"suffix":""},{"dropping-particle":"","family":"Parton","given":"Robert G.","non-dropping-particle":"","parse-names":false,"suffix":""},{"dropping-particle":"","family":"Pagano","given":"Richard E.","non-dropping-particle":"","parse-names":false,"suffix":""}],"container-title":"Molecular Biology of the Cell","id":"ITEM-1","issue":"7","issued":{"date-parts":[["2004","7"]]},"page":"3114-3122","title":"Selective Stimulation of Caveolar Endocytosis by Glycosphingolipids and Cholesterol","type":"article-journal","volume":"15"},"uris":["http://www.mendeley.com/documents/?uuid=b6102236-a30d-4e6b-8839-25010aa3d228"]}],"mendeley":{"formattedCitation":"&lt;sup&gt;114&lt;/sup&gt;","plainTextFormattedCitation":"114","previouslyFormattedCitation":"&lt;sup&gt;114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114</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Caveolae are not ubiquitous; most cell types contain caveolae; however, they are more prevalent in endothelial cells, epithelial cells, smooth and striated muscle cells, adipocytes, and fibroblasts</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S0169-409X(01)00139-9","ISSN":"0169409X","author":[{"dropping-particle":"","family":"Couet","given":"Jacques","non-dropping-particle":"","parse-names":false,"suffix":""},{"dropping-particle":"","family":"Belanger","given":"Martin M","non-dropping-particle":"","parse-names":false,"suffix":""},{"dropping-particle":"","family":"Roussel","given":"Elise","non-dropping-particle":"","parse-names":false,"suffix":""},{"dropping-particle":"","family":"Drolet","given":"Marie-Claude","non-dropping-particle":"","parse-names":false,"suffix":""}],"container-title":"Advanced Drug Delivery Reviews","id":"ITEM-1","issue":"3","issued":{"date-parts":[["2001","7"]]},"page":"223-235","title":"Cell biology of caveolae and caveolin","type":"article-journal","volume":"49"},"uris":["http://www.mendeley.com/documents/?uuid=1fa462f4-9353-47e2-a034-b2a99e994b24"]}],"mendeley":{"formattedCitation":"&lt;sup&gt;115&lt;/sup&gt;","plainTextFormattedCitation":"115","previouslyFormattedCitation":"&lt;sup&gt;115&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115</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 xml:space="preserve">Alongside their endocytic capabilities, they have several other functions, including reducing the tension a cell experiences under mechanical stress </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{"citationItems":[{"id":"ITEM-1","itemData":{"DOI":"10.1016/j.cell.2010.12.031","ISSN":"00928674","PMID":"21295700","abstract":"The functions of caveolae, the characteristic plasma membrane invaginations, remain debated. Their abundance in cells experiencing mechanical stress led us to investigate their role in membrane-mediated mechanical response. Acute mechanical stress induced by osmotic swelling or by uniaxial stretching results in a rapid disappearance of caveolae, in a reduced caveolin/Cavin1 interaction, and in an increase of free caveolins at the plasma membrane. Tether-pulling force measurements in cells and in plasma membrane spheres demonstrate that caveola flattening and disassembly is the primary actin- and ATP-independent cell response that buffers membrane tension surges during mechanical stress. Conversely, stress release leads to complete caveola reassembly in an actin- and ATP-dependent process. The absence of a functional caveola reservoir in myotubes from muscular dystrophic patients enhanced membrane fragility under mechanical stress. Our findings support a new role for caveolae as a physiological membrane reservoir that quickly accommodates sudden and acute mechanical stresses. PaperFlick: © 2011 Elsevier Inc.","author":[{"dropping-particle":"","family":"Sinha","given":"Bidisha","non-dropping-particle":"","parse-names":false,"suffix":""},{"dropping-particle":"","family":"Köster","given":"Darius","non-dropping-particle":"","parse-names":false,"suffix":""},{"dropping-particle":"","family":"Ruez","given":"Richard","non-dropping-particle":"","parse-names":false,"suffix":""},{"dropping-particle":"","family":"Gonnord","given":"Pauline","non-dropping-particle":"","parse-names":false,"suffix":""},{"dropping-particle":"","family":"Bastiani","given":"Michele","non-dropping-particle":"","parse-names":false,"suffix":""},{"dropping-particle":"","family":"Abankwa","given":"Daniel","non-dropping-particle":"","parse-names":false,"suffix":""},{"dropping-particle":"V.","family":"Stan","given":"Radu","non-dropping-particle":"","parse-names":false,"suffix":""},{"dropping-particle":"","family":"Butler-Browne","given":"Gillian","non-dropping-particle":"","parse-names":false,"suffix":""},{"dropping-particle":"","family":"Vedie","given":"Benoit","non-dropping-particle":"","parse-names":false,"suffix":""},{"dropping-particle":"","family":"Johannes","given":"Ludger","non-dropping-particle":"","parse-names":false,"suffix":""},{"dropping-particle":"","family":"Morone","given":"Nobuhiro","non-dropping-particle":"","parse-names":false,"suffix":""},{"dropping-particle":"","family":"Parton","given":"Robert G.","non-dropping-particle":"","parse-names":false,"suffix":""},{"dropping-particle":"","family":"Raposo","given":"Graa","non-dropping-particle":"","parse-names":false,"suffix":""},{"dropping-particle":"","family":"Sens","given":"Pierre","non-dropping-particle":"","parse-names":false,"suffix":""},{"dropping-particle":"","family":"Lamaze","given":"Christophe","non-dropping-particle":"","parse-names":false,"suffix":""},{"dropping-particle":"","family":"Nassoy","given":"Pierre","non-dropping-particle":"","parse-names":false,"suffix":""}],"container-title":"Cell","id":"ITEM-1","issue":"3","issued":{"date-parts":[["2011"]]},"page":"402-413","title":"Cells respond to mechanical stress by rapid disassembly of caveolae","type":"article-journal","volume":"144"},"uris":["http://www.mendeley.com/documents/?uuid=d383f4db-0211-4e41-9fdd-fcfd1d5172d2"]}],"mendeley":{"formattedCitation":"&lt;sup&gt;116&lt;/sup&gt;","plainTextFormattedCitation":"116","previouslyFormattedCitation":"&lt;sup&gt;116&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116</w:t>
      </w:r>
      <w:r w:rsidRPr="00C06183">
        <w:rPr>
          <w:rFonts w:ascii="Arial" w:hAnsi="Arial" w:cs="Arial"/>
          <w:sz w:val="24"/>
          <w:szCs w:val="24"/>
        </w:rPr>
        <w:fldChar w:fldCharType="end"/>
      </w:r>
      <w:r w:rsidRPr="00C06183">
        <w:rPr>
          <w:rFonts w:ascii="Arial" w:hAnsi="Arial" w:cs="Arial"/>
          <w:sz w:val="24"/>
          <w:szCs w:val="24"/>
        </w:rPr>
        <w:t>, regulating intracellular signal transduction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{"citationItems":[{"id":"ITEM-1","itemData":{"DOI":"10.1096/fj.14-252320","ISSN":"15306860","abstract":"Caveolae, flask-like invaginations of the plasma membrane, were discovered nearly 60 years ago. Originally regarded as fixation artifacts of electron microscopy, the functional role for these structures has taken decades to unravel. The discovery of the caveolin protein in 1992 (by the late Richard G.W. Anderson) accelerated progress in defining the contribution of caveolae to cellular physiology and pathophysiology. The three isoforms of caveolin (caveolin-1, -2, and -3) are caveolae-resident structural and scaffolding proteins that are critical for the formation of caveolae and their localization of signaling entities. A PubMed search for \"caveolae\" reveals </w:instrText>
      </w:r>
      <w:r w:rsidR="008C387C">
        <w:rPr>
          <w:rFonts w:ascii="Cambria Math" w:hAnsi="Cambria Math" w:cs="Cambria Math"/>
          <w:sz w:val="24"/>
          <w:szCs w:val="24"/>
        </w:rPr>
        <w:instrText>∼</w:instrText>
      </w:r>
      <w:r w:rsidR="008C387C">
        <w:rPr>
          <w:rFonts w:ascii="Arial" w:hAnsi="Arial" w:cs="Arial"/>
          <w:sz w:val="24"/>
          <w:szCs w:val="24"/>
        </w:rPr>
        <w:instrText xml:space="preserve">280 publications from their discovery in the 1950s to the early 1990s, whereas a search for \"caveolae or caveolin\" after 1990, identifies </w:instrText>
      </w:r>
      <w:r w:rsidR="008C387C">
        <w:rPr>
          <w:rFonts w:ascii="Cambria Math" w:hAnsi="Cambria Math" w:cs="Cambria Math"/>
          <w:sz w:val="24"/>
          <w:szCs w:val="24"/>
        </w:rPr>
        <w:instrText>∼</w:instrText>
      </w:r>
      <w:r w:rsidR="008C387C">
        <w:rPr>
          <w:rFonts w:ascii="Arial" w:hAnsi="Arial" w:cs="Arial"/>
          <w:sz w:val="24"/>
          <w:szCs w:val="24"/>
        </w:rPr>
        <w:instrText>7000 entries. Most work on the regulation of biological responses by caveolae and caveolin since 1990 has focused on caveolae as plasma membrane microdomains and the function of caveolin proteins at the plasma membrane. By contrast, our recent work and that of others has explored the localization of caveolins in multiple cellular membrane compartments and in the regulation of intracellular signaling. Cellular organelles that contain caveolin include mitochondria, nuclei and the endoplasmic reticulum. Such intracellular localization allows for a complexity of responses to extracellular stimuli by caveolin and the possibility of novel organelle-targeted therapeutics. This review focuses on the impact of intracellular localization of caveolin on signal transduction and cell regulation.","author":[{"dropping-particle":"","family":"Fridolfsson","given":"Heidi N.","non-dropping-particle":"","parse-names":false,"suffix":""},{"dropping-particle":"","family":"Roth","given":"David M.","non-dropping-particle":"","parse-names":false,"suffix":""},{"dropping-particle":"","family":"Insel","given":"Paul A.","non-dropping-particle":"","parse-names":false,"suffix":""},{"dropping-particle":"","family":"Patel","given":"Hemal H.","non-dropping-particle":"","parse-names":false,"suffix":""}],"container-title":"FASEB Journal","id":"ITEM-1","issue":"9","issued":{"date-parts":[["2014"]]},"page":"3823-3831","title":"Regulation of intracellular signaling and function by caveolin","type":"article-journal","volume":"28"},"uris":["http://www.mendeley.com/documents/?uuid=19402570-b5ff-4872-9a5c-f48c0f85a74e"]}],"mendeley":{"formattedCitation":"&lt;sup&gt;117&lt;/sup&gt;","plainTextFormattedCitation":"117","previouslyFormattedCitation":"&lt;sup&gt;117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117</w:t>
      </w:r>
      <w:r w:rsidRPr="00C06183">
        <w:rPr>
          <w:rFonts w:ascii="Arial" w:hAnsi="Arial" w:cs="Arial"/>
          <w:sz w:val="24"/>
          <w:szCs w:val="24"/>
        </w:rPr>
        <w:fldChar w:fldCharType="end"/>
      </w:r>
      <w:r w:rsidRPr="00C06183">
        <w:rPr>
          <w:rFonts w:ascii="Arial" w:hAnsi="Arial" w:cs="Arial"/>
          <w:sz w:val="24"/>
          <w:szCs w:val="24"/>
        </w:rPr>
        <w:t xml:space="preserve"> and mediating neurovascular coupling</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{"citationItems":[{"id":"ITEM-1","itemData":{"DOI":"10.1038/s41586-020-2026-1","ISSN":"14764687","PMID":"32076269","abstract":"Proper brain function depends on neurovascular coupling: neural activity rapidly increases local blood flow to meet moment-to-moment changes in regional brain energy demand1. Neurovascular coupling is the basis for functional brain imaging2, and impaired neurovascular coupling is implicated in neurodegeneration1. The underlying molecular and cellular mechanisms of neurovascular coupling remain poorly understood. The conventional view is that neurons or astrocytes release vasodilatory factors that act directly on smooth muscle cells (SMCs) to induce arterial dilation and increase local blood flow1. Here, using two-photon microscopy to image neural activity and vascular dynamics simultaneously in the barrel cortex of awake mice under whisker stimulation, we found that arteriolar endothelial cells (aECs) have an active role in mediating neurovascular coupling. We found that aECs, unlike other vascular segments of endothelial cells in the central nervous system, have abundant caveolae. Acute genetic perturbations that eliminated caveolae in aECs, but not in neighbouring SMCs, impaired neurovascular coupling. Notably, caveolae function in aECs is independent of the endothelial NO synthase (eNOS)-mediated NO pathway. Ablation of both caveolae and eNOS completely abolished neurovascular coupling, whereas the single mutants exhibited partial impairment, revealing that the caveolae-mediated pathway in aECs is a major contributor to neurovascular coupling. Our findings indicate that vasodilation is largely mediated by endothelial cells that actively relay signals from the central nervous system to SMCs via a caveolae-dependent pathway.","author":[{"dropping-particle":"","family":"Chow","given":"Brian W.","non-dropping-particle":"","parse-names":false,"suffix":""},{"dropping-particle":"","family":"Nuñez","given":"Vicente","non-dropping-particle":"","parse-names":false,"suffix":""},{"dropping-particle":"","family":"Kaplan","given":"Luke","non-dropping-particle":"","parse-names":false,"suffix":""},{"dropping-particle":"","family":"Granger","given":"Adam J.","non-dropping-particle":"","parse-names":false,"suffix":""},{"dropping-particle":"","family":"Bistrong","given":"Karina","non-dropping-particle":"","parse-names":false,"suffix":""},{"dropping-particle":"","family":"Zucker","given":"Hannah L.","non-dropping-particle":"","parse-names":false,"suffix":""},{"dropping-particle":"","family":"Kumar","given":"Payal","non-dropping-particle":"","parse-names":false,"suffix":""},{"dropping-particle":"","family":"Sabatini","given":"Bernardo L.","non-dropping-particle":"","parse-names":false,"suffix":""},{"dropping-particle":"","family":"Gu","given":"Chenghua","non-dropping-particle":"","parse-names":false,"suffix":""}],"container-title":"Nature","id":"ITEM-1","issue":"7797","issued":{"date-parts":[["2020"]]},"page":"106-110","publisher":"Springer US","title":"Caveolae in CNS arterioles mediate neurovascular coupling","type":"article-journal","volume":"579"},"uris":["http://www.mendeley.com/documents/?uuid=015de9d2-dfa2-49b3-a2bc-8e741463148d"]}],"mendeley":{"formattedCitation":"&lt;sup&gt;118&lt;/sup&gt;","plainTextFormattedCitation":"118","previouslyFormattedCitation":"&lt;sup&gt;118&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118</w:t>
      </w:r>
      <w:r w:rsidRPr="00C06183">
        <w:rPr>
          <w:rFonts w:ascii="Arial" w:hAnsi="Arial" w:cs="Arial"/>
          <w:sz w:val="24"/>
          <w:szCs w:val="24"/>
        </w:rPr>
        <w:fldChar w:fldCharType="end"/>
      </w:r>
      <w:r w:rsidRPr="00C06183">
        <w:rPr>
          <w:rFonts w:ascii="Arial" w:hAnsi="Arial" w:cs="Arial"/>
          <w:sz w:val="24"/>
          <w:szCs w:val="24"/>
        </w:rPr>
        <w:t xml:space="preserve"> </w:t>
      </w:r>
    </w:p>
    <w:p w14:paraId="14A213F3" w14:textId="09284D83" w:rsidR="00C06183" w:rsidRPr="00C06183" w:rsidRDefault="00C06183" w:rsidP="00C06183">
      <w:pPr>
        <w:spacing w:line="480" w:lineRule="auto"/>
        <w:ind w:firstLine="720"/>
        <w:jc w:val="both"/>
        <w:rPr>
          <w:rFonts w:ascii="Arial" w:hAnsi="Arial" w:cs="Arial"/>
          <w:sz w:val="24"/>
          <w:szCs w:val="24"/>
        </w:rPr>
      </w:pPr>
      <w:r w:rsidRPr="00C06183">
        <w:rPr>
          <w:rFonts w:ascii="Arial" w:hAnsi="Arial" w:cs="Arial"/>
          <w:sz w:val="24"/>
          <w:szCs w:val="24"/>
        </w:rPr>
        <w:t xml:space="preserve">The caveolin family of proteins </w:t>
      </w:r>
      <w:proofErr w:type="gramStart"/>
      <w:r w:rsidRPr="00C06183">
        <w:rPr>
          <w:rFonts w:ascii="Arial" w:hAnsi="Arial" w:cs="Arial"/>
          <w:sz w:val="24"/>
          <w:szCs w:val="24"/>
        </w:rPr>
        <w:t>serve</w:t>
      </w:r>
      <w:proofErr w:type="gramEnd"/>
      <w:r w:rsidRPr="00C06183">
        <w:rPr>
          <w:rFonts w:ascii="Arial" w:hAnsi="Arial" w:cs="Arial"/>
          <w:sz w:val="24"/>
          <w:szCs w:val="24"/>
        </w:rPr>
        <w:t xml:space="preserve"> major roles in the functions of caveolae. Caveolin-1 is a cholesterol-binding structural protein that surrounds the invaginations and is necessary for the formation of caveolae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{"citationItems":[{"id":"ITEM-1","itemData":{"DOI":"10.1016/j.bbagen.2019.01.005","ISSN":"18728006","abstract":"Atherosclerosis is a lipid disease characterized by accumulation of low density lipoprotein (LDL) in the artery wall. The transport of LDL across the endothelium of coronary artery is an initiating event of atherosclerosis, whose mechanism remains poorly understood. In the last decade, it has been shown that in caveolin-1 (Cav-1) deficient mice, LDL infiltration in aorta wall is decreased and CD36 expression in aortas is down-regulated, leading to regression of atherosclerotic lesions. In the present study, we show that native LDL endocytosis is decreased in endothelial cells deficient in Cav-1 or CD36. We demonstrate that Cav-1 and CD36 interact in caveolae-rich domains by different biochemical approaches. In addition, confocal microscopy reveals some colocalization of Cav-1 with CD36. These findings indicate that caveolae and CD36 are involved in native LDL endocytosis and suggest that CD36 might be a good candidate for the transport of native LDL across the endothelium, an early event in atherosclerosis.","author":[{"dropping-particle":"","family":"Gerbod-Giannone","given":"Marie Christine","non-dropping-particle":"","parse-names":false,"suffix":""},{"dropping-particle":"","family":"Dallet","given":"Laurence","non-dropping-particle":"","parse-names":false,"suffix":""},{"dropping-particle":"","family":"Naudin","given":"Grégoire","non-dropping-particle":"","parse-names":false,"suffix":""},{"dropping-particle":"","family":"Sahin","given":"Annelise","non-dropping-particle":"","parse-names":false,"suffix":""},{"dropping-particle":"","family":"Decossas","given":"Marion","non-dropping-particle":"","parse-names":false,"suffix":""},{"dropping-particle":"","family":"Poussard","given":"Sylvie","non-dropping-particle":"","parse-names":false,"suffix":""},{"dropping-particle":"","family":"Lambert","given":"Olivier","non-dropping-particle":"","parse-names":false,"suffix":""}],"container-title":"Biochimica et Biophysica Acta - General Subjects","id":"ITEM-1","issue":"5","issued":{"date-parts":[["2019"]]},"page":"830-838","publisher":"Elsevier","title":"Involvement of caveolin-1 and CD36 in native LDL endocytosis by endothelial cells","type":"article-journal","volume":"1863"},"uris":["http://www.mendeley.com/documents/?uuid=ef5c297e-df9e-4cc9-ab84-c00ce69892ac"]}],"mendeley":{"formattedCitation":"&lt;sup&gt;119&lt;/sup&gt;","plainTextFormattedCitation":"119","previouslyFormattedCitation":"&lt;sup&gt;119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119</w:t>
      </w:r>
      <w:r w:rsidRPr="00C06183">
        <w:rPr>
          <w:rFonts w:ascii="Arial" w:hAnsi="Arial" w:cs="Arial"/>
          <w:sz w:val="24"/>
          <w:szCs w:val="24"/>
        </w:rPr>
        <w:fldChar w:fldCharType="end"/>
      </w:r>
      <w:r w:rsidR="00EF773E">
        <w:rPr>
          <w:rFonts w:ascii="Arial" w:hAnsi="Arial" w:cs="Arial"/>
          <w:sz w:val="24"/>
          <w:szCs w:val="24"/>
        </w:rPr>
        <w:t xml:space="preserve"> </w:t>
      </w:r>
      <w:r w:rsidRPr="00C06183">
        <w:rPr>
          <w:rFonts w:ascii="Arial" w:hAnsi="Arial" w:cs="Arial"/>
          <w:sz w:val="24"/>
          <w:szCs w:val="24"/>
        </w:rPr>
        <w:t>Caveolin-2 has a role in signal regulation and is dependent upon caveolin-1</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{"citationItems":[{"id":"ITEM-1","itemData":{"DOI":"10.1155/2011/809259","ISSN":"20902247","abstract":"Caveolin-2 is one of the major protein components of cholesterol- and glycosphingolipid-rich flask-shaped invaginations of plasma membrane caveolae. A new body of evidence suggests that caveolin-2 plays an important, and often more direct, role than caveolin-1 in regulating signaling and function in a cell- and tissue type-specific manner. The purpose of this paper is to primarily focus on discussing how these recent discoveries may help better understand the specific contribution of caveolin-2 to lipid raft- and caveolae-regulated cell/tissue-specific signaling and functions. Copyright © 2011 Grzegorz Sowa.","author":[{"dropping-particle":"","family":"Sowa","given":"Grzegorz","non-dropping-particle":"","parse-names":false,"suffix":""}],"container-title":"Biochemistry Research International","id":"ITEM-1","issued":{"date-parts":[["2011"]]},"title":"Novel insights into the role of caveolin-2 in cell- and tissue-specific signaling and function","type":"article-journal","volume":"2011"},"uris":["http://www.mendeley.com/documents/?uuid=dad2921a-735a-4f05-b1d4-e17fe8b4abf1"]}],"mendeley":{"formattedCitation":"&lt;sup&gt;120&lt;/sup&gt;","plainTextFormattedCitation":"120","previouslyFormattedCitation":"&lt;sup&gt;120&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120</w:t>
      </w:r>
      <w:r w:rsidRPr="00C06183">
        <w:rPr>
          <w:rFonts w:ascii="Arial" w:hAnsi="Arial" w:cs="Arial"/>
          <w:sz w:val="24"/>
          <w:szCs w:val="24"/>
        </w:rPr>
        <w:fldChar w:fldCharType="end"/>
      </w:r>
      <w:r w:rsidRPr="00C06183">
        <w:rPr>
          <w:rFonts w:ascii="Arial" w:hAnsi="Arial" w:cs="Arial"/>
          <w:sz w:val="24"/>
          <w:szCs w:val="24"/>
        </w:rPr>
        <w:t xml:space="preserve"> Caveolin-3 is similar to caveolin-1, however, it is </w:t>
      </w:r>
      <w:r w:rsidRPr="00C06183">
        <w:rPr>
          <w:rFonts w:ascii="Arial" w:hAnsi="Arial" w:cs="Arial"/>
          <w:sz w:val="24"/>
          <w:szCs w:val="24"/>
        </w:rPr>
        <w:lastRenderedPageBreak/>
        <w:t>mostly found in muscle cells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{"citationItems":[{"id":"ITEM-1","itemData":{"DOI":"10.1186/gb-2004-5-3-214","ISSN":"14656906","abstract":"The caveolin gene family has three members in vertebrates: caveolin-1, caveolin-2, and caveolin-3. So far, most caveolin-related research has been conducted in mammals, but the proteins have also been found in other animals, including Xenopus laevis, Fugu rubripes, and Caenorhabditis elegans. Caveolins can serve as protein markers of caveolae ('little caves'), invaginations in the plasma membrane 50-100 nanometers in diameter. Caveolins are found predominantly at the plasma membrane but also in the Golgi, the endoplasmic reticulum, in vesicles, and at cytosolic locations. They are expressed ubiquitously in mammals, but their expression levels vary considerably between tissues. The highest levels of caveolin-1 (also called caveolin, Cav-1 and VIP21) are found in terminally differentiated cell types, such as adipocytes, endothelia, smooth muscle cells, and type 1 pneumocytes. Caveolin-2 (Cav-2) is colocalized and coexpressed with Cav-1 and requires Cav-1 for proper membrane targeting; the Cav-2 gene also maps to the same chromosomal region as Cav-1 (7q31.1 in humans). Caveolin-3 (Cav-3) has greater protein-sequence similarity to Cav-1 than to Cav-2, but it is expressed mainly in muscle cells, including smooth, skeletal, and cardiac myocytes. Caveolins participate in many important cellular processes, including vesicular transport, cholesterol homeostasis, signal transduction, and tumor suppression. © 2004 BioMed Central Ltd.","author":[{"dropping-particle":"","family":"Williams","given":"Terence M.","non-dropping-particle":"","parse-names":false,"suffix":""},{"dropping-particle":"","family":"Lisanti","given":"Michael P.","non-dropping-particle":"","parse-names":false,"suffix":""}],"container-title":"Genome Biology","id":"ITEM-1","issue":"3","issued":{"date-parts":[["2004"]]},"page":"1-8","title":"The caveolin proteins","type":"article-journal","volume":"5"},"uris":["http://www.mendeley.com/documents/?uuid=3e49f350-947c-41b9-a7c2-174b91b233fa"]}],"mendeley":{"formattedCitation":"&lt;sup&gt;121&lt;/sup&gt;","plainTextFormattedCitation":"121","previouslyFormattedCitation":"&lt;sup&gt;121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121</w:t>
      </w:r>
      <w:r w:rsidRPr="00C06183">
        <w:rPr>
          <w:rFonts w:ascii="Arial" w:hAnsi="Arial" w:cs="Arial"/>
          <w:sz w:val="24"/>
          <w:szCs w:val="24"/>
        </w:rPr>
        <w:fldChar w:fldCharType="end"/>
      </w:r>
      <w:r w:rsidRPr="00C06183">
        <w:rPr>
          <w:rFonts w:ascii="Arial" w:hAnsi="Arial" w:cs="Arial"/>
          <w:sz w:val="24"/>
          <w:szCs w:val="24"/>
        </w:rPr>
        <w:t xml:space="preserve"> The more recently discovered </w:t>
      </w:r>
      <w:proofErr w:type="spellStart"/>
      <w:r w:rsidRPr="00C06183">
        <w:rPr>
          <w:rFonts w:ascii="Arial" w:hAnsi="Arial" w:cs="Arial"/>
          <w:sz w:val="24"/>
          <w:szCs w:val="24"/>
        </w:rPr>
        <w:t>cavin</w:t>
      </w:r>
      <w:proofErr w:type="spellEnd"/>
      <w:r w:rsidRPr="00C06183">
        <w:rPr>
          <w:rFonts w:ascii="Arial" w:hAnsi="Arial" w:cs="Arial"/>
          <w:sz w:val="24"/>
          <w:szCs w:val="24"/>
        </w:rPr>
        <w:t xml:space="preserve"> family of proteins also serve essential structural roles for the formation of caveolae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{"citationItems":[{"id":"ITEM-1","itemData":{"DOI":"10.1242/jcs.167866","ISSN":"14779137","abstract":"Caveolae are an abundant feature of the plasma membrane in many cells. Until recently, they were generally considered to be membrane invaginations whose formation primarily driven by integral membrane proteins called caveolins. However, the past decade has seen the emergence of the cavin family of peripheral membrane proteins as essential coat components and regulators of caveola biogenesis. In this Commentary, we summarise recent data on the role of cavins in caveola formation, highlighting structural studies that provide new insights into cavin coat assembly. In mammals, there are four cavin family members that associate through homo- and hetero-oligomerisation to form distinct subcomplexes on caveolae, which can be released into the cell in response to stimuli. Studies from several labs have provided a better understanding of cavin stoichiometry and the molecular basis for their oligomerisation, as well as identifying interactions with membrane phospholipids that may be important for caveola function. We propose a model in which coincident, low-affinity electrostatically controlled protein-protein and protein-lipid interactions allow the formation of caveolae, generating a metastable structure that can respond to plasma membrane stress by release of cavins.","author":[{"dropping-particle":"","family":"Kovtun","given":"Oleksiy","non-dropping-particle":"","parse-names":false,"suffix":""},{"dropping-particle":"","family":"Tillu","given":"Vikas A.","non-dropping-particle":"","parse-names":false,"suffix":""},{"dropping-particle":"","family":"Ariotti","given":"Nicholas","non-dropping-particle":"","parse-names":false,"suffix":""},{"dropping-particle":"","family":"Parton","given":"Robert G.","non-dropping-particle":"","parse-names":false,"suffix":""},{"dropping-particle":"","family":"Collins","given":"Brett M.","non-dropping-particle":"","parse-names":false,"suffix":""}],"container-title":"Journal of Cell Science","id":"ITEM-1","issue":"7","issued":{"date-parts":[["2015"]]},"page":"1269-1278","title":"Cavin family proteins and the assembly of caveolae","type":"article-journal","volume":"128"},"uris":["http://www.mendeley.com/documents/?uuid=242bd4d6-8a8d-4ebc-9070-120946d27c1e"]}],"mendeley":{"formattedCitation":"&lt;sup&gt;122&lt;/sup&gt;","plainTextFormattedCitation":"122","previouslyFormattedCitation":"&lt;sup&gt;122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122</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Dynamin has also been shown to be involved in the scission of the endocytic vesicle of caveolae from the plasma membrane, as it does in clathrin-mediated endocytosis, forming vesicles that are typically 50-100 nm wide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{"citationItems":[{"id":"ITEM-1","itemData":{"DOI":"10.1002/iub.485","ISSN":"15216543","abstract":"The endothelial cell monolayer lining the vessel wall forms a size-selective, semi-permeable barrier between the blood and tissue that must be crossed by blood borne therapeutic agents to reach diseased extravascular tissue. Nanoparticles engineered to carry drugs present an opportunity to enhance the specificity and efficacy of drug delivery. Therefore, an understanding of how these engineered nanoparticles are transported across the vessel wall will help us to more fully exploit this powerful therapeutic technology. Vascular endothelial cells are rich in caveolae, cell surface invaginations 50-100 nm in diameter that mediate endocytosis of lipids, proteins, and viruses. Caveolar invaginations pinch off to form intracellular vesicles that can transport cargo across the cell and release the cargo into the extravascular space via exocytosis. Here, we will review the current concepts and state of development for delivering engineered nanoparticles across the endothelium via the caveolae-mediated pathway. © 2011 Wiley Periodicals, Inc.","author":[{"dropping-particle":"","family":"Wang","given":"Zhenjia","non-dropping-particle":"","parse-names":false,"suffix":""},{"dropping-particle":"","family":"Tiruppathi","given":"Chinnaswamy","non-dropping-particle":"","parse-names":false,"suffix":""},{"dropping-particle":"","family":"Cho","given":"Jaehyung","non-dropping-particle":"","parse-names":false,"suffix":""},{"dropping-particle":"","family":"Minshall","given":"Richard D.","non-dropping-particle":"","parse-names":false,"suffix":""},{"dropping-particle":"","family":"Malik","given":"Asrar B.","non-dropping-particle":"","parse-names":false,"suffix":""}],"container-title":"IUBMB Life","id":"ITEM-1","issue":"8","issued":{"date-parts":[["2011","8"]]},"page":"659-667","title":"Delivery of nanoparticle-complexed drugs across the vascular endothelial barrier via caveolae","type":"article-journal","volume":"63"},"uris":["http://www.mendeley.com/documents/?uuid=9d5a3430-2e79-333b-adff-e09955174c79"]},{"id":"ITEM-2","itemData":{"DOI":"10.1083/jcb.141.1.85","ISSN":"00219525","abstract":"The dynamins comprise an expanding family of ubiquitously expressed 100-kD GTPases that have been implicated in severing clathrin-coated pits during receptor-mediated endocytosis. Currently, it is unclear whether the different dynamin isoforms perform redundant functions or participate in distinct endocytic processes. To define the function of dynamin II in mammalian epithelial cells, we have generated and characterized peptide-specific antibodies to domains that either are unique to this isoform or conserved within the dynamin family. When microinjected into cultured hepatocytes these affinity-purified antibodies inhibited clathrin-mediated endocytosis and induced the formation of long plasmalemmal invaginations with attached clathrin-coated pits. In addition, clusters of distinct, nonclathrin-coated, flask-shaped invaginations resembling caveolae accumulated at the plasma membrane of antibody-injected cells. In support of this, caveola-mediated endocytosis of labeled cholera toxin B was inhibited in antibody-injected hepatocytes. Using immunoisolation techniques an anti-dynamin antibody isolated caveolar membranes directly from a hepatocyte postnuclear membrane fraction. Finally, double label immunofluorescence microscopy revealed a striking colocalization between dynamin and the caveolar coat protein caveolin. Thus, functional in vivo studies as well as ultrastructural and biochemical analyses indicate that dynamin mediates both clathrin-dependent endocytosis and the internalization of caveolae in mammalian cells.","author":[{"dropping-particle":"","family":"Henley","given":"John R.","non-dropping-particle":"","parse-names":false,"suffix":""},{"dropping-particle":"","family":"Krueger","given":"Eugene W.A.","non-dropping-particle":"","parse-names":false,"suffix":""},{"dropping-particle":"","family":"Oswald","given":"Barbara J.","non-dropping-particle":"","parse-names":false,"suffix":""},{"dropping-particle":"","family":"McNiven","given":"Mark A.","non-dropping-particle":"","parse-names":false,"suffix":""}],"container-title":"Journal of Cell Biology","id":"ITEM-2","issue":"1","issued":{"date-parts":[["1998"]]},"page":"85-99","title":"Dynamin-mediated internalization of caveolae","type":"article-journal","volume":"141"},"uris":["http://www.mendeley.com/documents/?uuid=0bf3dc1f-171a-49b6-9367-e73d2b6423f1"]}],"mendeley":{"formattedCitation":"&lt;sup&gt;55,123&lt;/sup&gt;","plainTextFormattedCitation":"55,123","previouslyFormattedCitation":"&lt;sup&gt;55,123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55,123</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While caveolin coats do not disassemble before fusing with endosomes unlike clathrin, their vesicles share a similarity in having multiple destinations based on their cargo</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{"citationItems":[{"id":"ITEM-1","itemData":{"DOI":"10.1016/S0169-409X(01)00141-7","ISSN":"0169409X","PMID":"11551399","abstract":"Continuous endothelium and epithelium create formidable barriers to endogenous molecules as well as targeted drug and gene therapies in vivo. Caveolae represent a possible vesicular trafficking pathway through cell barriers. Here we discuss recent discoveries regarding the basic function of caveolae in transport including transcellular trafficking, intracellular trafficking to distinct endosomes, and molecular mechanisms mediating their budding, docking and fusion (dynamin and SNARE machinery). New technologies to purify and map caveolae as well as generate new probes selectively targeting caveolae in vivo provide valuable tools not only for investigating caveolar endocytosis/transcytosis but also elucidating new potential applications for site-directed treatment of many diseases. Vascular targeting of the caveolar trafficking pathway may be a useful strategy for achieving tissue-specific pharmacodelivery that also overcomes key, normally restrictive cell barriers which greatly reduce the efficacy of many therapies in vivo. © 2001 Published by Elsevier Science B.V.","author":[{"dropping-particle":"","family":"Schnitzer","given":"Jan E.","non-dropping-particle":"","parse-names":false,"suffix":""}],"container-title":"Advanced Drug Delivery Reviews","id":"ITEM-1","issue":"3","issued":{"date-parts":[["2001"]]},"page":"265-280","title":"Caveolae: From basic trafficking mechanisms to targeting transcytosis for tissue-specific drug and gene delivery in vivo","type":"article-journal","volume":"49"},"uris":["http://www.mendeley.com/documents/?uuid=f4b91b2c-835c-43fb-8bf4-1db355583d0b"]},{"id":"ITEM-2","itemData":{"DOI":"10.1126/sciadv.aba5379","ISSN":"23752548","PMID":"32743073","abstract":"Gene silencing using small-interfering RNA (siRNA) is a viable therapeutic approach; however, the lack of effective delivery systems limits its clinical translation. Herein, we doped conventional siRNA-liposomal formulations with gold nanoparticles to create “auroliposomes,” which significantly enhanced gene silencing. We targeted MICU1, a novel glycolytic switch in ovarian cancer, and delivered MICU1-siRNA using three delivery systems-commercial transfection agents, conventional liposomes, and auroliposomes. Low-dose siRNA via transfection or conventional liposomes was ineffective for MICU1 silencing; however, in auroliposomes, the same dose gave &gt;85% gene silencing. Efficacy was evident from both in vitro growth assays of ovarian cancer cells and in vivo tumor growth in human ovarian cell line-and patient-derived xenograft models. Incorporation of gold nanoparticles shifted intracellular uptake pathways such that liposomes avoided degradation within lysosomes. Auroliposomes were nontoxic to vital organs. Therefore, auroliposomes represent a novel siRNA delivery system with superior efficacy for multiple therapeutic applications.","author":[{"dropping-particle":"","family":"Nazir Hossen","given":"Md","non-dropping-particle":"","parse-names":false,"suffix":""},{"dropping-particle":"","family":"Wang","given":"Lin","non-dropping-particle":"","parse-names":false,"suffix":""},{"dropping-particle":"","family":"Chinthalapally","given":"Harisha R","non-dropping-particle":"","parse-names":false,"suffix":""},{"dropping-particle":"","family":"Robertson","given":"Joe D","non-dropping-particle":"","parse-names":false,"suffix":""},{"dropping-particle":"","family":"Fung","given":"Kar Ming","non-dropping-particle":"","parse-names":false,"suffix":""},{"dropping-particle":"","family":"Wilhelm","given":"Stefan","non-dropping-particle":"","parse-names":false,"suffix":""},{"dropping-particle":"","family":"Bieniasz","given":"Magdalena","non-dropping-particle":"","parse-names":false,"suffix":""},{"dropping-particle":"","family":"Bhattacharya","given":"Resham","non-dropping-particle":"","parse-names":false,"suffix":""},{"dropping-particle":"","family":"Mukherjee","given":"Priyabrata","non-dropping-particle":"","parse-names":false,"suffix":""}],"container-title":"Science Advances","id":"ITEM-2","issue":"30","issued":{"date-parts":[["2020","7","22"]]},"page":"eaba5379","title":"Switching the intracellular pathway and enhancing the therapeutic efficacy of small interfering RNA by auroliposome","type":"article-journal","volume":"6"},"uris":["http://www.mendeley.com/documents/?uuid=89c2a3fe-879e-4821-b2bd-20a1ca0deeac"]}],"mendeley":{"formattedCitation":"&lt;sup&gt;108,124&lt;/sup&gt;","plainTextFormattedCitation":"108,124","previouslyFormattedCitation":"&lt;sup&gt;108,124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108,124</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These endosomes can be trafficked to lysosomes for degradation or trafficked to the Golgi bodies and endoplasmic reticulum for transcytotic purposes</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{"citationItems":[{"id":"ITEM-1","itemData":{"DOI":"10.1371/journal.pone.0119561","ISBN":"2011002869","ISSN":"19326203","abstract":"Transforming growth factor-beta-induced protein (TGFBIp) is ubiquitously expressed in the extracellular matrix (ECM) of νarious tissues and cell lines. Progressiνe accumulation of mutant TGFBIp is directly inνolνed in the pathogenesis of TGFBI-linked corneal dystrophy. Recent studies reported that mutant TGFBIp accumulates in cells; howeνer, the trafficking of TGFBIp is poorly understood. Therefore, we inνestigated TGFBIp trafficking to determine the route of its internalization and secretion and to elucidate its roles in the pathogenesis of granular corneal dystrophy type 2 (GCD2). Our data indicate that newly synthesized TGFBIp was secreted νia the endoplasmic reticulum/Golgi-dependent secretory pathway, and this secretion was delayed in the corneal fibroblasts of patients with GCD2. We also found that TGFBIp was internalized by caνeolae-mediated endocytosis, and the internalized TGFBIp accumulated after treatment with bafilomycin A1, an inhibitor of lysosomal degradation. In addition, the proteasome inhibitor MG132 inhibits the endocytosis of TGFBIp. Co-immunoprecipitation reνealed that TGFBIp interacted with integrin ανβ3. Moreoνer, treatment with arginine-glycine-aspartic acid (RGD) tripeptide suppressed the internalization of TGFBIp. These insights on TGFBIp trafficking could lead to the identification of noνel targets and the deνelopment of new therapies for TGFBI-linked corneal dystrophy.","author":[{"dropping-particle":"Il","family":"Choi","given":"Seung","non-dropping-particle":"","parse-names":false,"suffix":""},{"dropping-particle":"","family":"Maeng","given":"Yong Sun","non-dropping-particle":"","parse-names":false,"suffix":""},{"dropping-particle":"","family":"Kim","given":"Tae Im","non-dropping-particle":"","parse-names":false,"suffix":""},{"dropping-particle":"","family":"Lee","given":"Yangsin","non-dropping-particle":"","parse-names":false,"suffix":""},{"dropping-particle":"","family":"Kim","given":"Yong Sun","non-dropping-particle":"","parse-names":false,"suffix":""},{"dropping-particle":"","family":"Kim","given":"Eung Kweon","non-dropping-particle":"","parse-names":false,"suffix":""}],"container-title":"PLoS ONE","id":"ITEM-1","issue":"4","issued":{"date-parts":[["2015"]]},"page":"1-23","title":"Lysosomal trafficking of TGFBIp via Caveolae-mediated endocytosis","type":"article-journal","volume":"10"},"uris":["http://www.mendeley.com/documents/?uuid=c10cf033-95f4-4461-a60a-37dc7a206705"]},{"id":"ITEM-2","itemData":{"DOI":"10.1242/jcs.00327","ISSN":"00219533","abstract":"Internalization of autocrine motility factor (AMF) into the endoplasmic reticulum is sensitive to the cholesterol-extracting reagent methyl-β-cyclodextrin, inhibited by the dynamin-1 K44A mutant and negatively regulated by caveolin-1. Thus, AMF internalization requires a caveolae-mediated endocytic pathway. Similarly, we show here that endocytosis of cholera toxin (CTX) in NIH-3T3 fibroblasts is inhibited by adenoviral expression of the dynamin-1 K44A mutant but only partially by expression of the clathrin hub. Treatment with methyl-β-cyclodextrin and overexpression of caveolin-1, but not the clathrin hub, selectively diminishes CTX endocytosis to the Golgi apparatus but not to endosomes. CTX is therefore targeted via a caveolin-1-regulated caveolae-mediated pathway to the Golgi. Disruption of Golgi-, caveosome- or endosome-mediated trafficking with brefeldin A, nocodazole or a 20°C temperature block, respectively, inhibit CTX endocytosis to the Golgi but do not affect AMF delivery to the endoplasmic reticulum. Following an incubation of only five minutes in the presence of the clathrin hub, AMF and CTX are not cointernalized, and AMF is delivered to the AMF-R-positive smooth ER. The internalization of both ligands is nevertheless sensitive to the tyrosine kinase inhibitor genistein, confirming that they are both internalized via caveolae/raft pathways. Two distinct caveolae-mediated endocytic pathways therefore exist, including a novel direct pathway to the ER from the plasma membrane.","author":[{"dropping-particle":"","family":"Le","given":"Phuong U.","non-dropping-particle":"","parse-names":false,"suffix":""},{"dropping-particle":"","family":"Nabi","given":"Ivan Robert","non-dropping-particle":"","parse-names":false,"suffix":""}],"container-title":"Journal of Cell Science","id":"ITEM-2","issue":"6","issued":{"date-parts":[["2003"]]},"page":"1059-1071","title":"Distinct caveolae-mediated endocytic pathways target the Golgi apparatus and the endoplasmic reticulum","type":"article-journal","volume":"116"},"uris":["http://www.mendeley.com/documents/?uuid=05737d2b-f94b-4072-bcf7-17a91e95bcbd"]}],"mendeley":{"formattedCitation":"&lt;sup&gt;125,126&lt;/sup&gt;","plainTextFormattedCitation":"125,126","previouslyFormattedCitation":"&lt;sup&gt;125,126&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125,126</w:t>
      </w:r>
      <w:r w:rsidRPr="00C06183">
        <w:rPr>
          <w:rFonts w:ascii="Arial" w:hAnsi="Arial" w:cs="Arial"/>
          <w:sz w:val="24"/>
          <w:szCs w:val="24"/>
        </w:rPr>
        <w:fldChar w:fldCharType="end"/>
      </w:r>
      <w:r w:rsidR="00EF773E">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This characteristic makes caveolar endocytosis particularly attractive for the delivery of nanoparticles across tumor vasculature.</w:t>
      </w:r>
      <w:r w:rsidRPr="00C06183">
        <w:rPr>
          <w:rFonts w:ascii="Arial" w:hAnsi="Arial" w:cs="Arial"/>
          <w:sz w:val="24"/>
          <w:szCs w:val="24"/>
        </w:rPr>
        <w:t xml:space="preserve">  </w:t>
      </w:r>
    </w:p>
    <w:p w14:paraId="28E41FF4" w14:textId="17860757"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shd w:val="clear" w:color="auto" w:fill="FFFFFF"/>
        </w:rPr>
        <w:t xml:space="preserve">Malik et al. have demonstrated the targeting of caveolae-mediated endocytosis in bovine lung </w:t>
      </w:r>
      <w:proofErr w:type="spellStart"/>
      <w:r w:rsidRPr="00C06183">
        <w:rPr>
          <w:rStyle w:val="normaltextrun"/>
          <w:rFonts w:ascii="Arial" w:hAnsi="Arial" w:cs="Arial"/>
          <w:color w:val="000000"/>
          <w:sz w:val="24"/>
          <w:szCs w:val="24"/>
          <w:shd w:val="clear" w:color="auto" w:fill="FFFFFF"/>
        </w:rPr>
        <w:t>microvessel</w:t>
      </w:r>
      <w:proofErr w:type="spellEnd"/>
      <w:r w:rsidRPr="00C06183">
        <w:rPr>
          <w:rStyle w:val="normaltextrun"/>
          <w:rFonts w:ascii="Arial" w:hAnsi="Arial" w:cs="Arial"/>
          <w:color w:val="000000"/>
          <w:sz w:val="24"/>
          <w:szCs w:val="24"/>
          <w:shd w:val="clear" w:color="auto" w:fill="FFFFFF"/>
        </w:rPr>
        <w:t xml:space="preserve"> endothelial cells using polymer nanoparticles coated with fluorescently tagged albumin, a caveolae-mediated endocytosis tracer</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{"citationItems":[{"id":"ITEM-1","itemData":{"DOI":"10.1021/nn9012274","ISSN":"19360851","abstract":"Caveolae are plasma membrane invaginations prominent in all endothelial cells lining blood vessels. Caveolae characteristically bud to form free cytoplasmic vesicles capable of transporting carrier proteins such as albumin through the cell. However, caveolae size distribution and dynamics in living endothelial cells and ability of caveolae to internalize nanoparticles are not well understood. We demonstrate here the design of a dual-color nanoparticle pair to measure noninvasively caveolae size and dynamics. First, we coated nanoparticles with BSA (bovine serum albumin) to address whether albumin promoted their delivery. Albumin has been shown to bind to protein on endothelial cell surface localized in caveolae and activate albumin endocytosis. Imaging of BSA-coated nanoparticles varying from 20 to 100 nm in diameter in endothelial cells demonstrated that caveolae-mediated nanoparticle uptake was dependent on albumin coating of particles. We also showed that caveolae could accommodate up to 100 nm diameter nanoparticles, a size larger than the diameter of typical caveolae, suggesting compliant property of caveolae. Together, our results show the feasibility of tracking multicolored nanoparticles in living endothelial cells and potential usefulness for designing therapeutic nanoparticle cargo to cross the limiting vessel wall endothelial barrier.","author":[{"dropping-particle":"","family":"Wang","given":"Zhenjia","non-dropping-particle":"","parse-names":false,"suffix":""},{"dropping-particle":"","family":"Tiruppathi","given":"Chinnaswamy","non-dropping-particle":"","parse-names":false,"suffix":""},{"dropping-particle":"","family":"Minshall","given":"Richard D.","non-dropping-particle":"","parse-names":false,"suffix":""},{"dropping-particle":"","family":"Malik","given":"Asrar B.","non-dropping-particle":"","parse-names":false,"suffix":""}],"container-title":"ACS Nano","id":"ITEM-1","issue":"12","issued":{"date-parts":[["2009","12","22"]]},"page":"4110-4116","title":"Size and dynamics of caveolae studied using nanoparticles in living endothelial cells","type":"article-journal","volume":"3"},"uris":["http://www.mendeley.com/documents/?uuid=5a782f47-7a4c-3a5c-80c1-f3e5afe123b7"]}],"mendeley":{"formattedCitation":"&lt;sup&gt;127&lt;/sup&gt;","plainTextFormattedCitation":"127","previouslyFormattedCitation":"&lt;sup&gt;127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127</w:t>
      </w:r>
      <w:r w:rsidRPr="00C06183">
        <w:rPr>
          <w:rFonts w:ascii="Arial" w:hAnsi="Arial" w:cs="Arial"/>
          <w:sz w:val="24"/>
          <w:szCs w:val="24"/>
        </w:rPr>
        <w:fldChar w:fldCharType="end"/>
      </w:r>
      <w:r w:rsidRPr="00C06183">
        <w:rPr>
          <w:rFonts w:ascii="Arial" w:hAnsi="Arial" w:cs="Arial"/>
          <w:sz w:val="24"/>
          <w:szCs w:val="24"/>
        </w:rPr>
        <w:t xml:space="preserve"> Similarly, </w:t>
      </w:r>
      <w:proofErr w:type="spellStart"/>
      <w:r w:rsidRPr="00C06183">
        <w:rPr>
          <w:rStyle w:val="normaltextrun"/>
          <w:rFonts w:ascii="Arial" w:hAnsi="Arial" w:cs="Arial"/>
          <w:color w:val="000000"/>
          <w:sz w:val="24"/>
          <w:szCs w:val="24"/>
          <w:shd w:val="clear" w:color="auto" w:fill="FFFFFF"/>
        </w:rPr>
        <w:t>Astilean</w:t>
      </w:r>
      <w:proofErr w:type="spellEnd"/>
      <w:r w:rsidRPr="00C06183">
        <w:rPr>
          <w:rStyle w:val="normaltextrun"/>
          <w:rFonts w:ascii="Arial" w:hAnsi="Arial" w:cs="Arial"/>
          <w:color w:val="000000"/>
          <w:sz w:val="24"/>
          <w:szCs w:val="24"/>
          <w:shd w:val="clear" w:color="auto" w:fill="FFFFFF"/>
        </w:rPr>
        <w:t xml:space="preserve"> et al. have shown the specific targeting of caveolae-mediated endocytosis in NIH:OVCAR-3 cells (human ovarian cancer) using nanoparticles made of albumin, conjugated with folic acid for folate receptor alpha targeting, as this marker is overexpressed on these cells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10.1088/1361-6528/ab8b90","ISSN":"0957-4484","author":[{"dropping-particle":"","family":"Borlan","given":"Raluca","non-dropping-particle":"","parse-names":false,"suffix":""},{"dropping-particle":"","family":"Tatar","given":"Andra-Sorina","non-dropping-particle":"","parse-names":false,"suffix":""},{"dropping-particle":"","family":"Soritau","given":"Olga","non-dropping-particle":"","parse-names":false,"suffix":""},{"dropping-particle":"","family":"Maniu","given":"Dana","non-dropping-particle":"","parse-names":false,"suffix":""},{"dropping-particle":"","family":"Marc","given":"Gabriel","non-dropping-particle":"","parse-names":false,"suffix":""},{"dropping-particle":"","family":"Florea","given":"Adrian","non-dropping-particle":"","parse-names":false,"suffix":""},{"dropping-particle":"","family":"Focsan","given":"Monica","non-dropping-particle":"","parse-names":false,"suffix":""},{"dropping-particle":"","family":"Astilean","given":"Simion","non-dropping-particle":"","parse-names":false,"suffix":""}],"container-title":"Nanotechnology","id":"ITEM-1","issue":"31","issued":{"date-parts":[["2020","7","31"]]},"page":"315102","title":"Design of fluorophore-loaded human serum albumin nanoparticles for specific targeting of NIH:OVCAR3 ovarian cancer cells","type":"article-journal","volume":"31"},"uris":["http://www.mendeley.com/documents/?uuid=46537c11-5d2e-4625-9792-91525eea9200"]},{"id":"ITEM-2","itemData":{"DOI":"10.1111/jphp.12134","ISSN":"20427158","abstract":"Objectives We aim to quantify the effect of size and degree of folate loading of folate-decorated polymeric nanoparticles (NPs) on the kinetics of cellular uptake and the selection of endocytic pathways in retinal pigment epithelium (RPE) cells. Methods In this study, methoxy-poly(ethylene glycol)-b-polycaprolactone (mPEG-b-PCL) and folate-functionalized PEG-b-PCL were synthesized for assembling into nanoparticles with sizes ranging from 50nm to 250nm. These nanoparticles were internalized into ARPE-19 (human RPE cell line) via receptor-mediated endocytosis. A two-step endocytosis process mathematical model was adopted to quantify binding affinity and uptake kinetics of nanoparticles in RPE cells in uptake and inhibition studies. Key findings Nanoparticles with 100% folate loading have highest binding affinity and uptake rate in RPE cells. Maximum uptake rate (Vmax) of nanoparticles increased as the size of particles decreased from 250nm to 50nm. Endocytic pathway study was studied by using chlorpromazine and methyl-β-cyclodextran (MβCD), which are clathrin- and caveolae-mediated endocytosis inhibitors, respectively. Both chlorpromazine and MβCD inhibited the uptake of folate-decorated nanoparticles. Inhibition constant (Ki) and maximum uptake rate (Vmax) revealed that 50nm and 120nm folate-decorated nanoparticles were found to be internalized via both clathrin- and caveolae-mediated endocytosis. The 250nm folate-decorated nanoparticles, however, were only internalized via caveolae-mediated pathway. Conclusions Increased uptake rate of folate-decorated NPs into RPE cells is observed with increasing degree of folate modification. These NPs utilize both clathrin- and caveolae-mediated receptor-mediated endocytosis pathways to enter RPE cells upon size variation. The 50nm NPs are internalized the fastest, with clathrin-mediated endocytosis as the preferred route. Uptake of 250nm particles is the slowest and is dominated by caveolae-mediated endocytosis. Graphical Abstract © 2013 Royal Pharmaceutical Society.","author":[{"dropping-particle":"","family":"Suen","given":"Wai Leung Langston","non-dropping-particle":"","parse-names":false,"suffix":""},{"dropping-particle":"","family":"Chau","given":"Ying","non-dropping-particle":"","parse-names":false,"suffix":""}],"container-title":"Journal of Pharmacy and Pharmacology","id":"ITEM-2","issue":"4","issued":{"date-parts":[["2014"]]},"page":"564-573","title":"Size-dependent internalisation of folate-decorated nanoparticles via the pathways of clathrin and caveolae-mediated endocytosis in ARPE-19 cells","type":"article-journal","volume":"66"},"uris":["http://www.mendeley.com/documents/?uuid=1101b4a1-e9a8-482f-a664-00d058915e7d"]}],"mendeley":{"formattedCitation":"&lt;sup&gt;128,129&lt;/sup&gt;","plainTextFormattedCitation":"128,129","previouslyFormattedCitation":"&lt;sup&gt;128,129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128,129</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i/>
          <w:iCs/>
          <w:color w:val="000000"/>
          <w:sz w:val="24"/>
          <w:szCs w:val="24"/>
          <w:shd w:val="clear" w:color="auto" w:fill="FFFFFF"/>
        </w:rPr>
        <w:t xml:space="preserve">In vivo </w:t>
      </w:r>
      <w:r w:rsidRPr="00C06183">
        <w:rPr>
          <w:rStyle w:val="normaltextrun"/>
          <w:rFonts w:ascii="Arial" w:hAnsi="Arial" w:cs="Arial"/>
          <w:color w:val="000000"/>
          <w:sz w:val="24"/>
          <w:szCs w:val="24"/>
          <w:shd w:val="clear" w:color="auto" w:fill="FFFFFF"/>
        </w:rPr>
        <w:t>targeting of caveolae has been demonstrated by Schnitzer et al., who used gold nanoparticles conjugated with aminopeptidase P antibodies to target caveolae in the lung endothelium of rats</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{"citationItems":[{"id":"ITEM-1","itemData":{"DOI":"10.1038/nbt1292","ISSN":"10870156","abstract":"How effectively and quickly endothelial caveolae can transcytose in vivo is unknown, yet critical for understanding their function and potential clinical utility. Here we use quantitative proteomics to identify aminopeptidase P (APP) concentrated in caveolae of lung endothelium. Electron microscopy confirms this and shows that APP antibody targets nanoparticles to caveolae. Dynamic intravital fluorescence microscopy reveals that targeted caveolae operate effectively as pumps, moving antibody within seconds from blood across endothelium into lung tissue, even against a concentration gradient. This active transcytosis requires normal caveolin-1 expression. Whole body γ-scintigraphic imaging shows rapid, specific delivery into lung well beyond that achieved by standard vascular targeting. This caveolar trafficking in vivo may underscore a key physiological mechanism for selective transvascular exchange and may provide an enhanced delivery system for imaging agents, drugs, gene-therapy vectors and nanomedicines. 'In vivo proteomic imaging' as described here integrates organellar proteomics with multiple imaging techniques to identify an accessible target space that includes the transvascular pumping space of the caveola. © 2007 Nature Publishing Group.","author":[{"dropping-particle":"","family":"Oh","given":"Phil","non-dropping-particle":"","parse-names":false,"suffix":""},{"dropping-particle":"","family":"Borgström","given":"Per","non-dropping-particle":"","parse-names":false,"suffix":""},{"dropping-particle":"","family":"Witkiewicz","given":"Halina","non-dropping-particle":"","parse-names":false,"suffix":""},{"dropping-particle":"","family":"Li","given":"Yan","non-dropping-particle":"","parse-names":false,"suffix":""},{"dropping-particle":"","family":"Borgström","given":"Bengt J.","non-dropping-particle":"","parse-names":false,"suffix":""},{"dropping-particle":"","family":"Chrastina","given":"Adrian","non-dropping-particle":"","parse-names":false,"suffix":""},{"dropping-particle":"","family":"Iwata","given":"Koji","non-dropping-particle":"","parse-names":false,"suffix":""},{"dropping-particle":"","family":"Zinn","given":"Kurt R.","non-dropping-particle":"","parse-names":false,"suffix":""},{"dropping-particle":"","family":"Baldwin","given":"Richard","non-dropping-particle":"","parse-names":false,"suffix":""},{"dropping-particle":"","family":"Testa","given":"Jacqueline E.","non-dropping-particle":"","parse-names":false,"suffix":""},{"dropping-particle":"","family":"Schnitzer","given":"Jan E.","non-dropping-particle":"","parse-names":false,"suffix":""}],"container-title":"Nature Biotechnology","id":"ITEM-1","issue":"3","issued":{"date-parts":[["2007"]]},"page":"327-337","title":"Live dynamic imaging of caveolae pumping targeted antibody rapidly and specifically across endothelium in the lung","type":"article-journal","volume":"25"},"uris":["http://www.mendeley.com/documents/?uuid=b8db20e4-a213-4fa6-a699-3cbaaa697bce"]}],"mendeley":{"formattedCitation":"&lt;sup&gt;130&lt;/sup&gt;","plainTextFormattedCitation":"130","previouslyFormattedCitation":"&lt;sup&gt;130&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130</w:t>
      </w:r>
      <w:r w:rsidRPr="00C06183">
        <w:rPr>
          <w:rFonts w:ascii="Arial" w:hAnsi="Arial" w:cs="Arial"/>
          <w:sz w:val="24"/>
          <w:szCs w:val="24"/>
        </w:rPr>
        <w:fldChar w:fldCharType="end"/>
      </w:r>
      <w:r w:rsidRPr="00C06183">
        <w:rPr>
          <w:rFonts w:ascii="Arial" w:hAnsi="Arial" w:cs="Arial"/>
          <w:sz w:val="24"/>
          <w:szCs w:val="24"/>
        </w:rPr>
        <w:t xml:space="preserve"> or gold nanoparticles conjugated with annexin A1 antibodies to target caveolae in the tumorous lung endothelium of rats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{"citationItems":[{"id":"ITEM-1","itemData":{"DOI":"10.1038/nm.3623","ISSN":"1546170X","abstract":"Technologies are needed to map and image biological barriers in vivo that limit solid tumor delivery and, ultimately, the effectiveness of imaging and therapeutic agents. Here we integrate proteomic and imaging analyses of caveolae at the blood-tumor interface to discover an active transendothelial portal to infiltrate tumors. A post-translationally modified form of annexin A1 (AnnA1) is selectively concentrated in human and rodent tumor caveolae. To follow trafficking, we generated a specific AnnA1 antibody that targets caveolae in the tumor endothelium. Intravital microscopy of caveolae-immunotargeted fluorophores even at low intravenous doses showed rapid and robust pumping across the endothelium to enter mammary, prostate and lung tumors. Within 1 h, the fluorescence signal concentrated throughout tumors to exceed the peak levels in blood. This transvascular pumping required the expression of caveolin 1 and annexin A1. Tumor uptake with other antibodies were &gt;100-fold less. This proteomic imaging strategy reveals a unique target, antibody and caveolae pumping system for solid tumor penetration.","author":[{"dropping-particle":"","family":"Oh","given":"Phil","non-dropping-particle":"","parse-names":false,"suffix":""},{"dropping-particle":"","family":"Testa","given":"Jacqueline E.","non-dropping-particle":"","parse-names":false,"suffix":""},{"dropping-particle":"","family":"Borgstrom","given":"Per","non-dropping-particle":"","parse-names":false,"suffix":""},{"dropping-particle":"","family":"Witkiewicz","given":"Halina","non-dropping-particle":"","parse-names":false,"suffix":""},{"dropping-particle":"","family":"Li","given":"Yan","non-dropping-particle":"","parse-names":false,"suffix":""},{"dropping-particle":"","family":"Schnitzer","given":"Jan E.","non-dropping-particle":"","parse-names":false,"suffix":""}],"container-title":"Nature Medicine","id":"ITEM-1","issue":"9","issued":{"date-parts":[["2014"]]},"page":"1062-1068","title":"In vivo proteomic imaging analysis of caveolae reveals pumping system to penetrate solid tumors","type":"article-journal","volume":"20"},"uris":["http://www.mendeley.com/documents/?uuid=30f39490-e9e5-4cd9-a826-69e28fe02227"]}],"mendeley":{"formattedCitation":"&lt;sup&gt;131&lt;/sup&gt;","plainTextFormattedCitation":"131","previouslyFormattedCitation":"&lt;sup&gt;131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131</w:t>
      </w:r>
      <w:r w:rsidRPr="00C06183">
        <w:rPr>
          <w:rFonts w:ascii="Arial" w:hAnsi="Arial" w:cs="Arial"/>
          <w:sz w:val="24"/>
          <w:szCs w:val="24"/>
        </w:rPr>
        <w:fldChar w:fldCharType="end"/>
      </w:r>
      <w:r w:rsidRPr="00C06183">
        <w:rPr>
          <w:rFonts w:ascii="Arial" w:hAnsi="Arial" w:cs="Arial"/>
          <w:sz w:val="24"/>
          <w:szCs w:val="24"/>
        </w:rPr>
        <w:t xml:space="preserve"> These experiments have shown that nanoparticles can be modified in specific ways to target and to exploit transcytosis in tumor endothelial cells using different transport mechanisms, including caveolae mediated transport.</w:t>
      </w:r>
    </w:p>
    <w:p w14:paraId="7735EBB7" w14:textId="6BAB7B5B" w:rsidR="00C06183" w:rsidRDefault="00E34AB4" w:rsidP="00721691">
      <w:pPr>
        <w:pStyle w:val="Heading4"/>
      </w:pPr>
      <w:r>
        <w:lastRenderedPageBreak/>
        <w:t>1.</w:t>
      </w:r>
      <w:r w:rsidR="00C06183" w:rsidRPr="00C06183">
        <w:t>3.2.3</w:t>
      </w:r>
      <w:r w:rsidR="00C06183" w:rsidRPr="00C06183">
        <w:tab/>
        <w:t>Macropinocytosis</w:t>
      </w:r>
    </w:p>
    <w:p w14:paraId="2889869F" w14:textId="77777777" w:rsidR="00721691" w:rsidRPr="00721691" w:rsidRDefault="00721691" w:rsidP="00721691"/>
    <w:p w14:paraId="6AA0D4F9" w14:textId="3CD8428A"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t>Macropinocytosis is a nonspecific form of fluid phase endocytosis that involves membrane extensions for relatively large-volume engulfment</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{"citationItems":[{"id":"ITEM-1","itemData":{"DOI":"10.1111/j.1600-0854.2009.00878.x","ISSN":"13989219","PMID":"19192253","abstract":"Macropinocytosis represents a distinct pathway of endocytosis in mammalian cells. This actin-driven endocytic process is not directly co-ordinated by the presence of cargo but can be induced upon activation of growth factor signalling pathways. The capacity to dissect the contribution of macropinocytosis to cellular processes has been hampered by a lack of unique molecular markers and defining features. While aspects of macropinosome formation and maturation are common to those shared by the other endocytic pathways, a number of key differences have recently begun to emerge and will be discussed in this study. It is now well established that macropinocytosis significantly contributes to antigen presentation by the immune system and is exploited by a range of pathogens for cellular invasion and avoidance of immune surveillance. © 2009 The Authors Journal compilation © 2009 Blackwell Munksgaard.","author":[{"dropping-particle":"","family":"Kerr","given":"Markus C.","non-dropping-particle":"","parse-names":false,"suffix":""},{"dropping-particle":"","family":"Teasdale","given":"Rohan D.","non-dropping-particle":"","parse-names":false,"suffix":""}],"container-title":"Traffic","id":"ITEM-1","issue":"4","issued":{"date-parts":[["2009"]]},"page":"364-371","title":"Defining macropinocytosis","type":"article-journal","volume":"10"},"uris":["http://www.mendeley.com/documents/?uuid=fd1d2308-10e8-48b5-aa05-ff32e2459cff"]}],"mendeley":{"formattedCitation":"&lt;sup&gt;132&lt;/sup&gt;","plainTextFormattedCitation":"132","previouslyFormattedCitation":"&lt;sup&gt;132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132</w:t>
      </w:r>
      <w:r w:rsidRPr="00C06183">
        <w:rPr>
          <w:rFonts w:ascii="Arial" w:hAnsi="Arial" w:cs="Arial"/>
          <w:sz w:val="24"/>
          <w:szCs w:val="24"/>
        </w:rPr>
        <w:fldChar w:fldCharType="end"/>
      </w:r>
      <w:r w:rsidRPr="00C06183">
        <w:rPr>
          <w:rFonts w:ascii="Arial" w:hAnsi="Arial" w:cs="Arial"/>
          <w:sz w:val="24"/>
          <w:szCs w:val="24"/>
        </w:rPr>
        <w:t xml:space="preserve"> This process is triggered and controlled by growth factor signaling, which causes the remodeling of actin in the cytoskeleton to create membrane ruffles that then close back in towards the rest of the membrane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{"citationItems":[{"id":"ITEM-1","itemData":{"DOI":"10.1098/rstb.2018.0285","ISSN":"14712970","abstract":"Macropinocytosis is an evolutionarily conserved form of endocytosis that mediates non-selective uptake of extracellular fluid and the solutes contained therein. In mammalian cells, macropinocytosis is initiated by growth factor-mediated activation of the Ras and PI3-kinase signalling pathways. In malignant cells, oncogenic activation of growth factor signalling sustains macropinocytosis cell autonomously. Recent studies of cancer metabolism, discussed here, have begun to define a role for macropinocytosis as a nutrient uptake route. Macropinocytic cancer cells ingest macromolecules in bulk and break them down in the lysosome to support metabolism and macromolecular synthesis. Thereby, macropinocytosis allows cells to tap into the copious nutrient stores of extracellular macromolecules when canonical nutrients are scarce. These findings demonstrate that macropinocytosis promotes metabolic flexibility and resilience, which enables cancer cells to survive and grow in nutrient-poor environments. Implications for physiological roles of growth factor-stimulated macropinocytosis in cell metabolism and its relationship with other nutrient uptake pathways are considered. This article is part of the Theo Murphy meeting issue 'Macropinocytosis'..","author":[{"dropping-particle":"","family":"Palm","given":"Wilhelm","non-dropping-particle":"","parse-names":false,"suffix":""}],"container-title":"Philosophical Transactions of the Royal Society B: Biological Sciences","id":"ITEM-1","issue":"1765","issued":{"date-parts":[["2019"]]},"page":"0-3","title":"Metabolic functions of macropinocytosis","type":"article-journal","volume":"374"},"uris":["http://www.mendeley.com/documents/?uuid=ff1abf46-7ce4-4ca9-83e9-0df70512bf17"]},{"id":"ITEM-2","itemData":{"DOI":"10.1083/jcb.135.5.1249","ISSN":"00219525","PMID":"8947549","abstract":"Phosphoinositide 3-kinase (PI 3-kinase) has been implicated in growth factor signal transduction and vesicular membrane traffic. It is thought to mediate the earliest steps leading from ligation of cell surface receptors to increased cell surface ruffling. We show here that inhibitors of PI 3-kinase inhibit endocytosis in macrophages, not by interfering with the initiation of the process but rather by preventing its completion. Consistent with earlier studies, the inhibitors wortmannin and LY294002 inhibited fluid-phase pinocytosis and Fc receptor-mediated phagocytosis, but they had little effect on the receptor-mediated endocytosis of dillabeled, acetylated, low density lipoprotein. Large solute probes of endocytosis reported greater inhibition by wortmannin than smaller probes did, indicating that macropinocytosis was affected more than micropinocytosis. Since macropinocytosis and phagocytosis are actin-mediated processes, we expected that their inhibition by wortmannin resulted from deficient signaling from macrophage colony-stimulating factor (M-CSF) receptors or Fc receptors to the actin cytoskeleton. However, video microscopy showed cell surface ruffling in wortmannin-treated cells, and increased ruffling after addition of M-CSF or phorbol myristate acetate. Quantitative measurements of video data reported slightly diminished ruffling in wortmannin-treated cells. Remarkably, the ruffles that formed in wortmannin-treated macrophages all receded into the cytoplasm without closing into macropinosomes. Similarly, wortmannin and LY294002 did not inhibit the extension of actin-rich pseudopodia along IgG-opsonized sheep erythrocytes, but instead prevented them from closing into phagosomes. These findings indicate that PI 3-kinase is not necessary for receptor-mediated stimulation of pseudopod extension, but rather functions in the closure of macropinosomes and phagosomes into intracellular organelles.","author":[{"dropping-particle":"","family":"Araki","given":"Nobukazu","non-dropping-particle":"","parse-names":false,"suffix":""},{"dropping-particle":"","family":"Johnson","given":"Melissa T.","non-dropping-particle":"","parse-names":false,"suffix":""},{"dropping-particle":"","family":"Swanson","given":"Joel A.","non-dropping-particle":"","parse-names":false,"suffix":""}],"container-title":"Journal of Cell Biology","id":"ITEM-2","issue":"5","issued":{"date-parts":[["1996"]]},"page":"1249-1260","title":"A role for phosphoinositide 3-kinase in the completion of macropinocytosis and phagocytosis by macrophages","type":"article-journal","volume":"135"},"uris":["http://www.mendeley.com/documents/?uuid=0646137d-5b88-4d94-a4ae-6cd064d8d863"]}],"mendeley":{"formattedCitation":"&lt;sup&gt;133,134&lt;/sup&gt;","plainTextFormattedCitation":"133,134","previouslyFormattedCitation":"&lt;sup&gt;133,134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133,134</w:t>
      </w:r>
      <w:r w:rsidRPr="00C06183">
        <w:rPr>
          <w:rFonts w:ascii="Arial" w:hAnsi="Arial" w:cs="Arial"/>
          <w:sz w:val="24"/>
          <w:szCs w:val="24"/>
        </w:rPr>
        <w:fldChar w:fldCharType="end"/>
      </w:r>
      <w:r w:rsidRPr="00C06183">
        <w:rPr>
          <w:rFonts w:ascii="Arial" w:hAnsi="Arial" w:cs="Arial"/>
          <w:sz w:val="24"/>
          <w:szCs w:val="24"/>
        </w:rPr>
        <w:t xml:space="preserve"> The resulting vesicles, known as macropinosomes, vary greatly in size, typically ranging from 500 nm to 2,500 nm, though sizes as low as 200 nm and as high as 5,000 nm are also possible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{"citationItems":[{"id":"ITEM-1","itemData":{"DOI":"10.1083/jcb.124.5.689","ISSN":"00219525","PMID":"8120092","abstract":"Clathrin-coated vesicle endocytosis and macropinocytosis are distinct endocytic pathways demonstrable in several cell types including human epidermoid A431 cells (West, M.A., M.S. Bretscher, and C. Watts. 1989. J. Cell Biol. 109:2731-2739). Here we analyze the extent of mixing of macropinocytic endosome (macropinosome) content with that of conventional endosomes served by coated vesicle endocytosis. Using laser scanning confocal fluorescence microscopy we detected very little delivery of macropinosome content to either early or late endosomes-lysosomes as defined by labeling with transferrin or with LDL. Mixing of the contents of the macropinosomes and conventional endosomes was not induced by the addition of brefeldin A. Moreover, the morphology of macropinosomes was not grossly altered in the presence of brefeldin A, whilst in the same cells there were dramatic tubulation effects on conventional endosomes as reported by others. Although refractory to fusion with conventional endosomes, macropinosomes were nonetheless dynamic structures which sometimes exhibited vesiculo-tubular morphology in living cells and were capable of fusing with each other. We suggest that different endocytic mechanisms can give rise to distinct endosome populations.","author":[{"dropping-particle":"","family":"Hewlett","given":"Lindsay J.","non-dropping-particle":"","parse-names":false,"suffix":""},{"dropping-particle":"","family":"Prescott","given":"Alan R.","non-dropping-particle":"","parse-names":false,"suffix":""},{"dropping-particle":"","family":"Watts","given":"Colin","non-dropping-particle":"","parse-names":false,"suffix":""}],"container-title":"Journal of Cell Biology","id":"ITEM-1","issue":"5","issued":{"date-parts":[["1994"]]},"page":"689-703","title":"The coated pit and macropinocytic pathways serve distinct endosome populations","type":"article-journal","volume":"124"},"uris":["http://www.mendeley.com/documents/?uuid=9d6fc427-79a8-4a83-9490-34ddf8eb10ac"]},{"id":"ITEM-2","itemData":{"DOI":"10.1038/icb.2011.20","ISSN":"08189641","abstract":"Macropinocytosis is a regulated form of endocytosis that mediates the non-selective uptake of solute molecules, nutrients and antigens. It is an actin-dependent process initiated from surface membrane ruffles that give rise to large endocytic vacuoles called macropinosomes. Macropinocytosis is important in a range of physiological processes; it is highly active in macrophages and dendritic cells where it is a major pathway for the capture of antigens, it is relevant to cell migration and tumour metastasis and it represents a portal of cell entry exploited by a range of pathogens. The molecular basis for the formation and maturation of macropinosomes has only recently begun to be defined. Here, we review the general characteristics of macropinocytosis, describe some of the regulators of this pathway, which have been identified to date and highlight strategies to explore the relevance of this endocytosis pathway in vivo. © 2011 Australasian Society for Immunology Inc. All rights reserved.","author":[{"dropping-particle":"","family":"Lim","given":"Jet Phey","non-dropping-particle":"","parse-names":false,"suffix":""},{"dropping-particle":"","family":"Gleeson","given":"Paul A.","non-dropping-particle":"","parse-names":false,"suffix":""}],"container-title":"Immunology and Cell Biology","id":"ITEM-2","issue":"8","issued":{"date-parts":[["2011"]]},"page":"836-843","title":"Macropinocytosis: An endocytic pathway for internalising large gulps","type":"article-journal","volume":"89"},"uris":["http://www.mendeley.com/documents/?uuid=1a492ffc-2df0-487e-9256-e5b644a6b230"]}],"mendeley":{"formattedCitation":"&lt;sup&gt;135,136&lt;/sup&gt;","plainTextFormattedCitation":"135,136","previouslyFormattedCitation":"&lt;sup&gt;135,136&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135,136</w:t>
      </w:r>
      <w:r w:rsidRPr="00C06183">
        <w:rPr>
          <w:rFonts w:ascii="Arial" w:hAnsi="Arial" w:cs="Arial"/>
          <w:sz w:val="24"/>
          <w:szCs w:val="24"/>
        </w:rPr>
        <w:fldChar w:fldCharType="end"/>
      </w:r>
      <w:r w:rsidRPr="00C06183">
        <w:rPr>
          <w:rFonts w:ascii="Arial" w:hAnsi="Arial" w:cs="Arial"/>
          <w:sz w:val="24"/>
          <w:szCs w:val="24"/>
        </w:rPr>
        <w:t xml:space="preserve"> </w:t>
      </w:r>
    </w:p>
    <w:p w14:paraId="37173A49" w14:textId="35B7DBAC"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shd w:val="clear" w:color="auto" w:fill="FFFFFF"/>
        </w:rPr>
        <w:t>Similarly to clathrin coated vesicles, macropinosomes can either mature from early endosomes to late endosomes before trafficking to lysosomes for degradation or can recycle their contents back to the apical or basal/basolateral membrane</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10.1002/jcp.20931","ISSN":"00219541","author":[{"dropping-particle":"","family":"Kasahara","given":"Kousuke","non-dropping-particle":"","parse-names":false,"suffix":""},{"dropping-particle":"","family":"Nakayama","given":"Yuji","non-dropping-particle":"","parse-names":false,"suffix":""},{"dropping-particle":"","family":"Sato","given":"Izumi","non-dropping-particle":"","parse-names":false,"suffix":""},{"dropping-particle":"","family":"Ikeda","given":"Kikuko","non-dropping-particle":"","parse-names":false,"suffix":""},{"dropping-particle":"","family":"Hoshino","given":"Masaki","non-dropping-particle":"","parse-names":false,"suffix":""},{"dropping-particle":"","family":"Endo","given":"Takeshi","non-dropping-particle":"","parse-names":false,"suffix":""},{"dropping-particle":"","family":"Yamaguchi","given":"Naoto","non-dropping-particle":"","parse-names":false,"suffix":""}],"container-title":"Journal of Cellular Physiology","id":"ITEM-1","issue":"1","issued":{"date-parts":[["2007","4"]]},"page":"220-232","title":"Role of Src-family kinases in formation and trafficking of macropinosomes","type":"article-journal","volume":"211"},"uris":["http://www.mendeley.com/documents/?uuid=87076c77-7b0a-410d-a6a0-092e6d7d3eff"]},{"id":"ITEM-2","itemData":{"DOI":"10.1016/bs.apha.2014.06.001","ISSN":"0031-9333","abstract":"Tuma, Pamela L., and Ann L. Hubbard. Transcytosis: Crossing Cellular Barriers. Physiol Rev 83: 871–932, 2003; 10.1152/physrev.00001.2003.—Transcytosis, the vesicular transport of macromolecules from one side of a cell to the other, is a strategy used by multicellular organisms to selectively move material between two environments without altering the unique compositions of those environments. In this review, we summarize our knowledge of the different cell types using transcytosis in vivo, the variety of cargo moved, and the diverse pathways for delivering that cargo. We evaluate in vitro models that are currently being used to study transcytosis. Caveolae-mediated transcytosis by endothelial cells that line the microvasculature and carry circulating plasma proteins to the interstitium is explained in more detail, as is clathrin-mediated transcytosis of IgA by epithelial cells of the digestive tract. The molecular basis of vesicle traffic is discussed, with emphasis on the gaps and uncertainties in our understanding of the molecules and mechanisms that regulate transcytosis. In our view there is still much to be learned about this fundamental process.","author":[{"dropping-particle":"","family":"Preston","given":"Jane E.","non-dropping-particle":"","parse-names":false,"suffix":""},{"dropping-particle":"","family":"Joan Abbott","given":"N.","non-dropping-particle":"","parse-names":false,"suffix":""},{"dropping-particle":"","family":"Begley","given":"David J.","non-dropping-particle":"","parse-names":false,"suffix":""}],"container-title":"Physiological Reviews","edition":"1","id":"ITEM-2","issue":"3","issued":{"date-parts":[["2014","7"]]},"page":"147-163","publisher":"Elsevier Inc.","title":"Transcytosis of Macromolecules at the Blood–Brain Barrier","type":"chapter","volume":"83"},"uris":["http://www.mendeley.com/documents/?uuid=c459417a-d258-4268-a0de-aaa26b82b5f9"]}],"mendeley":{"formattedCitation":"&lt;sup&gt;109,137&lt;/sup&gt;","plainTextFormattedCitation":"109,137","previouslyFormattedCitation":"&lt;sup&gt;109,137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109,137</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The visualization of macropinosomes is somewhat less direct than the previously discussed vesicles; while clathrin-coated vesicles and caveolae can be visualized optically with fluorescently tagged antibodies against clathrin heavy/light chain and caveolin-1, macropinosomes have no such marker</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{"citationItems":[{"id":"ITEM-1","itemData":{"DOI":"10.1111/j.1600-0854.2009.00878.x","ISSN":"13989219","PMID":"19192253","abstract":"Macropinocytosis represents a distinct pathway of endocytosis in mammalian cells. This actin-driven endocytic process is not directly co-ordinated by the presence of cargo but can be induced upon activation of growth factor signalling pathways. The capacity to dissect the contribution of macropinocytosis to cellular processes has been hampered by a lack of unique molecular markers and defining features. While aspects of macropinosome formation and maturation are common to those shared by the other endocytic pathways, a number of key differences have recently begun to emerge and will be discussed in this study. It is now well established that macropinocytosis significantly contributes to antigen presentation by the immune system and is exploited by a range of pathogens for cellular invasion and avoidance of immune surveillance. © 2009 The Authors Journal compilation © 2009 Blackwell Munksgaard.","author":[{"dropping-particle":"","family":"Kerr","given":"Markus C.","non-dropping-particle":"","parse-names":false,"suffix":""},{"dropping-particle":"","family":"Teasdale","given":"Rohan D.","non-dropping-particle":"","parse-names":false,"suffix":""}],"container-title":"Traffic","id":"ITEM-1","issue":"4","issued":{"date-parts":[["2009"]]},"page":"364-371","title":"Defining macropinocytosis","type":"article-journal","volume":"10"},"uris":["http://www.mendeley.com/documents/?uuid=fd1d2308-10e8-48b5-aa05-ff32e2459cff"]}],"mendeley":{"formattedCitation":"&lt;sup&gt;132&lt;/sup&gt;","plainTextFormattedCitation":"132","previouslyFormattedCitation":"&lt;sup&gt;132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132</w:t>
      </w:r>
      <w:r w:rsidRPr="00C06183">
        <w:rPr>
          <w:rFonts w:ascii="Arial" w:hAnsi="Arial" w:cs="Arial"/>
          <w:sz w:val="24"/>
          <w:szCs w:val="24"/>
        </w:rPr>
        <w:fldChar w:fldCharType="end"/>
      </w:r>
      <w:r w:rsidRPr="00C06183">
        <w:rPr>
          <w:rFonts w:ascii="Arial" w:hAnsi="Arial" w:cs="Arial"/>
          <w:sz w:val="24"/>
          <w:szCs w:val="24"/>
        </w:rPr>
        <w:t xml:space="preserve"> Consequently, alternative methods had to be employed, with the most commonly used of them being visualizing the uptake of fluorescently tagged dextran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{"citationItems":[{"id":"ITEM-1","itemData":{"DOI":"10.1038/nprot.2014.004","ISSN":"17542189","abstract":"Macropinocytosis serves as an internalization pathway for extracellular fluid and its contents. Macropinocytosis is upregulated in oncogene-expressing cells and, recently, we have revealed a functional role for macropinocytosis in fueling cancer cell growth through the internalization of extracellular albumin, which is degraded into a usable source of intracellular amino acids. Assessing macropinocytosis has been challenging in the past because of the lack of reliable assays capable of quantitatively measuring this uptake mechanism. Here we describe a protocol for visualizing and quantifying the extent of macropinocytosis in cells both in culture and growing in vivo as tumor xenografts. By using this approach, the 'macropinocytic index' of a particular cell line or subcutaneous tumor can be ascertained within 1-2 d. The protocol can be carried out with multiple samples in parallel and can be easily adapted for a variety of cell types and xenograft or allograft mouse models. © 2013 Nature America, Inc. All rights reserved.","author":[{"dropping-particle":"","family":"Commisso","given":"Cosimo","non-dropping-particle":"","parse-names":false,"suffix":""},{"dropping-particle":"","family":"Flinn","given":"Rory J.","non-dropping-particle":"","parse-names":false,"suffix":""},{"dropping-particle":"","family":"Bar-Sagi","given":"Dafna","non-dropping-particle":"","parse-names":false,"suffix":""}],"container-title":"Nature Protocols","id":"ITEM-1","issue":"1","issued":{"date-parts":[["2014"]]},"page":"182-192","title":"Determining the macropinocytic index of cells through a quantitative image-based assay","type":"article-journal","volume":"9"},"uris":["http://www.mendeley.com/documents/?uuid=6f73371d-4c9a-4ee4-a071-99b4b750aa79"]}],"mendeley":{"formattedCitation":"&lt;sup&gt;138&lt;/sup&gt;","plainTextFormattedCitation":"138","previouslyFormattedCitation":"&lt;sup&gt;138&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138</w:t>
      </w:r>
      <w:r w:rsidRPr="00C06183">
        <w:rPr>
          <w:rFonts w:ascii="Arial" w:hAnsi="Arial" w:cs="Arial"/>
          <w:sz w:val="24"/>
          <w:szCs w:val="24"/>
        </w:rPr>
        <w:fldChar w:fldCharType="end"/>
      </w:r>
      <w:r w:rsidRPr="00C06183">
        <w:rPr>
          <w:rFonts w:ascii="Arial" w:hAnsi="Arial" w:cs="Arial"/>
          <w:sz w:val="24"/>
          <w:szCs w:val="24"/>
        </w:rPr>
        <w:t xml:space="preserve"> an established macropinocytosis tracer, or by visualizing the rearrangement of fluorescently tagged f-actin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{"citationItems":[{"id":"ITEM-1","itemData":{"DOI":"10.1034/j.1600-0854.2002.030304.x","ISSN":"13989219","abstract":"Macropinocytosis of newly formed resides and exocytosis of post-lysosomes have been visualized using a green fluorescent protein probe that binds specifically to F-actin filaments. F-actin association with macropinocytosis begins as a V-shaped infolding of the membrane. Vesicle enlargment occurs through an inward movement of the proximal point of the V as well as an outward protrusion at the tip of the V to form an elongated invagination. The protrusion eventually closes at its distal margin to become a vesicle and is moved centripetally while recovering its circular shape. The vesicle loses its actin coat within 1 min after internalization. One hour later, post-lysosomal vesicles became weakly surrounded by actin while still cytoplasmic. Some of these vesicles moved to the plasma membrane, docked, and then expelled their contents. Slightly before the vesicle content began to disappear, an increase in F-actin association with the vesicle was observed. This was followed by rapid contraction of the vesicle and then disappearance of the actin signal once the internal content was released. These results show that dynamic changes in actin filament association with the vesicle membrane accompany both endocytosis and exocytosis.","author":[{"dropping-particle":"","family":"Lee","given":"Eunkyung","non-dropping-particle":"","parse-names":false,"suffix":""},{"dropping-particle":"","family":"Knecht","given":"David A.","non-dropping-particle":"","parse-names":false,"suffix":""}],"container-title":"Traffic","id":"ITEM-1","issue":"3","issued":{"date-parts":[["2002"]]},"page":"186-192","title":"Visualization of actin dynamics during macropinocytosis and exocytosis","type":"article-journal","volume":"3"},"uris":["http://www.mendeley.com/documents/?uuid=4eeadf5f-32b2-4bb3-9d1e-3b317fa34405"]}],"mendeley":{"formattedCitation":"&lt;sup&gt;139&lt;/sup&gt;","plainTextFormattedCitation":"139","previouslyFormattedCitation":"&lt;sup&gt;139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139</w:t>
      </w:r>
      <w:r w:rsidRPr="00C06183">
        <w:rPr>
          <w:rFonts w:ascii="Arial" w:hAnsi="Arial" w:cs="Arial"/>
          <w:sz w:val="24"/>
          <w:szCs w:val="24"/>
        </w:rPr>
        <w:fldChar w:fldCharType="end"/>
      </w:r>
      <w:r w:rsidRPr="00C06183">
        <w:rPr>
          <w:rFonts w:ascii="Arial" w:hAnsi="Arial" w:cs="Arial"/>
          <w:sz w:val="24"/>
          <w:szCs w:val="24"/>
        </w:rPr>
        <w:t xml:space="preserve"> Receptor tyrosine kinase activation and the oncogene RAS have been established as macropinocytosis triggers, with the process usually being positively regulated by environmental factors, such as nutrient availability through the amino acid activated mammalian target of rapamycin complex 1 (mTORC1)</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{"citationItems":[{"id":"ITEM-1","itemData":{"DOI":"10.3389/fendo.2017.00261","ISSN":"16642392","abstract":"Oncogenic mutations, such as Ras mutations, drive not only enhanced proliferation but also the metabolic adaptations that confer to cancer cells the ability to sustain cell growth in a harsh tumor microenvironment. These adaptations might represent metabolic vulnerabilities that can be exploited to develop novel and more efficient cancer therapies. Macropinocytosis is an evolutionarily conserved endocytic pathway that permits the internalization of extracellular fluid via large endocytic vesicles known as macropinosomes. Recently, macropinocytosis has been determined to function as a nutrient-scavenging pathway in Ras-driven cancer cells. Macropinocytic uptake of extracellular proteins, and their further degradation within endolysosomes, provides the much-needed amino acids that fuel cancer cell metabolism and tumor growth. Here, we review the molecular mechanisms that govern the process of macropinocytosis, as well as discuss recent work that provides evidence of the important role of macropinocytosis as a nutrient supply pathway in cancer cells.","author":[{"dropping-particle":"","family":"Recouvreux","given":"Maria Victoria","non-dropping-particle":"","parse-names":false,"suffix":""},{"dropping-particle":"","family":"Commisso","given":"Cosimo","non-dropping-particle":"","parse-names":false,"suffix":""}],"container-title":"Frontiers in Endocrinology","id":"ITEM-1","issue":"SEP","issued":{"date-parts":[["2017"]]},"page":"1-7","title":"Macropinocytosis: A metabolic adaptation to nutrient stress in cancer","type":"article-journal","volume":"8"},"uris":["http://www.mendeley.com/documents/?uuid=e6c6557e-ec9d-4b6a-b6c8-ad12096e7352"]},{"id":"ITEM-2","itemData":{"DOI":"10.1242/jcs.213736","ISSN":"14779137","abstract":"Macropinocytosis is a conserved endocytic process used by Dictyostelium amoebae for feeding on liquid medium. To further Dictyostelium as a model for macropinocytosis, we developed a highthroughput flow cytometry assay to measure macropinocytosis, and used it to identify inhibitors and investigate the physiological regulation of macropinocytosis. Dictyostelium has two feeding states: phagocytic and macropinocytic. When cells are switched from phagocytic growth on bacteria to liquid media, the rate of macropinocytosis slowly increases, due to increased size and frequency of macropinosomes. Upregulation is triggered by a minimal medium containing three amino acids plus glucose and likely depends on macropinocytosis itself. The presence of bacteria suppresses macropinocytosis while their product, folate, partially suppresses upregulation of macropinocytosis. Starvation, which initiates development, does not of itself suppress macropinocytosis: this can continue in isolated cells, but is shut down by a conditionedmedium factor or activation of PKA signalling. Thus macropinocytosis is a facultative ability of Dictyostelium cells, regulated by environmental conditions that are identified here.","author":[{"dropping-particle":"","family":"Williams","given":"Thomas D.","non-dropping-particle":"","parse-names":false,"suffix":""},{"dropping-particle":"","family":"Kay","given":"Robert R.","non-dropping-particle":"","parse-names":false,"suffix":""}],"container-title":"Journal of Cell Science","id":"ITEM-2","issue":"6","issued":{"date-parts":[["2018"]]},"title":"The physiological regulation of macropinocytosis during Dictyostelium growth and development","type":"article-journal","volume":"131"},"uris":["http://www.mendeley.com/documents/?uuid=2d0e28af-8eb3-450b-95f0-e5c0e3c2f3ef"]}],"mendeley":{"formattedCitation":"&lt;sup&gt;140,141&lt;/sup&gt;","plainTextFormattedCitation":"140,141","previouslyFormattedCitation":"&lt;sup&gt;140,141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140,141</w:t>
      </w:r>
      <w:r w:rsidRPr="00C06183">
        <w:rPr>
          <w:rFonts w:ascii="Arial" w:hAnsi="Arial" w:cs="Arial"/>
          <w:sz w:val="24"/>
          <w:szCs w:val="24"/>
        </w:rPr>
        <w:fldChar w:fldCharType="end"/>
      </w:r>
      <w:r w:rsidRPr="00C06183">
        <w:rPr>
          <w:rFonts w:ascii="Arial" w:hAnsi="Arial" w:cs="Arial"/>
          <w:sz w:val="24"/>
          <w:szCs w:val="24"/>
        </w:rPr>
        <w:t xml:space="preserve"> M</w:t>
      </w:r>
      <w:r w:rsidRPr="00C06183">
        <w:rPr>
          <w:rStyle w:val="normaltextrun"/>
          <w:rFonts w:ascii="Arial" w:hAnsi="Arial" w:cs="Arial"/>
          <w:color w:val="000000"/>
          <w:sz w:val="24"/>
          <w:szCs w:val="24"/>
          <w:bdr w:val="none" w:sz="0" w:space="0" w:color="auto" w:frame="1"/>
        </w:rPr>
        <w:t xml:space="preserve">acropinocytosis has been suggested to be highly upregulated in cancers occurring from RAS mutations and serves the cancer cells’ primary method for </w:t>
      </w:r>
      <w:r w:rsidRPr="00C06183">
        <w:rPr>
          <w:rStyle w:val="normaltextrun"/>
          <w:rFonts w:ascii="Arial" w:hAnsi="Arial" w:cs="Arial"/>
          <w:color w:val="000000"/>
          <w:sz w:val="24"/>
          <w:szCs w:val="24"/>
          <w:bdr w:val="none" w:sz="0" w:space="0" w:color="auto" w:frame="1"/>
        </w:rPr>
        <w:lastRenderedPageBreak/>
        <w:t>their increased nutrient collection needs</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{"citationItems":[{"id":"ITEM-1","itemData":{"DOI":"10.1038/nature12138","ISSN":"00280836","abstract":"Macropinocytosis is a highly conserved endocytic process by which extracellular fluid and its contents are internalized into cells through large, heterogeneous vesicles known as macropinosomes. Oncogenic Ras proteins have been shown to stimulate macropinocytosis but the functional contribution of this uptake mechanism to the transformed phenotype remains unknown. Here we show that Ras-transformed cells use macropinocytosis to transport extracellular protein into the cell. The internalized protein undergoes proteolytic degradation, yielding amino acids including glutamine that can enter central carbon metabolism. Accordingly, the dependence of Ras-transformed cells on free extracellular glutamine for growth can be suppressed by the macropinocytic uptake of protein. Consistent with macropinocytosis representing an important route of nutrient uptake in tumours, its pharmacological inhibition compromises the growth of Ras-transformed pancreatic tumour xenografts. These results identify macropinocytosis as a mechanism by which cancer cells support their unique metabolic needs and point to the possible exploitation of this process in the design of anticancer therapies. © 2013 Macmillan Publishers Limited. All rights reserved.","author":[{"dropping-particle":"","family":"Commisso","given":"Cosimo","non-dropping-particle":"","parse-names":false,"suffix":""},{"dropping-particle":"","family":"Davidson","given":"Shawn M.","non-dropping-particle":"","parse-names":false,"suffix":""},{"dropping-particle":"","family":"Soydaner-Azeloglu","given":"Rengin G.","non-dropping-particle":"","parse-names":false,"suffix":""},{"dropping-particle":"","family":"Parker","given":"Seth J.","non-dropping-particle":"","parse-names":false,"suffix":""},{"dropping-particle":"","family":"Kamphorst","given":"Jurre J.","non-dropping-particle":"","parse-names":false,"suffix":""},{"dropping-particle":"","family":"Hackett","given":"Sean","non-dropping-particle":"","parse-names":false,"suffix":""},{"dropping-particle":"","family":"Grabocka","given":"Elda","non-dropping-particle":"","parse-names":false,"suffix":""},{"dropping-particle":"","family":"Nofal","given":"Michel","non-dropping-particle":"","parse-names":false,"suffix":""},{"dropping-particle":"","family":"Drebin","given":"Jeffrey A.","non-dropping-particle":"","parse-names":false,"suffix":""},{"dropping-particle":"","family":"Thompson","given":"Craig B.","non-dropping-particle":"","parse-names":false,"suffix":""},{"dropping-particle":"","family":"Rabinowitz","given":"Joshua D.","non-dropping-particle":"","parse-names":false,"suffix":""},{"dropping-particle":"","family":"Metallo","given":"Christian M.","non-dropping-particle":"","parse-names":false,"suffix":""},{"dropping-particle":"","family":"Heiden","given":"Matthew G.","non-dropping-particle":"Vander","parse-names":false,"suffix":""},{"dropping-particle":"","family":"Bar-Sagi","given":"Dafna","non-dropping-particle":"","parse-names":false,"suffix":""}],"container-title":"Nature","id":"ITEM-1","issue":"7451","issued":{"date-parts":[["2013"]]},"page":"633-637","publisher":"Nature Publishing Group","title":"Macropinocytosis of protein is an amino acid supply route in Ras-transformed cells","type":"article-journal","volume":"497"},"uris":["http://www.mendeley.com/documents/?uuid=551fa0e9-c487-4b9a-bb7e-656887e1bbd9"]}],"mendeley":{"formattedCitation":"&lt;sup&gt;142&lt;/sup&gt;","plainTextFormattedCitation":"142","previouslyFormattedCitation":"&lt;sup&gt;142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142</w:t>
      </w:r>
      <w:r w:rsidRPr="00C06183">
        <w:rPr>
          <w:rFonts w:ascii="Arial" w:hAnsi="Arial" w:cs="Arial"/>
          <w:sz w:val="24"/>
          <w:szCs w:val="24"/>
        </w:rPr>
        <w:fldChar w:fldCharType="end"/>
      </w:r>
      <w:r w:rsidRPr="00C06183">
        <w:rPr>
          <w:rFonts w:ascii="Arial" w:hAnsi="Arial" w:cs="Arial"/>
          <w:sz w:val="24"/>
          <w:szCs w:val="24"/>
        </w:rPr>
        <w:t xml:space="preserve"> The increased level of uptaken proteins results in a higher availability of amino acids following lysosomal degradation, leading to higher mTORC1 activity</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{"citationItems":[{"id":"ITEM-1","itemData":{"DOI":"10.1038/s41467-019-13997-3","ISSN":"20411723","PMID":"31924779","abstract":"Macropinocytosis is an evolutionarily-conserved, large-scale, fluid-phase form of endocytosis that has been ascribed different functions including antigen presentation in macrophages and dendritic cells, regulation of receptor density in neurons, and regulation of tumor growth under nutrient-limiting conditions. However, whether macropinocytosis regulates the expansion of non-transformed mammalian cells is unknown. Here we show that primary mouse and human T cells engage in macropinocytosis that increases in magnitude upon T cell activation to support T cell growth even under amino acid (AA) replete conditions. Mechanistically, macropinocytosis in T cells provides access of extracellular AA to an endolysosomal compartment to sustain activation of the mechanistic target of rapamycin complex 1 (mTORC1) that promotes T cell growth. Our results thus implicate a function of macropinocytosis in mammalian cell growth beyond Ras-transformed tumor cells via sustained mTORC1 activation.","author":[{"dropping-particle":"","family":"Charpentier","given":"John C.","non-dropping-particle":"","parse-names":false,"suffix":""},{"dropping-particle":"","family":"Chen","given":"Di","non-dropping-particle":"","parse-names":false,"suffix":""},{"dropping-particle":"","family":"Lapinski","given":"Philip E.","non-dropping-particle":"","parse-names":false,"suffix":""},{"dropping-particle":"","family":"Turner","given":"Jackson","non-dropping-particle":"","parse-names":false,"suffix":""},{"dropping-particle":"","family":"Grigorova","given":"Irina","non-dropping-particle":"","parse-names":false,"suffix":""},{"dropping-particle":"","family":"Swanson","given":"Joel A.","non-dropping-particle":"","parse-names":false,"suffix":""},{"dropping-particle":"","family":"King","given":"Philip D.","non-dropping-particle":"","parse-names":false,"suffix":""}],"container-title":"Nature Communications","id":"ITEM-1","issue":"1","issued":{"date-parts":[["2020"]]},"page":"1-9","publisher":"Springer US","title":"Macropinocytosis drives T cell growth by sustaining the activation of mTORC1","type":"article-journal","volume":"11"},"uris":["http://www.mendeley.com/documents/?uuid=69e5133e-a34e-4e95-9d49-48fcc899820d"]}],"mendeley":{"formattedCitation":"&lt;sup&gt;143&lt;/sup&gt;","plainTextFormattedCitation":"143","previouslyFormattedCitation":"&lt;sup&gt;143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143</w:t>
      </w:r>
      <w:r w:rsidRPr="00C06183">
        <w:rPr>
          <w:rFonts w:ascii="Arial" w:hAnsi="Arial" w:cs="Arial"/>
          <w:sz w:val="24"/>
          <w:szCs w:val="24"/>
        </w:rPr>
        <w:fldChar w:fldCharType="end"/>
      </w:r>
      <w:r w:rsidRPr="00C06183">
        <w:rPr>
          <w:rFonts w:ascii="Arial" w:hAnsi="Arial" w:cs="Arial"/>
          <w:sz w:val="24"/>
          <w:szCs w:val="24"/>
        </w:rPr>
        <w:t xml:space="preserve"> </w:t>
      </w:r>
    </w:p>
    <w:p w14:paraId="1123D698" w14:textId="77777777" w:rsidR="00C06183" w:rsidRPr="00C06183" w:rsidRDefault="00C06183" w:rsidP="00C06183">
      <w:pPr>
        <w:spacing w:line="480" w:lineRule="auto"/>
        <w:jc w:val="both"/>
        <w:rPr>
          <w:rFonts w:ascii="Arial" w:hAnsi="Arial" w:cs="Arial"/>
          <w:sz w:val="24"/>
          <w:szCs w:val="24"/>
        </w:rPr>
      </w:pPr>
    </w:p>
    <w:p w14:paraId="26EC310E" w14:textId="5062E658" w:rsidR="00C06183" w:rsidRDefault="00E34AB4" w:rsidP="00721691">
      <w:pPr>
        <w:pStyle w:val="Heading4"/>
      </w:pPr>
      <w:r>
        <w:t>1.</w:t>
      </w:r>
      <w:r w:rsidR="00C06183" w:rsidRPr="00C06183">
        <w:t>3.2.4</w:t>
      </w:r>
      <w:r w:rsidR="00C06183" w:rsidRPr="00C06183">
        <w:tab/>
        <w:t>Other endocytic or transcellular pathways</w:t>
      </w:r>
    </w:p>
    <w:p w14:paraId="7E7865D7" w14:textId="77777777" w:rsidR="00721691" w:rsidRPr="00721691" w:rsidRDefault="00721691" w:rsidP="00721691"/>
    <w:p w14:paraId="4E22A387" w14:textId="66FC1A9E"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r>
      <w:r w:rsidRPr="00C06183">
        <w:rPr>
          <w:rStyle w:val="normaltextrun"/>
          <w:rFonts w:ascii="Arial" w:hAnsi="Arial" w:cs="Arial"/>
          <w:color w:val="000000"/>
          <w:sz w:val="24"/>
          <w:szCs w:val="24"/>
          <w:shd w:val="clear" w:color="auto" w:fill="FFFFFF"/>
        </w:rPr>
        <w:t>The described endocytic pathways are major cell uptake routes, but they are not the only endocytic or transcytotic pathways that occur in endothelial cells. One of these endocytic pathways is phagocytosis, which is typically associated with immune cells, such as macrophages, neutrophils, and dendritic cells, with an endosome formation and intracellular fate that is relatively similar to that of macropinocytosis</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{"citationItems":[{"id":"ITEM-1","itemData":{"DOI":"10.1146/annurev-pathol-011811-132445","ISSN":"1553-4006","abstract":"Engulfment and destruction of invading microorganisms by phagocytosis are critical components of the innate immune response. In addition, phagocytosis is also required for the clearance of apoptotic bodies, an essential aspect of tissue homeostasis and remodeling. Here, we summarize the current knowledge of the cellular and molecular basis of phagosome formation and maturation. We discuss the manner in which phagocytosis is subverted by certain pathogens and consider congenital disorders that affect phagocyte function.","author":[{"dropping-particle":"","family":"Flannagan","given":"Ronald S.","non-dropping-particle":"","parse-names":false,"suffix":""},{"dropping-particle":"","family":"Jaumouillé","given":"Valentin","non-dropping-particle":"","parse-names":false,"suffix":""},{"dropping-particle":"","family":"Grinstein","given":"Sergio","non-dropping-particle":"","parse-names":false,"suffix":""}],"container-title":"Annual Review of Pathology: Mechanisms of Disease","id":"ITEM-1","issue":"1","issued":{"date-parts":[["2012"]]},"page":"61-98","title":"The Cell Biology of Phagocytosis","type":"article-journal","volume":"7"},"uris":["http://www.mendeley.com/documents/?uuid=81cfc840-a427-46e9-bd5c-5214f65581fc"]}],"mendeley":{"formattedCitation":"&lt;sup&gt;144&lt;/sup&gt;","plainTextFormattedCitation":"144","previouslyFormattedCitation":"&lt;sup&gt;144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144</w:t>
      </w:r>
      <w:r w:rsidRPr="00C06183">
        <w:rPr>
          <w:rFonts w:ascii="Arial" w:hAnsi="Arial" w:cs="Arial"/>
          <w:sz w:val="24"/>
          <w:szCs w:val="24"/>
        </w:rPr>
        <w:fldChar w:fldCharType="end"/>
      </w:r>
      <w:r w:rsidRPr="00C06183">
        <w:rPr>
          <w:rFonts w:ascii="Arial" w:hAnsi="Arial" w:cs="Arial"/>
          <w:sz w:val="24"/>
          <w:szCs w:val="24"/>
        </w:rPr>
        <w:t xml:space="preserve"> While phagocytosis is not a niche for endothelial cells, they are still capable of performing it</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{"citationItems":[{"id":"ITEM-1","itemData":{"DOI":"10.1111/jth.14617","ISSN":"15387836","abstract":"Background: Essential thrombocythemia (ET) is characterized by thrombocytosis with increased platelet number and persistent activation. The mechanisms of thrombosis and the fate of these platelets are not clear. The aim of the present study is to explore the phagocytosis of platelets of ET patients by endothelial cells (ECs) in vitro and its relevance to the procoagulant activity (PCA). Methods: Phosphatidylserine (PS) exposure on platelets was detected by flow cytometry. Phagocytosis of the platelets by ECs was performed using flow cytometry, confocal microscopy, and electron microscopy. The PCA of platelets was evaluated by coagulation time and purified coagulation complex assays. Results: The PS exposure on platelets in ET patients is higher than that in healthy controls. The PS-exposed platelets are highly procoagulant and lactadherin reduced 80% of the PCA by blockade of PS. When cocultured, the platelets of ET patients were sequestered by ECs in a time-dependent fashion. Lactadherin enhanced phagocytosis by bridging the PS on activated platelets and the integrin αvβ3 on ECs, and P-selectin played at least a partial role in this process. Furthermore, factor Xa and prothrombinase activity of PS-exposed platelets were decreased after incubation with ECs. Conclusion: Our results suggest that phagocytic clearance of platelets by ECs occurs in ET patients, thus representing a novel mechanism to remove activated platelets from the circulation; lactadherin and phagocytosis could cooperatively limit the thrombophilia in ET patients.","author":[{"dropping-particle":"","family":"Ji","given":"Shuting","non-dropping-particle":"","parse-names":false,"suffix":""},{"dropping-particle":"","family":"Dong","given":"Weijun","non-dropping-particle":"","parse-names":false,"suffix":""},{"dropping-particle":"","family":"Qi","given":"Yushan","non-dropping-particle":"","parse-names":false,"suffix":""},{"dropping-particle":"","family":"Gao","given":"Hong","non-dropping-particle":"","parse-names":false,"suffix":""},{"dropping-particle":"","family":"Zhao","given":"Danwei","non-dropping-particle":"","parse-names":false,"suffix":""},{"dropping-particle":"","family":"Xu","given":"Minghui","non-dropping-particle":"","parse-names":false,"suffix":""},{"dropping-particle":"","family":"Li","given":"Tingting","non-dropping-particle":"","parse-names":false,"suffix":""},{"dropping-particle":"","family":"Yu","given":"Hongyin","non-dropping-particle":"","parse-names":false,"suffix":""},{"dropping-particle":"","family":"Sun","given":"Yuting","non-dropping-particle":"","parse-names":false,"suffix":""},{"dropping-particle":"","family":"Ma","given":"Ruishuang","non-dropping-particle":"","parse-names":false,"suffix":""},{"dropping-particle":"","family":"Shi","given":"Jialan","non-dropping-particle":"","parse-names":false,"suffix":""},{"dropping-particle":"","family":"Gao","given":"Chunyan","non-dropping-particle":"","parse-names":false,"suffix":""}],"container-title":"Journal of Thrombosis and Haemostasis","id":"ITEM-1","issue":"1","issued":{"date-parts":[["2020"]]},"page":"222-233","title":"Phagocytosis by endothelial cells inhibits procoagulant activity of platelets of essential thrombocythemia in vitro","type":"article-journal","volume":"18"},"uris":["http://www.mendeley.com/documents/?uuid=942bb0a6-68c3-4e36-9182-61b8e4fe4285"]},{"id":"ITEM-2","itemData":{"DOI":"10.1182/blood-2011-06-362186","ISSN":"00064971","PMID":"22138513","abstract":"The coagulopathy of acute promyelocytic leukemia (APL) is mainly related to procoagulant substances and fibrinolytic activators of APL blasts, but the fate of these leukemic cells is unknown. The aim of this study was to investigate the removal of APL blasts by macrophages and endothelial cells in vitro and consequent procoagulant and fibrinolytic activity of APL cells.We found that human umbilical vein endothelial cells as well as THP-1 and monocyte-derived macrophages bound, engulfed, and subsequently degraded immortalized APL cell line NB4 and primary APL cells. Lactadherin promoted phagocytosis of APL cells in a time-dependent fashion. Furthermore, factor Xa and prothrombinase activity of phosphatidylserine-exposed target APL cells was time-dependently decreased after incubation with phagocytes (THP-1-derived macrophages or HUVECs). Thrombin production on target APL cells was reduced by40%-45%after 2 hours of coincubation with phagocytes and80%by a combination of lactadherin and phagocytes. Moreover, plasmin generation of target APL cells was inhibited 30% by 2 hours of phagocytosis and </w:instrText>
      </w:r>
      <w:r w:rsidR="008C387C">
        <w:rPr>
          <w:rFonts w:ascii="Cambria Math" w:hAnsi="Cambria Math" w:cs="Cambria Math"/>
          <w:sz w:val="24"/>
          <w:szCs w:val="24"/>
        </w:rPr>
        <w:instrText>∼</w:instrText>
      </w:r>
      <w:r w:rsidR="008C387C">
        <w:rPr>
          <w:rFonts w:ascii="Arial" w:hAnsi="Arial" w:cs="Arial"/>
          <w:sz w:val="24"/>
          <w:szCs w:val="24"/>
        </w:rPr>
        <w:instrText>50% by lactadherin-mediated engulfment. These results suggest that engulfment by macrophages and endothelial cells reduce procoagulant and fibrinolytic activity of APL blasts. Lactadherin and phagocytosis could cooperatively ameliorate the clotting disorders in APL.","author":[{"dropping-particle":"","family":"Xie","given":"Rui","non-dropping-particle":"","parse-names":false,"suffix":""},{"dropping-particle":"","family":"Gao","given":"Chunyan","non-dropping-particle":"","parse-names":false,"suffix":""},{"dropping-particle":"","family":"Li","given":"Wen","non-dropping-particle":"","parse-names":false,"suffix":""},{"dropping-particle":"","family":"Zhu","given":"Jiuxin","non-dropping-particle":"","parse-names":false,"suffix":""},{"dropping-particle":"","family":"Novakovic","given":"Valerie","non-dropping-particle":"","parse-names":false,"suffix":""},{"dropping-particle":"","family":"Wang","given":"Jing","non-dropping-particle":"","parse-names":false,"suffix":""},{"dropping-particle":"","family":"Ma","given":"Ruishuang","non-dropping-particle":"","parse-names":false,"suffix":""},{"dropping-particle":"","family":"Zhou","given":"Jin","non-dropping-particle":"","parse-names":false,"suffix":""},{"dropping-particle":"","family":"Gilbert","given":"Gary E.","non-dropping-particle":"","parse-names":false,"suffix":""},{"dropping-particle":"","family":"Shi","given":"Jialan","non-dropping-particle":"","parse-names":false,"suffix":""}],"container-title":"Blood","id":"ITEM-2","issue":"10","issued":{"date-parts":[["2012"]]},"page":"2325-2334","title":"Phagocytosis by macrophages and endothelial cells inhibits procoagulant and fibrinolytic activity of acute promyelocytic leukemia cells","type":"article-journal","volume":"119"},"uris":["http://www.mendeley.com/documents/?uuid=bfba96a0-a205-48d0-b69c-9a54a9ba4237"]}],"mendeley":{"formattedCitation":"&lt;sup&gt;145,146&lt;/sup&gt;","plainTextFormattedCitation":"145,146","previouslyFormattedCitation":"&lt;sup&gt;145,146&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145,146</w:t>
      </w:r>
      <w:r w:rsidRPr="00C06183">
        <w:rPr>
          <w:rFonts w:ascii="Arial" w:hAnsi="Arial" w:cs="Arial"/>
          <w:sz w:val="24"/>
          <w:szCs w:val="24"/>
        </w:rPr>
        <w:fldChar w:fldCharType="end"/>
      </w:r>
      <w:r w:rsidRPr="00C06183">
        <w:rPr>
          <w:rFonts w:ascii="Arial" w:hAnsi="Arial" w:cs="Arial"/>
          <w:sz w:val="24"/>
          <w:szCs w:val="24"/>
        </w:rPr>
        <w:t xml:space="preserve"> </w:t>
      </w:r>
    </w:p>
    <w:p w14:paraId="21E849C9" w14:textId="496AF3E3" w:rsidR="00C06183" w:rsidRPr="00C06183" w:rsidRDefault="00C06183" w:rsidP="00C06183">
      <w:pPr>
        <w:spacing w:line="480" w:lineRule="auto"/>
        <w:ind w:firstLine="708"/>
        <w:jc w:val="both"/>
        <w:rPr>
          <w:rFonts w:ascii="Arial" w:hAnsi="Arial" w:cs="Arial"/>
          <w:sz w:val="24"/>
          <w:szCs w:val="24"/>
        </w:rPr>
      </w:pPr>
      <w:r w:rsidRPr="00C06183">
        <w:rPr>
          <w:rFonts w:ascii="Arial" w:hAnsi="Arial" w:cs="Arial"/>
          <w:sz w:val="24"/>
          <w:szCs w:val="24"/>
        </w:rPr>
        <w:t>Certain clathrin and caveolae independent pathways that are also independent of dynamin and lack a defined protein coat for encapsulating endocytic cargo</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{"citationItems":[{"id":"ITEM-1","itemData":{"DOI":"10.1101/cshperspect.a016758","ISSN":"1943-0264","author":[{"dropping-particle":"","family":"Mayor","given":"S.","non-dropping-particle":"","parse-names":false,"suffix":""},{"dropping-particle":"","family":"Parton","given":"R. G.","non-dropping-particle":"","parse-names":false,"suffix":""},{"dropping-particle":"","family":"Donaldson","given":"J. G.","non-dropping-particle":"","parse-names":false,"suffix":""}],"container-title":"Cold Spring Harbor Perspectives in Biology","id":"ITEM-1","issue":"6","issued":{"date-parts":[["2014","6","1"]]},"page":"a016758-a016758","title":"Clathrin-Independent Pathways of Endocytosis","type":"article-journal","volume":"6"},"uris":["http://www.mendeley.com/documents/?uuid=577808f9-bb63-42ab-a629-bda6ec90e116"]}],"mendeley":{"formattedCitation":"&lt;sup&gt;147&lt;/sup&gt;","plainTextFormattedCitation":"147","previouslyFormattedCitation":"&lt;sup&gt;147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147</w:t>
      </w:r>
      <w:r w:rsidRPr="00C06183">
        <w:rPr>
          <w:rFonts w:ascii="Arial" w:hAnsi="Arial" w:cs="Arial"/>
          <w:sz w:val="24"/>
          <w:szCs w:val="24"/>
        </w:rPr>
        <w:fldChar w:fldCharType="end"/>
      </w:r>
      <w:r w:rsidRPr="00C06183">
        <w:rPr>
          <w:rFonts w:ascii="Arial" w:hAnsi="Arial" w:cs="Arial"/>
          <w:sz w:val="24"/>
          <w:szCs w:val="24"/>
        </w:rPr>
        <w:t xml:space="preserve"> One of these pathways is termed the clathrin independent carriers and GPI enriched endocytic compartments (CLIC/GEEC) pathway, which is used for the endocytosis of many glycosylphosphatidylinositol anchored proteins, and certain toxins and viruses. CLIC/GEEC endosomes are formed through the activation of the ADP-ribosylation factor 1 (ARF1), where CLICs are formed at the front of migratory cells, and the GEECs that are formed from this fuse with early endosomes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{"citationItems":[{"id":"ITEM-1","itemData":{"DOI":"10.1016/j.cub.2008.10.044","ISSN":"09609822","PMID":"19036340","abstract":"Clathrin-independent endocytosis is an umbrella term for a variety of endocytic pathways that internalize numerous cargoes independently of the canonical coat protein Clathrin [1, 2]. Electron-microscopy studies have defined the pleiomorphic CLathrin-Independent Carriers (CLICs) and GPI-Enriched Endocytic Compartments (GEECs) as related major players in such uptake [3, 4]. This CLIC/GEEC pathway relies upon cellular signaling and activation through small G proteins, but mechanistic insight into the biogenesis of its tubular and tubulovesicular carriers is lacking. Here we show that the Rho-GAP-domain-containing protein GRAF1 marks, and is indispensable for, a major Clathrin-independent endocytic pathway. This pathway is characterized by its ability to internalize bacterial exotoxins, GPI-linked proteins, and extracellular fluid. We show that GRAF1 localizes to PtdIns(4,5)P2-enriched, tubular, and punctate lipid structures via N-terminal BAR and PH domains. These membrane carriers are relatively devoid of caveolin1 and flotillin1 but are associated with activity of the small G protein Cdc42. This study provides the first specific noncargo marker for CLIC/GEEC endocytic membranes and demonstrates how GRAF1 can coordinate small G protein signaling and membrane remodeling to facilitate internalization of CLIC/GEEC pathway cargoes. © 2008 Elsevier Ltd. All rights reserved.","author":[{"dropping-particle":"","family":"Lundmark","given":"Richard","non-dropping-particle":"","parse-names":false,"suffix":""},{"dropping-particle":"","family":"Doherty","given":"Gary J","non-dropping-particle":"","parse-names":false,"suffix":""},{"dropping-particle":"","family":"Howes","given":"Mark T","non-dropping-particle":"","parse-names":false,"suffix":""},{"dropping-particle":"","family":"Cortese","given":"Katia","non-dropping-particle":"","parse-names":false,"suffix":""},{"dropping-particle":"","family":"Vallis","given":"Yvonne","non-dropping-particle":"","parse-names":false,"suffix":""},{"dropping-particle":"","family":"Parton","given":"Robert G","non-dropping-particle":"","parse-names":false,"suffix":""},{"dropping-particle":"","family":"McMahon","given":"Harvey T.","non-dropping-particle":"","parse-names":false,"suffix":""}],"container-title":"Current Biology","id":"ITEM-1","issue":"22","issued":{"date-parts":[["2008","11"]]},"page":"1802-1808","publisher":"Elsevier Ltd","title":"The GTPase-Activating Protein GRAF1 Regulates the CLIC/GEEC Endocytic Pathway","type":"article-journal","volume":"18"},"uris":["http://www.mendeley.com/documents/?uuid=13570302-2ab8-47b3-b11f-62a58d34623e"]},{"id":"ITEM-2","itemData":{"DOI":"10.1038/s41467-018-03955-w","ISSN":"2041-1723","PMID":"29743604","abstract":"Using real-time TIRF microscopy imaging, we identify sites of clathrin and dynamin-independent CLIC/GEEC (CG) endocytic vesicle formation. This allows spatio-temporal localisation of known molecules affecting CG endocytosis; GBF1 (a GEF for ARF1), ARF1 and CDC42 which appear sequentially over 60 s, preceding scission. In an RNAi screen for BAR domain proteins affecting CG endocytosis, IRSp53 and PICK1, known interactors of CDC42 and ARF1, respectively, were selected. Removal of IRSp53, a negative curvature sensing protein, abolishes CG endocytosis. Furthermore, the identification of ARP2/3 complex at CG endocytic sites, maintained in an inactive state reveals a function for PICK1, an ARP2/3 inhibitor. The spatio-temporal sequence of the arrival and disappearance of the molecules suggest a mechanism for a clathrin and dynamin-independent endocytic process. Coincident with the loss of PICK1 by GBF1-activated ARF1, CDC42 recruitment leads to the activation of IRSp53 and the ARP2/3 complex, resulting in a burst of F-actin polymerisation potentially powering scission.","author":[{"dropping-particle":"","family":"Sathe","given":"Mugdha","non-dropping-particle":"","parse-names":false,"suffix":""},{"dropping-particle":"","family":"Muthukrishnan","given":"Gayatri","non-dropping-particle":"","parse-names":false,"suffix":""},{"dropping-particle":"","family":"Rae","given":"James","non-dropping-particle":"","parse-names":false,"suffix":""},{"dropping-particle":"","family":"Disanza","given":"Andrea","non-dropping-particle":"","parse-names":false,"suffix":""},{"dropping-particle":"","family":"Thattai","given":"Mukund","non-dropping-particle":"","parse-names":false,"suffix":""},{"dropping-particle":"","family":"Scita","given":"Giorgio","non-dropping-particle":"","parse-names":false,"suffix":""},{"dropping-particle":"","family":"Parton","given":"Robert G","non-dropping-particle":"","parse-names":false,"suffix":""},{"dropping-particle":"","family":"Mayor","given":"Satyajit","non-dropping-particle":"","parse-names":false,"suffix":""}],"container-title":"Nature Communications","id":"ITEM-2","issue":"1","issued":{"date-parts":[["2018","12","9"]]},"page":"1835","publisher":"Springer US","title":"Small GTPases and BAR domain proteins regulate branched actin polymerisation for clathrin and dynamin-independent endocytosis","type":"article-journal","volume":"9"},"uris":["http://www.mendeley.com/documents/?uuid=21b411ad-be2d-42af-a8d8-1a59383a60b8"]}],"mendeley":{"formattedCitation":"&lt;sup&gt;148,149&lt;/sup&gt;","plainTextFormattedCitation":"148,149","previouslyFormattedCitation":"&lt;sup&gt;148,149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148,149</w:t>
      </w:r>
      <w:r w:rsidRPr="00C06183">
        <w:rPr>
          <w:rFonts w:ascii="Arial" w:hAnsi="Arial" w:cs="Arial"/>
          <w:sz w:val="24"/>
          <w:szCs w:val="24"/>
        </w:rPr>
        <w:fldChar w:fldCharType="end"/>
      </w:r>
      <w:r w:rsidRPr="00C06183">
        <w:rPr>
          <w:rFonts w:ascii="Arial" w:hAnsi="Arial" w:cs="Arial"/>
          <w:sz w:val="24"/>
          <w:szCs w:val="24"/>
        </w:rPr>
        <w:t xml:space="preserve"> A similar pathway is dependent on the ADP-ribosylation factor 6 (ARF6), known as the ARF6-associated pathway. Here, ARF6 is activated and inactivated to control membrane trafficking and recycling. It is currently </w:t>
      </w:r>
      <w:r w:rsidRPr="00C06183">
        <w:rPr>
          <w:rFonts w:ascii="Arial" w:hAnsi="Arial" w:cs="Arial"/>
          <w:sz w:val="24"/>
          <w:szCs w:val="24"/>
        </w:rPr>
        <w:lastRenderedPageBreak/>
        <w:t>unknown whether the ARF6-associated pathway and the CLIC/GEEC pathway are truly distinct pathways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{"citationItems":[{"id":"ITEM-1","itemData":{"DOI":"10.1101/cshperspect.a016758","ISSN":"1943-0264","author":[{"dropping-particle":"","family":"Mayor","given":"S.","non-dropping-particle":"","parse-names":false,"suffix":""},{"dropping-particle":"","family":"Parton","given":"R. G.","non-dropping-particle":"","parse-names":false,"suffix":""},{"dropping-particle":"","family":"Donaldson","given":"J. G.","non-dropping-particle":"","parse-names":false,"suffix":""}],"container-title":"Cold Spring Harbor Perspectives in Biology","id":"ITEM-1","issue":"6","issued":{"date-parts":[["2014","6","1"]]},"page":"a016758-a016758","title":"Clathrin-Independent Pathways of Endocytosis","type":"article-journal","volume":"6"},"uris":["http://www.mendeley.com/documents/?uuid=577808f9-bb63-42ab-a629-bda6ec90e116"]}],"mendeley":{"formattedCitation":"&lt;sup&gt;147&lt;/sup&gt;","plainTextFormattedCitation":"147","previouslyFormattedCitation":"&lt;sup&gt;147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147</w:t>
      </w:r>
      <w:r w:rsidRPr="00C06183">
        <w:rPr>
          <w:rFonts w:ascii="Arial" w:hAnsi="Arial" w:cs="Arial"/>
          <w:sz w:val="24"/>
          <w:szCs w:val="24"/>
        </w:rPr>
        <w:fldChar w:fldCharType="end"/>
      </w:r>
      <w:r w:rsidRPr="00C06183">
        <w:rPr>
          <w:rFonts w:ascii="Arial" w:hAnsi="Arial" w:cs="Arial"/>
          <w:sz w:val="24"/>
          <w:szCs w:val="24"/>
        </w:rPr>
        <w:t xml:space="preserve"> </w:t>
      </w:r>
    </w:p>
    <w:p w14:paraId="67637264" w14:textId="7BAAA76C"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shd w:val="clear" w:color="auto" w:fill="FFFFFF"/>
        </w:rPr>
        <w:t xml:space="preserve">Another endocytic pathway that is potentially prevalent in endothelial cells is lipid raft mediated endocytosis. This pathway is based on cholesterol and sphingolipid rich microdomains on the cell membrane. However, the existence of lipids rafts is a matter of debate in the literature given that they have not been visualized yet </w:t>
      </w:r>
      <w:r w:rsidRPr="00C06183">
        <w:rPr>
          <w:rStyle w:val="normaltextrun"/>
          <w:rFonts w:ascii="Arial" w:hAnsi="Arial" w:cs="Arial"/>
          <w:i/>
          <w:iCs/>
          <w:color w:val="000000"/>
          <w:sz w:val="24"/>
          <w:szCs w:val="24"/>
          <w:shd w:val="clear" w:color="auto" w:fill="FFFFFF"/>
        </w:rPr>
        <w:t>in vivo</w:t>
      </w:r>
      <w:r w:rsidR="00EF773E">
        <w:rPr>
          <w:rStyle w:val="normaltextrun"/>
          <w:rFonts w:ascii="Arial" w:hAnsi="Arial" w:cs="Arial"/>
          <w:i/>
          <w:iCs/>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{"citationItems":[{"id":"ITEM-1","itemData":{"DOI":"10.1186/s13567-020-0739-7","ISBN":"1356702007397","ISSN":"12979716","PMID":"32041637","abstract":"With the emergence of highly pathogenic variant strains, porcine epidemic diarrhea virus (PEDV) has led to significant economic loss in the global swine industry. Many studies have described how coronaviruses enter cells, but information on PEDV invasion strategies remains insufficient. Given that the differences in gene sequences and pathogenicity between classical and mutant strains of PEDV may lead to diverse invasion mechanisms, this study focused on the cellular entry pathways and cellular transport of the PEDV GI and GII subtype strains in Vero cells and IPEC-J2 cells. We first characterized the kinetics of PEDV entry into cells and found that the highest invasion rate of PEDV was approximately 33% in the IPEC-J2 cells and approximately 100% in the Vero cells. To clarify the specific endocytic pathways, systematic research methods were used and showed that PEDV enters cells via the clathrin- and caveolae-mediated endocytosis pathways, in which dynamin II, clathrin heavy chain, Eps15, cholesterol, and caveolin-1 were indispensably involved. In addition, lipid raft extraction assay showed that PEDV can also enter cells through lipid raft-mediated endocytosis. To investigate the trafficking of internalized PEDV, we found that PEDV entry into cells relied on low pH and internalized virions reached lysosomes through the early endosome-late endosome-lysosome pathway. The results concretely revealed the entry mechanisms of PEDV and provided an insightful theoretical basis for the further understanding of PEDV pathogenesis and guidance for new targets of antiviral drugs.","author":[{"dropping-particle":"","family":"Wei","given":"Xiaona","non-dropping-particle":"","parse-names":false,"suffix":""},{"dropping-particle":"","family":"She","given":"Gaoli","non-dropping-particle":"","parse-names":false,"suffix":""},{"dropping-particle":"","family":"Wu","given":"Tingting","non-dropping-particle":"","parse-names":false,"suffix":""},{"dropping-particle":"","family":"Xue","given":"Chunyi","non-dropping-particle":"","parse-names":false,"suffix":""},{"dropping-particle":"","family":"Cao","given":"Yongchang","non-dropping-particle":"","parse-names":false,"suffix":""}],"container-title":"Veterinary Research","id":"ITEM-1","issue":"1","issued":{"date-parts":[["2020"]]},"page":"1-18","publisher":"BioMed Central","title":"PEDV enters cells through clathrin-, caveolae-, and lipid raft-mediated endocytosis and traffics via the endo-/lysosome pathway","type":"article-journal","volume":"51"},"uris":["http://www.mendeley.com/documents/?uuid=bafcd0d0-aaf4-4450-821a-694391456c59"]},{"id":"ITEM-2","itemData":{"DOI":"10.1038/ncomms7969","ISSN":"20411723","abstract":"The organization of proteins and lipids in the plasma membrane has been the subject of a long-lasting debate. Membrane rafts of higher lipid chain order were proposed to mediate protein interactions, but have thus far not been directly observed. Here we use protein micropatterning combined with single-molecule tracking to put current models to the test: we rearranged lipid-anchored raft proteins (glycosylphosphatidylinositol(GPI)-anchored-mGFP) directly in the live cell plasma membrane and measured the effect on the local membrane environment. Intriguingly, this treatment does neither nucleate the formation of an ordered membrane phase nor result in any enrichment of nanoscopic-ordered domains within the micropatterned regions. In contrast, we find that immobilized mGFP-GPIs behave as inert obstacles to the diffusion of other membrane constituents without influencing their membrane environment over distances beyond their physical size. Our results indicate that phase partitioning is not a fundamental element of protein organization in the plasma membrane.","author":[{"dropping-particle":"","family":"Sevcsik","given":"Eva","non-dropping-particle":"","parse-names":false,"suffix":""},{"dropping-particle":"","family":"Brameshuber","given":"Mario","non-dropping-particle":"","parse-names":false,"suffix":""},{"dropping-particle":"","family":"Fölser","given":"Martin","non-dropping-particle":"","parse-names":false,"suffix":""},{"dropping-particle":"","family":"Weghuber","given":"Julian","non-dropping-particle":"","parse-names":false,"suffix":""},{"dropping-particle":"","family":"Honigmann","given":"Alf","non-dropping-particle":"","parse-names":false,"suffix":""},{"dropping-particle":"","family":"Schütz","given":"Gerhard J.","non-dropping-particle":"","parse-names":false,"suffix":""}],"container-title":"Nature Communications","id":"ITEM-2","issued":{"date-parts":[["2015"]]},"page":"1-10","title":"GPI-anchored proteins do not reside in ordered domains in the live cell plasma membrane","type":"article-journal","volume":"6"},"uris":["http://www.mendeley.com/documents/?uuid=4d76fed9-4fdb-40f3-8964-e7c030ceaada"]}],"mendeley":{"formattedCitation":"&lt;sup&gt;150,151&lt;/sup&gt;","plainTextFormattedCitation":"150,151","previouslyFormattedCitation":"&lt;sup&gt;150,151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150,151</w:t>
      </w:r>
      <w:r w:rsidRPr="00C06183">
        <w:rPr>
          <w:rFonts w:ascii="Arial" w:hAnsi="Arial" w:cs="Arial"/>
          <w:sz w:val="24"/>
          <w:szCs w:val="24"/>
        </w:rPr>
        <w:fldChar w:fldCharType="end"/>
      </w:r>
    </w:p>
    <w:p w14:paraId="6D286661" w14:textId="26959433" w:rsid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shd w:val="clear" w:color="auto" w:fill="FFFFFF"/>
        </w:rPr>
        <w:t>One pathway that is particularly important for cancer nanomedicine delivery is known as the C-end Rule (</w:t>
      </w:r>
      <w:proofErr w:type="spellStart"/>
      <w:r w:rsidRPr="00C06183">
        <w:rPr>
          <w:rStyle w:val="normaltextrun"/>
          <w:rFonts w:ascii="Arial" w:hAnsi="Arial" w:cs="Arial"/>
          <w:color w:val="000000"/>
          <w:sz w:val="24"/>
          <w:szCs w:val="24"/>
          <w:shd w:val="clear" w:color="auto" w:fill="FFFFFF"/>
        </w:rPr>
        <w:t>CendR</w:t>
      </w:r>
      <w:proofErr w:type="spellEnd"/>
      <w:r w:rsidRPr="00C06183">
        <w:rPr>
          <w:rStyle w:val="normaltextrun"/>
          <w:rFonts w:ascii="Arial" w:hAnsi="Arial" w:cs="Arial"/>
          <w:color w:val="000000"/>
          <w:sz w:val="24"/>
          <w:szCs w:val="24"/>
          <w:shd w:val="clear" w:color="auto" w:fill="FFFFFF"/>
        </w:rPr>
        <w:t xml:space="preserve">) pathway, a neuropilin-1 mediated uptake that is similar to macropinocytosis, and is specific to peptides with a C-terminal arginine or lysine, and is the method that the tumor penetrating peptide, </w:t>
      </w:r>
      <w:proofErr w:type="spellStart"/>
      <w:r w:rsidRPr="00C06183">
        <w:rPr>
          <w:rStyle w:val="normaltextrun"/>
          <w:rFonts w:ascii="Arial" w:hAnsi="Arial" w:cs="Arial"/>
          <w:color w:val="000000"/>
          <w:sz w:val="24"/>
          <w:szCs w:val="24"/>
          <w:shd w:val="clear" w:color="auto" w:fill="FFFFFF"/>
        </w:rPr>
        <w:t>iRGD</w:t>
      </w:r>
      <w:proofErr w:type="spellEnd"/>
      <w:r w:rsidRPr="00C06183">
        <w:rPr>
          <w:rStyle w:val="normaltextrun"/>
          <w:rFonts w:ascii="Arial" w:hAnsi="Arial" w:cs="Arial"/>
          <w:color w:val="000000"/>
          <w:sz w:val="24"/>
          <w:szCs w:val="24"/>
          <w:shd w:val="clear" w:color="auto" w:fill="FFFFFF"/>
        </w:rPr>
        <w:t>, takes after it is cleaved by αV integrins on the surface of tumor cells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{"citationItems":[{"id":"ITEM-1","itemData":{"DOI":"10.1016/j.ccr.2009.10.013","ISSN":"15356108","abstract":"Poor penetration of drugs into tumors is a major obstacle in tumor treatment. We describe a strategy for peptide-mediated delivery of compounds deep into the tumor parenchyma that uses a tumor-homing peptide, iRGD (CRGDK/RGPD/EC). Intravenously injected compounds coupled to iRGD bound to tumor vessels and spread into the extravascular tumor parenchyma, whereas conventional RGD peptides only delivered the cargo to the blood vessels. iRGD homes to tumors through a three-step process: the RGD motif mediates binding to αv integrins on tumor endothelium and a proteolytic cleavage then exposes a binding motif for neuropilin-1, which mediates penetration into tissue and cells. Conjugation to iRGD significantly improved the sensitivity of tumor-imaging agents and enhanced the activity of an antitumor drug. © 2009 Elsevier Inc. All rights reserved.","author":[{"dropping-particle":"","family":"Sugahara","given":"Kazuki N.","non-dropping-particle":"","parse-names":false,"suffix":""},{"dropping-particle":"","family":"Teesalu","given":"Tambet","non-dropping-particle":"","parse-names":false,"suffix":""},{"dropping-particle":"","family":"Karmali","given":"Priya Prakash","non-dropping-particle":"","parse-names":false,"suffix":""},{"dropping-particle":"","family":"Kotamraju","given":"Venkata Ramana","non-dropping-particle":"","parse-names":false,"suffix":""},{"dropping-particle":"","family":"Agemy","given":"Lilach","non-dropping-particle":"","parse-names":false,"suffix":""},{"dropping-particle":"","family":"Girard","given":"Olivier M.","non-dropping-particle":"","parse-names":false,"suffix":""},{"dropping-particle":"","family":"Hanahan","given":"Douglas","non-dropping-particle":"","parse-names":false,"suffix":""},{"dropping-particle":"","family":"Mattrey","given":"Robert F.","non-dropping-particle":"","parse-names":false,"suffix":""},{"dropping-particle":"","family":"Ruoslahti","given":"Erkki","non-dropping-particle":"","parse-names":false,"suffix":""}],"container-title":"Cancer Cell","id":"ITEM-1","issue":"6","issued":{"date-parts":[["2009"]]},"page":"510-520","publisher":"Elsevier Ltd","title":"Tissue-Penetrating Delivery of Compounds and Nanoparticles into Tumors","type":"article-journal","volume":"16"},"uris":["http://www.mendeley.com/documents/?uuid=8d5c3575-be22-49b6-b568-b4fbcfb56e12"]},{"id":"ITEM-2","itemData":{"DOI":"10.1126/sciadv.1500821","ISSN":"23752548","abstract":"Cell-penetrating peptides (CPPs) have been widely used to deliver nanomaterials and other types of macromolecules into mammalian cells for therapeutic and diagnostic use. Cationic CPPs that bind to heparan sulfate (HS) proteoglycans on the cell surface induce potent endocytosis; however, the role of other surface receptors in this process is unclear. We describe the convergence of an HS-dependent pathway with the C-end rule (CendR) mechanism that enables peptide ligation with neuropilin-1 (NRP1), a cell surface receptor known to be involved in angiogenesis and vascular permeability. NRP1 binds peptides carrying a positive residue at the carboxyl terminus, a feature that is compatible with cationic CPPs, either intact or after proteolytic processing. We used CPP and CendR peptides, as well as HS-and NRP1-binding motifs from semaphorins, to explore the commonalities and differences of the HS and NRP1 pathways. We show that the CendR-NRP1 interaction determines the ability of CPPs to induce vascular permeability. We also show at the ultrastructural level, using a novel cell entry synchronization method, that both the HS and NRP1 pathways can initiate a macropinocytosis-like process and visualize these CPP-cargo complexes going through various endosomal compartments. Our results provide new insights into how CPPs exploit multiple surface receptor pathways for intracellular delivery.","author":[{"dropping-particle":"","family":"Pang","given":"Hong Bo","non-dropping-particle":"","parse-names":false,"suffix":""},{"dropping-particle":"","family":"Braun","given":"Gary B.","non-dropping-particle":"","parse-names":false,"suffix":""},{"dropping-particle":"","family":"Ruoslahti","given":"Erkki","non-dropping-particle":"","parse-names":false,"suffix":""}],"container-title":"Science Advances","id":"ITEM-2","issue":"10","issued":{"date-parts":[["2015"]]},"page":"1-8","title":"Neuropilin-1 and heparan sulfate proteoglycans cooperate in cellular uptake of nanoparticles functionalized by cationic cell-penetrating peptides","type":"article-journal","volume":"1"},"uris":["http://www.mendeley.com/documents/?uuid=445e5445-7a44-45bc-92ae-1080c2e9a14d"]}],"mendeley":{"formattedCitation":"&lt;sup&gt;152,153&lt;/sup&gt;","plainTextFormattedCitation":"152,153","previouslyFormattedCitation":"&lt;sup&gt;152,153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152,153</w:t>
      </w:r>
      <w:r w:rsidRPr="00C06183">
        <w:rPr>
          <w:rFonts w:ascii="Arial" w:hAnsi="Arial" w:cs="Arial"/>
          <w:sz w:val="24"/>
          <w:szCs w:val="24"/>
        </w:rPr>
        <w:fldChar w:fldCharType="end"/>
      </w:r>
      <w:r w:rsidRPr="00C06183">
        <w:rPr>
          <w:rFonts w:ascii="Arial" w:hAnsi="Arial" w:cs="Arial"/>
          <w:sz w:val="24"/>
          <w:szCs w:val="24"/>
        </w:rPr>
        <w:t xml:space="preserve"> The previously mentioned VVOs and fenestrae are also possible routes, though more work will be needed to determine their feasibilities for nanomedicine delivery purposes. </w:t>
      </w:r>
    </w:p>
    <w:p w14:paraId="06DE50EF" w14:textId="77777777" w:rsidR="00A22975" w:rsidRPr="00C06183" w:rsidRDefault="00A22975" w:rsidP="00C06183">
      <w:pPr>
        <w:spacing w:line="480" w:lineRule="auto"/>
        <w:ind w:firstLine="720"/>
        <w:jc w:val="both"/>
        <w:rPr>
          <w:rFonts w:ascii="Arial" w:hAnsi="Arial" w:cs="Arial"/>
          <w:sz w:val="24"/>
          <w:szCs w:val="24"/>
        </w:rPr>
      </w:pPr>
    </w:p>
    <w:p w14:paraId="41EC8156" w14:textId="6B68A11C" w:rsidR="00C06183" w:rsidRDefault="00C06183" w:rsidP="00721691">
      <w:pPr>
        <w:pStyle w:val="Heading2"/>
        <w:numPr>
          <w:ilvl w:val="1"/>
          <w:numId w:val="15"/>
        </w:numPr>
      </w:pPr>
      <w:bookmarkStart w:id="17" w:name="_Toc151032413"/>
      <w:r w:rsidRPr="00C06183">
        <w:t>Tools and techniques to investigate nanoparticle transport pathways across tumor endothelial cells</w:t>
      </w:r>
      <w:bookmarkEnd w:id="17"/>
      <w:r w:rsidRPr="00C06183">
        <w:tab/>
      </w:r>
    </w:p>
    <w:p w14:paraId="291D7D9C" w14:textId="77777777" w:rsidR="00721691" w:rsidRPr="00721691" w:rsidRDefault="00721691" w:rsidP="00721691">
      <w:pPr>
        <w:pStyle w:val="ListParagraph"/>
      </w:pPr>
    </w:p>
    <w:p w14:paraId="292AA1E0" w14:textId="1201F4A1" w:rsidR="00EA02B4" w:rsidRDefault="00C06183" w:rsidP="00C06183">
      <w:pPr>
        <w:spacing w:line="480" w:lineRule="auto"/>
        <w:jc w:val="both"/>
        <w:rPr>
          <w:rStyle w:val="normaltextrun"/>
          <w:rFonts w:ascii="Arial" w:hAnsi="Arial" w:cs="Arial"/>
          <w:color w:val="000000"/>
          <w:sz w:val="24"/>
          <w:szCs w:val="24"/>
          <w:shd w:val="clear" w:color="auto" w:fill="FFFFFF"/>
        </w:rPr>
      </w:pPr>
      <w:r w:rsidRPr="00C06183">
        <w:rPr>
          <w:rFonts w:ascii="Arial" w:hAnsi="Arial" w:cs="Arial"/>
          <w:sz w:val="24"/>
          <w:szCs w:val="24"/>
        </w:rPr>
        <w:tab/>
      </w:r>
      <w:r w:rsidRPr="00C06183">
        <w:rPr>
          <w:rStyle w:val="normaltextrun"/>
          <w:rFonts w:ascii="Arial" w:hAnsi="Arial" w:cs="Arial"/>
          <w:color w:val="000000"/>
          <w:sz w:val="24"/>
          <w:szCs w:val="24"/>
          <w:shd w:val="clear" w:color="auto" w:fill="FFFFFF"/>
        </w:rPr>
        <w:t>The specific targeting of endocytic pathways would be the first step in designing nanoparticles that transcytose through tumor blood vessel endothelial cells. A common method of accomplishing this is through the modification of the nanoparticle surfaces with protein or peptide ligands that are specific to endocytic receptors, along with necessary intermediates, as previously mentioned with the transferrin, albumin, and folic acid conjugations</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{"citationItems":[{"id":"ITEM-1","itemData":{"DOI":"10.1093/jmicro/dfs080","ISSN":"00220744","abstract":"When considering drug delivery, the amount of drug that can be carried at a particular time and how the drug is incorporated efficiently into cells are important parameters. Transferrin (Tf)-conjugated nanocarriers have been used for the targeted delivery of drugs to cancer cells due to the availability of receptor-mediated clathrin-dependent endocytosis. In general, however, endocytosis seems to differ according to the size and shape of carriers. Large substances are generally internalized into cells by phagocytosis. We studied the internalization mechanism of Tf-conjugated nanoparticles (diameter, 522 nm). Tf-conjugated polystyrene particles were incorporated into cells by receptor-mediated endocytosis with large clathrin-coated vesicles even though their diameter was &gt;500 nm and despite that fact that clathrin-coated vesicles have a diameter of 100 nm. This finding suggests that signals for internalization generated by stimulated Tf receptors (TfRs) activate clathrin-mediated endocytosis preferentially. Whether these larger particles could deliver drugs more efficiently than smaller particles was then examined. The toxicity of larger Tf-conjugated biodegradable nanoparticles (poly(lactic-co-glycolic acid)) encapsulating doxorubicin (diameter, 216 ± 38 nm) was appreciably dependent on the number of Tf molecules conjugated on a particle and the number of TfRs expressed on the cell membrane. Larger Tf-conjugated particles delivered drugs to cancer cells expressing many TfRs more selectively than their smaller counterparts (diameter, 56 ± 9 nm) if they were decorated with an appropriate number of Tf molecules. © The Author 2012. Published by Oxford University Press [on behalf of Japanese Society of Microscopy]. All rights reserved.","author":[{"dropping-particle":"","family":"Tsuji","given":"Takuma","non-dropping-particle":"","parse-names":false,"suffix":""},{"dropping-particle":"","family":"Yoshitomi","given":"Hiroshi","non-dropping-particle":"","parse-names":false,"suffix":""},{"dropping-particle":"","family":"Usukura","given":"Jiro","non-dropping-particle":"","parse-names":false,"suffix":""}],"container-title":"Journal of Electron Microscopy","id":"ITEM-1","issue":"3","issued":{"date-parts":[["2013"]]},"page":"341-352","title":"Endocytic mechanism of transferrin-conjugated nanoparticles and the effects of their size and ligand number on the efficiency of drug delivery","type":"article-journal","volume":"62"},"uris":["http://www.mendeley.com/documents/?uuid=db3a7b23-5d4a-4e4e-8591-d141f2c6723b"]},{"id":"ITEM-2","itemData":{"DOI":"10.1021/nn9012274","ISSN":"19360851","abstract":"Caveolae are plasma membrane invaginations prominent in all endothelial cells lining blood vessels. Caveolae characteristically bud to form free cytoplasmic vesicles capable of transporting carrier proteins such as albumin through the cell. However, caveolae size distribution and dynamics in living endothelial cells and ability of caveolae to internalize nanoparticles are not well understood. We demonstrate here the design of a dual-color nanoparticle pair to measure noninvasively caveolae size and dynamics. First, we coated nanoparticles with BSA (bovine serum albumin) to address whether albumin promoted their delivery. Albumin has been shown to bind to protein on endothelial cell surface localized in caveolae and activate albumin endocytosis. Imaging of BSA-coated nanoparticles varying from 20 to 100 nm in diameter in endothelial cells demonstrated that caveolae-mediated nanoparticle uptake was dependent on albumin coating of particles. We also showed that caveolae could accommodate up to 100 nm diameter nanoparticles, a size larger than the diameter of typical caveolae, suggesting compliant property of caveolae. Together, our results show the feasibility of tracking multicolored nanoparticles in living endothelial cells and potential usefulness for designing therapeutic nanoparticle cargo to cross the limiting vessel wall endothelial barrier.","author":[{"dropping-particle":"","family":"Wang","given":"Zhenjia","non-dropping-particle":"","parse-names":false,"suffix":""},{"dropping-particle":"","family":"Tiruppathi","given":"Chinnaswamy","non-dropping-particle":"","parse-names":false,"suffix":""},{"dropping-particle":"","family":"Minshall","given":"Richard D.","non-dropping-particle":"","parse-names":false,"suffix":""},{"dropping-particle":"","family":"Malik","given":"Asrar B.","non-dropping-particle":"","parse-names":false,"suffix":""}],"container-title":"ACS Nano","id":"ITEM-2","issue":"12","issued":{"date-parts":[["2009","12","22"]]},"page":"4110-4116","title":"Size and dynamics of caveolae studied using nanoparticles in living endothelial cells","type":"article-journal","volume":"3"},"uris":["http://www.mendeley.com/documents/?uuid=5a782f47-7a4c-3a5c-80c1-f3e5afe123b7"]},{"id":"ITEM-3","itemData":{"DOI":"10.1088/1361-6528/ab8b90","ISSN":"0957-4484","author":[{"dropping-particle":"","family":"Borlan","given":"Raluca","non-dropping-particle":"","parse-names":false,"suffix":""},{"dropping-particle":"","family":"Tatar","given":"Andra-Sorina","non-dropping-particle":"","parse-names":false,"suffix":""},{"dropping-particle":"","family":"Soritau","given":"Olga","non-dropping-particle":"","parse-names":false,"suffix":""},{"dropping-particle":"","family":"Maniu","given":"Dana","non-dropping-particle":"","parse-names":false,"suffix":""},{"dropping-particle":"","family":"Marc","given":"Gabriel","non-dropping-particle":"","parse-names":false,"suffix":""},{"dropping-particle":"","family":"Florea","given":"Adrian","non-dropping-particle":"","parse-names":false,"suffix":""},{"dropping-particle":"","family":"Focsan","given":"Monica","non-dropping-particle":"","parse-names":false,"suffix":""},{"dropping-particle":"","family":"Astilean","given":"Simion","non-dropping-particle":"","parse-names":false,"suffix":""}],"container-title":"Nanotechnology","id":"ITEM-3","issue":"31","issued":{"date-parts":[["2020","7","31"]]},"page":"315102","title":"Design of fluorophore-loaded human serum albumin nanoparticles for specific targeting of NIH:OVCAR3 ovarian cancer cells","type":"article-journal","volume":"31"},"uris":["http://www.mendeley.com/documents/?uuid=46537c11-5d2e-4625-9792-91525eea9200"]},{"id":"ITEM-4","itemData":{"DOI":"10.1021/acsanm.9b02541","ISSN":"25740970","abstract":"Nanoparticle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8C387C">
        <w:rPr>
          <w:rFonts w:ascii="Cambria Math" w:hAnsi="Cambria Math" w:cs="Cambria Math"/>
          <w:sz w:val="24"/>
          <w:szCs w:val="24"/>
        </w:rPr>
        <w:instrText>∼</w:instrText>
      </w:r>
      <w:r w:rsidR="008C387C">
        <w:rPr>
          <w:rFonts w:ascii="Arial" w:hAnsi="Arial" w:cs="Arial"/>
          <w:sz w:val="24"/>
          <w:szCs w:val="24"/>
        </w:rPr>
        <w:instrText>;30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nanomedicine.","author":[{"dropping-particle":"","family":"Lee","given":"Joanne C","non-dropping-particle":"","parse-names":false,"suffix":""},{"dropping-particle":"","family":"Donahue","given":"Nathan D","non-dropping-particle":"","parse-names":false,"suffix":""},{"dropping-particle":"","family":"Mao","given":"Angelina S","non-dropping-particle":"","parse-names":false,"suffix":""},{"dropping-particle":"","family":"Karim","given":"Amber","non-dropping-particle":"","parse-names":false,"suffix":""},{"dropping-particle":"","family":"Komarneni","given":"Mallikharjuna","non-dropping-particle":"","parse-names":false,"suffix":""},{"dropping-particle":"","family":"Thomas","given":"Emily E","non-dropping-particle":"","parse-names":false,"suffix":""},{"dropping-particle":"","family":"Francek","given":"Emmy R","non-dropping-particle":"","parse-names":false,"suffix":""},{"dropping-particle":"","family":"Yang","given":"Wen","non-dropping-particle":"","parse-names":false,"suffix":""},{"dropping-particle":"","family":"Wilhelm","given":"Stefan","non-dropping-particle":"","parse-names":false,"suffix":""}],"container-title":"ACS Applied Nano Materials","id":"ITEM-4","issued":{"date-parts":[["2020"]]},"title":"Exploring Maleimide-Based Nanoparticle Surface Engineering to Control Cellular Interactions","type":"article-journal"},"uris":["http://www.mendeley.com/documents/?uuid=c75908a1-fe3e-4789-b8a7-471d12f0984d"]},{"id":"ITEM-5","itemData":{"DOI":"10.7150/thno.5113","ISSN":"1838-7640","author":[{"dropping-particle":"","family":"Wilhelm","given":"Stefan","non-dropping-particle":"","parse-names":false,"suffix":""},{"dropping-particle":"","family":"Hirsch","given":"Thomas","non-dropping-particle":"","parse-names":false,"suffix":""},{"dropping-particle":"","family":"Patterson","given":"Wendy M.","non-dropping-particle":"","parse-names":false,"suffix":""},{"dropping-particle":"","family":"Scheucher","given":"Elisabeth","non-dropping-particle":"","parse-names":false,"suffix":""},{"dropping-particle":"","family":"Mayr","given":"Torsten","non-dropping-particle":"","parse-names":false,"suffix":""},{"dropping-particle":"","family":"Wolfbeis","given":"Otto S.","non-dropping-particle":"","parse-names":false,"suffix":""}],"container-title":"Theranostics","id":"ITEM-5","issue":"4","issued":{"date-parts":[["2013"]]},"page":"239-248","title":"Multicolor Upconversion Nanoparticles for Protein Conjugation","type":"article-journal","volume":"3"},"uris":["http://www.mendeley.com/documents/?uuid=e8ef2322-f497-4d9f-a022-a5db8e19451c"]},{"id":"ITEM-6","itemData":{"DOI":"10.1021/acs.nanolett.8b03434","ISSN":"15306992","PMID":"30525697","abstract":"Nanoparticles are engineered from materials such as metals, polymers, and different carbon allotropes that do not exist within the body. Exposure to these exogenous compounds raises concerns surrounding toxicity, inflammation, and immune activation. These responses could potentially be mitigated by synthesizing nanoparticles directly from molecules derived from the host. However, efforts to assemble patient-derived macromolecules into structures with the same degree of size and shape tunability as their exogenous counterparts remains a significant challenge. Here we solve this problem by creating a new class of size- and shape-tunable personalized protein nanoparticles (PNP) made entirely from patient-derived proteins. PNPs are built into different sizes and shapes with the same degree of tunability as gold nanoparticles. They are biodegradable and do not activate innate or adaptive immunity following single and repeated administrations in vivo. PNPs can be further modified with specific protein cargos that remain catalytically active even after intracellular delivery in vivo. Finally, we demonstrate that PNPs created from different human patients have unique molecular fingerprints encoded directly into the structure of the nanoparticle. This new class of personalized nanomaterial has the potential to revolutionize how we treat patients and can become an integral component in the diagnostic and therapeutic toolbox.","author":[{"dropping-particle":"","family":"Lazarovits","given":"James","non-dropping-particle":"","parse-names":false,"suffix":""},{"dropping-particle":"","family":"Chen","given":"Yih Yang","non-dropping-particle":"","parse-names":false,"suffix":""},{"dropping-particle":"","family":"Song","given":"Fayi","non-dropping-particle":"","parse-names":false,"suffix":""},{"dropping-particle":"","family":"Ngo","given":"Wayne","non-dropping-particle":"","parse-names":false,"suffix":""},{"dropping-particle":"","family":"Tavares","given":"Anthony J","non-dropping-particle":"","parse-names":false,"suffix":""},{"dropping-particle":"","family":"Zhang","given":"Yi Nan","non-dropping-particle":"","parse-names":false,"suffix":""},{"dropping-particle":"","family":"Audet","given":"Julie","non-dropping-particle":"","parse-names":false,"suffix":""},{"dropping-particle":"","family":"Tang","given":"Bo","non-dropping-particle":"","parse-names":false,"suffix":""},{"dropping-particle":"","family":"Lin","given":"Qiaochu","non-dropping-particle":"","parse-names":false,"suffix":""},{"dropping-particle":"","family":"Cruz Tleugabulova","given":"Mayra","non-dropping-particle":"","parse-names":false,"suffix":""},{"dropping-particle":"","family":"Wilhelm","given":"Stefan","non-dropping-particle":"","parse-names":false,"suffix":""},{"dropping-particle":"","family":"Krieger","given":"Jonathan R","non-dropping-particle":"","parse-names":false,"suffix":""},{"dropping-particle":"","family":"Mallevaey","given":"Thierry","non-dropping-particle":"","parse-names":false,"suffix":""},{"dropping-particle":"","family":"Chan","given":"Warren C.W.","non-dropping-particle":"","parse-names":false,"suffix":""}],"container-title":"Nano Letters","id":"ITEM-6","issue":"1","issued":{"date-parts":[["2019","1","9"]]},"page":"116-123","title":"Synthesis of Patient-Specific Nanomaterials","type":"article-journal","volume":"19"},"uris":["http://www.mendeley.com/documents/?uuid=6c9fc22c-a725-48f5-b56e-74c3b36f6965"]}],"mendeley":{"formattedCitation":"&lt;sup&gt;104,127,128,154–156&lt;/sup&gt;","plainTextFormattedCitation":"104,127,128,154–156","previouslyFormattedCitation":"&lt;sup&gt;104,127,128,154–156&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104,127,128,154–156</w:t>
      </w:r>
      <w:r w:rsidRPr="00C06183">
        <w:rPr>
          <w:rFonts w:ascii="Arial" w:hAnsi="Arial" w:cs="Arial"/>
          <w:sz w:val="24"/>
          <w:szCs w:val="24"/>
        </w:rPr>
        <w:fldChar w:fldCharType="end"/>
      </w:r>
      <w:r w:rsidRPr="00C06183">
        <w:rPr>
          <w:rFonts w:ascii="Arial" w:hAnsi="Arial" w:cs="Arial"/>
          <w:sz w:val="24"/>
          <w:szCs w:val="24"/>
        </w:rPr>
        <w:t xml:space="preserve"> </w:t>
      </w:r>
      <w:r w:rsidRPr="004A2E41">
        <w:rPr>
          <w:rStyle w:val="normaltextrun"/>
          <w:rFonts w:ascii="Arial" w:hAnsi="Arial" w:cs="Arial"/>
          <w:color w:val="000000"/>
          <w:sz w:val="24"/>
          <w:szCs w:val="24"/>
          <w:shd w:val="clear" w:color="auto" w:fill="FFFFFF"/>
        </w:rPr>
        <w:t xml:space="preserve">Table </w:t>
      </w:r>
      <w:r w:rsidR="00EA02B4" w:rsidRPr="004A2E41">
        <w:rPr>
          <w:rStyle w:val="normaltextrun"/>
          <w:rFonts w:ascii="Arial" w:hAnsi="Arial" w:cs="Arial"/>
          <w:color w:val="000000"/>
          <w:sz w:val="24"/>
          <w:szCs w:val="24"/>
          <w:shd w:val="clear" w:color="auto" w:fill="FFFFFF"/>
        </w:rPr>
        <w:t>1.</w:t>
      </w:r>
      <w:r w:rsidRPr="004A2E41">
        <w:rPr>
          <w:rStyle w:val="normaltextrun"/>
          <w:rFonts w:ascii="Arial" w:hAnsi="Arial" w:cs="Arial"/>
          <w:color w:val="000000"/>
          <w:sz w:val="24"/>
          <w:szCs w:val="24"/>
          <w:shd w:val="clear" w:color="auto" w:fill="FFFFFF"/>
        </w:rPr>
        <w:t>2</w:t>
      </w:r>
      <w:r w:rsidRPr="00C06183">
        <w:rPr>
          <w:rStyle w:val="normaltextrun"/>
          <w:rFonts w:ascii="Arial" w:hAnsi="Arial" w:cs="Arial"/>
          <w:b/>
          <w:bCs/>
          <w:color w:val="000000"/>
          <w:sz w:val="24"/>
          <w:szCs w:val="24"/>
          <w:shd w:val="clear" w:color="auto" w:fill="FFFFFF"/>
        </w:rPr>
        <w:t xml:space="preserve"> </w:t>
      </w:r>
      <w:r w:rsidRPr="00C06183">
        <w:rPr>
          <w:rStyle w:val="normaltextrun"/>
          <w:rFonts w:ascii="Arial" w:hAnsi="Arial" w:cs="Arial"/>
          <w:color w:val="000000"/>
          <w:sz w:val="24"/>
          <w:szCs w:val="24"/>
          <w:shd w:val="clear" w:color="auto" w:fill="FFFFFF"/>
        </w:rPr>
        <w:t xml:space="preserve">lists several common nanoparticle surface ligands, </w:t>
      </w:r>
      <w:r w:rsidRPr="00C06183">
        <w:rPr>
          <w:rStyle w:val="normaltextrun"/>
          <w:rFonts w:ascii="Arial" w:hAnsi="Arial" w:cs="Arial"/>
          <w:color w:val="000000"/>
          <w:sz w:val="24"/>
          <w:szCs w:val="24"/>
          <w:shd w:val="clear" w:color="auto" w:fill="FFFFFF"/>
        </w:rPr>
        <w:lastRenderedPageBreak/>
        <w:t>the receptors that these ligands target, and the pathways these ligands are internalized by cells.</w:t>
      </w:r>
    </w:p>
    <w:p w14:paraId="2932342D" w14:textId="77777777" w:rsidR="00EA02B4" w:rsidRDefault="00EA02B4">
      <w:pPr>
        <w:rPr>
          <w:rStyle w:val="normaltextrun"/>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br w:type="page"/>
      </w:r>
    </w:p>
    <w:p w14:paraId="458C8C47" w14:textId="4984BC6F" w:rsidR="00EA02B4" w:rsidRPr="00EA02B4" w:rsidRDefault="00EA02B4" w:rsidP="00EA02B4">
      <w:pPr>
        <w:rPr>
          <w:rFonts w:ascii="Arial" w:hAnsi="Arial" w:cs="Arial"/>
          <w:b/>
          <w:bCs/>
          <w:color w:val="000000"/>
          <w:sz w:val="24"/>
          <w:szCs w:val="24"/>
          <w:shd w:val="clear" w:color="auto" w:fill="FFFFFF"/>
        </w:rPr>
      </w:pPr>
      <w:r w:rsidRPr="00EA02B4">
        <w:rPr>
          <w:rFonts w:ascii="Arial" w:hAnsi="Arial" w:cs="Arial"/>
          <w:b/>
          <w:bCs/>
          <w:color w:val="000000"/>
          <w:sz w:val="24"/>
          <w:szCs w:val="24"/>
          <w:shd w:val="clear" w:color="auto" w:fill="FFFFFF"/>
        </w:rPr>
        <w:lastRenderedPageBreak/>
        <w:t xml:space="preserve">Table </w:t>
      </w:r>
      <w:r>
        <w:rPr>
          <w:rFonts w:ascii="Arial" w:hAnsi="Arial" w:cs="Arial"/>
          <w:b/>
          <w:bCs/>
          <w:color w:val="000000"/>
          <w:sz w:val="24"/>
          <w:szCs w:val="24"/>
          <w:shd w:val="clear" w:color="auto" w:fill="FFFFFF"/>
        </w:rPr>
        <w:t>1.</w:t>
      </w:r>
      <w:r w:rsidRPr="00EA02B4">
        <w:rPr>
          <w:rFonts w:ascii="Arial" w:hAnsi="Arial" w:cs="Arial"/>
          <w:b/>
          <w:bCs/>
          <w:color w:val="000000"/>
          <w:sz w:val="24"/>
          <w:szCs w:val="24"/>
          <w:shd w:val="clear" w:color="auto" w:fill="FFFFFF"/>
        </w:rPr>
        <w:t xml:space="preserve">2. </w:t>
      </w:r>
      <w:r w:rsidRPr="00EA02B4">
        <w:rPr>
          <w:rFonts w:ascii="Arial" w:hAnsi="Arial" w:cs="Arial"/>
          <w:color w:val="000000"/>
          <w:sz w:val="24"/>
          <w:szCs w:val="24"/>
          <w:shd w:val="clear" w:color="auto" w:fill="FFFFFF"/>
        </w:rPr>
        <w:t xml:space="preserve">Surface receptors for targeting specific endocytic pathways </w:t>
      </w:r>
      <w:r w:rsidRPr="00EA02B4">
        <w:rPr>
          <w:rFonts w:ascii="Arial" w:hAnsi="Arial" w:cs="Arial"/>
          <w:i/>
          <w:iCs/>
          <w:color w:val="000000"/>
          <w:sz w:val="24"/>
          <w:szCs w:val="24"/>
          <w:shd w:val="clear" w:color="auto" w:fill="FFFFFF"/>
        </w:rPr>
        <w:t xml:space="preserve">in vitro </w:t>
      </w:r>
      <w:r w:rsidRPr="00EA02B4">
        <w:rPr>
          <w:rFonts w:ascii="Arial" w:hAnsi="Arial" w:cs="Arial"/>
          <w:color w:val="000000"/>
          <w:sz w:val="24"/>
          <w:szCs w:val="24"/>
          <w:shd w:val="clear" w:color="auto" w:fill="FFFFFF"/>
        </w:rPr>
        <w:t xml:space="preserve">and </w:t>
      </w:r>
      <w:r w:rsidRPr="00EA02B4">
        <w:rPr>
          <w:rFonts w:ascii="Arial" w:hAnsi="Arial" w:cs="Arial"/>
          <w:i/>
          <w:iCs/>
          <w:color w:val="000000"/>
          <w:sz w:val="24"/>
          <w:szCs w:val="24"/>
          <w:shd w:val="clear" w:color="auto" w:fill="FFFFFF"/>
        </w:rPr>
        <w:t>in vivo.</w:t>
      </w:r>
    </w:p>
    <w:tbl>
      <w:tblPr>
        <w:tblW w:w="8983"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80"/>
        <w:gridCol w:w="1789"/>
        <w:gridCol w:w="1690"/>
        <w:gridCol w:w="1458"/>
        <w:gridCol w:w="1782"/>
        <w:gridCol w:w="1041"/>
      </w:tblGrid>
      <w:tr w:rsidR="00403195" w:rsidRPr="00EA02B4" w14:paraId="7A86280E"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EE591C" w14:textId="77777777" w:rsidR="00EA02B4" w:rsidRPr="00EA02B4" w:rsidRDefault="00EA02B4" w:rsidP="00EA02B4">
            <w:pPr>
              <w:rPr>
                <w:rFonts w:ascii="Arial" w:hAnsi="Arial" w:cs="Arial"/>
                <w:b/>
                <w:bCs/>
                <w:color w:val="000000"/>
                <w:sz w:val="20"/>
                <w:szCs w:val="20"/>
                <w:shd w:val="clear" w:color="auto" w:fill="FFFFFF"/>
                <w:lang w:val="de-DE"/>
              </w:rPr>
            </w:pPr>
            <w:r w:rsidRPr="00EA02B4">
              <w:rPr>
                <w:rFonts w:ascii="Arial" w:hAnsi="Arial" w:cs="Arial"/>
                <w:b/>
                <w:bCs/>
                <w:color w:val="000000"/>
                <w:sz w:val="20"/>
                <w:szCs w:val="20"/>
                <w:shd w:val="clear" w:color="auto" w:fill="FFFFFF"/>
                <w:lang w:val="de-DE"/>
              </w:rPr>
              <w:t xml:space="preserve">Surface Receptor Target </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DD4E6E" w14:textId="77777777" w:rsidR="00EA02B4" w:rsidRPr="00EA02B4" w:rsidRDefault="00EA02B4" w:rsidP="00EA02B4">
            <w:pPr>
              <w:rPr>
                <w:rFonts w:ascii="Arial" w:hAnsi="Arial" w:cs="Arial"/>
                <w:b/>
                <w:bCs/>
                <w:color w:val="000000"/>
                <w:sz w:val="20"/>
                <w:szCs w:val="20"/>
                <w:shd w:val="clear" w:color="auto" w:fill="FFFFFF"/>
                <w:lang w:val="de-DE"/>
              </w:rPr>
            </w:pPr>
            <w:r w:rsidRPr="00EA02B4">
              <w:rPr>
                <w:rFonts w:ascii="Arial" w:hAnsi="Arial" w:cs="Arial"/>
                <w:b/>
                <w:bCs/>
                <w:color w:val="000000"/>
                <w:sz w:val="20"/>
                <w:szCs w:val="20"/>
                <w:shd w:val="clear" w:color="auto" w:fill="FFFFFF"/>
                <w:lang w:val="de-DE"/>
              </w:rPr>
              <w:t xml:space="preserve">Targeting Molecule </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16A1D5" w14:textId="77777777" w:rsidR="00EA02B4" w:rsidRPr="00EA02B4" w:rsidRDefault="00EA02B4" w:rsidP="00EA02B4">
            <w:pPr>
              <w:rPr>
                <w:rFonts w:ascii="Arial" w:hAnsi="Arial" w:cs="Arial"/>
                <w:b/>
                <w:bCs/>
                <w:color w:val="000000"/>
                <w:sz w:val="20"/>
                <w:szCs w:val="20"/>
                <w:shd w:val="clear" w:color="auto" w:fill="FFFFFF"/>
                <w:lang w:val="de-DE"/>
              </w:rPr>
            </w:pPr>
            <w:r w:rsidRPr="00EA02B4">
              <w:rPr>
                <w:rFonts w:ascii="Arial" w:hAnsi="Arial" w:cs="Arial"/>
                <w:b/>
                <w:bCs/>
                <w:color w:val="000000"/>
                <w:sz w:val="20"/>
                <w:szCs w:val="20"/>
                <w:shd w:val="clear" w:color="auto" w:fill="FFFFFF"/>
                <w:lang w:val="de-DE"/>
              </w:rPr>
              <w:t>Pathway</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4B5A59" w14:textId="77777777" w:rsidR="00EA02B4" w:rsidRPr="00EA02B4" w:rsidRDefault="00EA02B4" w:rsidP="00EA02B4">
            <w:pPr>
              <w:rPr>
                <w:rFonts w:ascii="Arial" w:hAnsi="Arial" w:cs="Arial"/>
                <w:b/>
                <w:bCs/>
                <w:color w:val="000000"/>
                <w:sz w:val="20"/>
                <w:szCs w:val="20"/>
                <w:shd w:val="clear" w:color="auto" w:fill="FFFFFF"/>
                <w:lang w:val="de-DE"/>
              </w:rPr>
            </w:pPr>
            <w:r w:rsidRPr="00EA02B4">
              <w:rPr>
                <w:rFonts w:ascii="Arial" w:hAnsi="Arial" w:cs="Arial"/>
                <w:b/>
                <w:bCs/>
                <w:color w:val="000000"/>
                <w:sz w:val="20"/>
                <w:szCs w:val="20"/>
                <w:shd w:val="clear" w:color="auto" w:fill="FFFFFF"/>
                <w:lang w:val="de-DE"/>
              </w:rPr>
              <w:t>Specificity</w:t>
            </w:r>
          </w:p>
        </w:tc>
        <w:tc>
          <w:tcPr>
            <w:tcW w:w="1702" w:type="dxa"/>
            <w:tcBorders>
              <w:top w:val="single" w:sz="8" w:space="0" w:color="A3A3A3"/>
              <w:left w:val="single" w:sz="8" w:space="0" w:color="A3A3A3"/>
              <w:bottom w:val="single" w:sz="8" w:space="0" w:color="A3A3A3"/>
              <w:right w:val="single" w:sz="8" w:space="0" w:color="A3A3A3"/>
            </w:tcBorders>
          </w:tcPr>
          <w:p w14:paraId="7AD5C65F" w14:textId="77777777" w:rsidR="00EA02B4" w:rsidRPr="00EA02B4" w:rsidRDefault="00EA02B4" w:rsidP="00EA02B4">
            <w:pPr>
              <w:rPr>
                <w:rFonts w:ascii="Arial" w:hAnsi="Arial" w:cs="Arial"/>
                <w:b/>
                <w:bCs/>
                <w:color w:val="000000"/>
                <w:sz w:val="20"/>
                <w:szCs w:val="20"/>
                <w:shd w:val="clear" w:color="auto" w:fill="FFFFFF"/>
                <w:lang w:val="de-DE"/>
              </w:rPr>
            </w:pPr>
            <w:r w:rsidRPr="00EA02B4">
              <w:rPr>
                <w:rFonts w:ascii="Arial" w:hAnsi="Arial" w:cs="Arial"/>
                <w:b/>
                <w:bCs/>
                <w:color w:val="000000"/>
                <w:sz w:val="20"/>
                <w:szCs w:val="20"/>
                <w:shd w:val="clear" w:color="auto" w:fill="FFFFFF"/>
                <w:lang w:val="de-DE"/>
              </w:rPr>
              <w:t>Nanoparticle Examples</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2813A2" w14:textId="19AABF0C" w:rsidR="00EA02B4" w:rsidRPr="00EA02B4" w:rsidRDefault="00EA02B4" w:rsidP="00EA02B4">
            <w:pPr>
              <w:rPr>
                <w:rFonts w:ascii="Arial" w:hAnsi="Arial" w:cs="Arial"/>
                <w:b/>
                <w:bCs/>
                <w:color w:val="000000"/>
                <w:sz w:val="24"/>
                <w:szCs w:val="24"/>
                <w:shd w:val="clear" w:color="auto" w:fill="FFFFFF"/>
                <w:lang w:val="de-DE"/>
              </w:rPr>
            </w:pPr>
            <w:r w:rsidRPr="00EA02B4">
              <w:rPr>
                <w:rFonts w:ascii="Arial" w:hAnsi="Arial" w:cs="Arial"/>
                <w:b/>
                <w:bCs/>
                <w:color w:val="000000"/>
                <w:sz w:val="20"/>
                <w:szCs w:val="20"/>
                <w:shd w:val="clear" w:color="auto" w:fill="FFFFFF"/>
                <w:lang w:val="de-DE"/>
              </w:rPr>
              <w:t>Ref</w:t>
            </w:r>
            <w:r w:rsidR="00403195" w:rsidRPr="00403195">
              <w:rPr>
                <w:rFonts w:ascii="Arial" w:hAnsi="Arial" w:cs="Arial"/>
                <w:b/>
                <w:bCs/>
                <w:color w:val="000000"/>
                <w:sz w:val="20"/>
                <w:szCs w:val="20"/>
                <w:shd w:val="clear" w:color="auto" w:fill="FFFFFF"/>
                <w:lang w:val="de-DE"/>
              </w:rPr>
              <w:t>.</w:t>
            </w:r>
          </w:p>
        </w:tc>
      </w:tr>
      <w:tr w:rsidR="00403195" w:rsidRPr="00EA02B4" w14:paraId="62BD3FC4"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BBAB2F"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Annexin A1</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A2D48F"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mAnnA1</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C14B6B"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 xml:space="preserve">Caveolae </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76F6B4"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mAnnA1 is specific to Annexin A1 on caveolae of tumor endothelium in humans, rats, and mice, Annexin A1 is not prevalent in caveolae from healthy tissues</w:t>
            </w:r>
          </w:p>
        </w:tc>
        <w:tc>
          <w:tcPr>
            <w:tcW w:w="1702" w:type="dxa"/>
            <w:tcBorders>
              <w:top w:val="single" w:sz="8" w:space="0" w:color="A3A3A3"/>
              <w:left w:val="single" w:sz="8" w:space="0" w:color="A3A3A3"/>
              <w:bottom w:val="single" w:sz="8" w:space="0" w:color="A3A3A3"/>
              <w:right w:val="single" w:sz="8" w:space="0" w:color="A3A3A3"/>
            </w:tcBorders>
          </w:tcPr>
          <w:p w14:paraId="1AE31F06"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AuNPs for targeting tumor endothelium in rats injected with 13762 mammary adenocarcinoma cells</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29F589" w14:textId="1BA3E11C" w:rsidR="00EA02B4" w:rsidRPr="00EA02B4" w:rsidRDefault="00EA02B4" w:rsidP="00EA02B4">
            <w:pPr>
              <w:rPr>
                <w:rFonts w:ascii="Arial" w:hAnsi="Arial" w:cs="Arial"/>
                <w:color w:val="000000"/>
                <w:sz w:val="24"/>
                <w:szCs w:val="24"/>
                <w:shd w:val="clear" w:color="auto" w:fill="FFFFFF"/>
                <w:lang w:val="de-DE"/>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lang w:val="de-DE"/>
              </w:rPr>
              <w:instrText>ADDIN CSL_CITATION {"citationItems":[{"id":"ITEM-1","itemData":{"DOI":"10.1038/nm.3623","ISSN":"1546170X","abstract":"Technologies are needed to map and image biological barriers in vivo that limit solid tumor delivery and, ultimately, the effectiveness of imaging and therapeutic agents. Here we integrate proteomic and imaging analyses of caveolae at the blood-tumor interface to discover an active transendothelial portal to infiltrate tumors. A post-translationally modified form of annexin A1 (AnnA1) is selectively concentrated in human and rodent tumor caveolae. To follow trafficking, we generated a specific AnnA1 antibody that targets caveolae in the tumor endothelium. Intravital microscopy of caveolae-immunotargeted fluorophores even at low intravenous doses showed rapid and robust pumping across the endothelium to enter mammary, prostate and lung tumors. Within 1 h, the fluorescence signal concentrated throughout tumors to exceed the peak levels in blood. This transvascular pumping required the expression of caveolin 1 and annexin A1. Tumor uptake with other antibodies were &gt;100-fold less. This proteomic imaging strategy reveals a unique target, antibody and caveolae pumping system for solid tumor penetration.","author":[{"dropping-particle":"","family":"Oh","given":"Phil","non-dropping-particle":"","parse-names":false,"suffix":""},{"dropping-particle":"","family":"Testa","given":"Jacqueline E.","non-dropping-particle":"","parse-names":false,"suffix":""},{"dropping-particle":"","family":"Borgstrom","given":"Per","non-dropping-particle":"","parse-names":false,"suffix":""},{"dropping-particle":"","family":"Witkiewicz","given":"Halina","non-dropping-particle":"","parse-names":false,"suffix":""},{"dropping-particle":"","family":"Li","given":"Yan","non-dropping-particle":"","parse-names":false,"suffix":""},{"dropping-particle":"","family":"Schnitzer","given":"Jan E.","non-dropping-particle":"","parse-names":false,"suffix":""}],"container-title":"Nature Medicine","id":"ITEM-1","issue":"9","issued":{"date-parts":[["2014"]]},"page":"1062-1068","title":"In vivo proteomic imaging analysis of caveolae reveals pumping system to penetrate solid tumors","type":"article-journal","volume":"20"},"uris":["http://www.mendeley.com/documents/?uuid=30f39490-e9e5-4cd9-a826-69e28fe02227"]}],"mendeley":{"formattedCitation":"&lt;sup&gt;131&lt;/sup&gt;","plainTextFormattedCitation":"131","previouslyFormattedCitation":"&lt;sup&gt;131&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lang w:val="de-DE"/>
              </w:rPr>
              <w:t>131</w:t>
            </w:r>
            <w:r w:rsidRPr="00EA02B4">
              <w:rPr>
                <w:rFonts w:ascii="Arial" w:hAnsi="Arial" w:cs="Arial"/>
                <w:color w:val="000000"/>
                <w:sz w:val="24"/>
                <w:szCs w:val="24"/>
                <w:shd w:val="clear" w:color="auto" w:fill="FFFFFF"/>
              </w:rPr>
              <w:fldChar w:fldCharType="end"/>
            </w:r>
          </w:p>
        </w:tc>
      </w:tr>
      <w:tr w:rsidR="00403195" w:rsidRPr="00EA02B4" w14:paraId="59465E94"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144287C"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GP60</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D1CE32"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Albumin</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E05A5C"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Caveolae</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F7618D"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GP60 is specific for albumin across the continuous endothelium</w:t>
            </w:r>
          </w:p>
        </w:tc>
        <w:tc>
          <w:tcPr>
            <w:tcW w:w="1702" w:type="dxa"/>
            <w:tcBorders>
              <w:top w:val="single" w:sz="8" w:space="0" w:color="A3A3A3"/>
              <w:left w:val="single" w:sz="8" w:space="0" w:color="A3A3A3"/>
              <w:bottom w:val="single" w:sz="8" w:space="0" w:color="A3A3A3"/>
              <w:right w:val="single" w:sz="8" w:space="0" w:color="A3A3A3"/>
            </w:tcBorders>
          </w:tcPr>
          <w:p w14:paraId="7B6627CD"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-Conjugated to polymer NPs for targeting BLMVECs </w:t>
            </w:r>
          </w:p>
          <w:p w14:paraId="1911CB8D"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iron oxide NPs for targeting U87MG tumors in mice</w:t>
            </w:r>
          </w:p>
          <w:p w14:paraId="5ABA9F3C" w14:textId="77777777" w:rsidR="00EA02B4" w:rsidRPr="00EA02B4" w:rsidRDefault="00EA02B4" w:rsidP="00EA02B4">
            <w:pPr>
              <w:rPr>
                <w:rFonts w:ascii="Arial" w:hAnsi="Arial" w:cs="Arial"/>
                <w:color w:val="000000"/>
                <w:sz w:val="20"/>
                <w:szCs w:val="20"/>
                <w:shd w:val="clear" w:color="auto" w:fill="FFFFFF"/>
              </w:rPr>
            </w:pP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7BB7C8" w14:textId="345838A8"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lang w:val="de-DE"/>
              </w:rPr>
              <w:instrText xml:space="preserve">ADDIN CSL_CITATION {"citationItems":[{"id":"ITEM-1","itemData":{"DOI":"10.1021/nn9012274","ISSN":"19360851","abstract":"Caveolae are plasma membrane invaginations prominent in all endothelial cells lining blood vessels. Caveolae characteristically bud to form free cytoplasmic vesicles capable of transporting carrier proteins such as albumin through the cell. However, caveolae size distribution and dynamics in living endothelial cells and ability of caveolae to internalize nanoparticles are not well understood. We demonstrate here the design of a dual-color nanoparticle pair to measure noninvasively caveolae size and dynamics. First, we coated nanoparticles with BSA (bovine serum albumin) to address whether albumin promoted their delivery. Albumin has been shown to bind to protein on endothelial cell surface localized in caveolae and activate albumin endocytosis. Imaging of BSA-coated nanoparticles varying from 20 to 100 nm in diameter in endothelial cells demonstrated that caveolae-mediated nanoparticle uptake was dependent on albumin coating of particles. We also showed that caveolae could accommodate up to 100 nm diameter nanoparticles, a size larger than the diameter of typical caveolae, suggesting compliant property of caveolae. Together, our results show the feasibility of tracking multicolored nanoparticles in living endothelial cells and potential usefulness for designing therapeutic nanoparticle cargo to cross the limiting vessel wall endothelial barrier.","author":[{"dropping-particle":"","family":"Wang","given":"Zhenjia","non-dropping-particle":"","parse-names":false,"suffix":""},{"dropping-particle":"","family":"Tiruppathi","given":"Chinnaswamy","non-dropping-particle":"","parse-names":false,"suffix":""},{"dropping-particle":"","family":"Minshall","given":"Richard D.","non-dropping-particle":"","parse-names":false,"suffix":""},{"dropping-particle":"","family":"Malik","given":"Asrar B.","non-dropping-particle":"","parse-names":false,"suffix":""}],"container-title":"ACS Nano","id":"ITEM-1","issue":"12","issued":{"date-parts":[["2009","12","22"]]},"page":"4110-4116","title":"Size and dynamics of caveolae studied using nanoparticles in living endothelial cells","type":"article-journal","volume":"3"},"uris":["http://www.mendeley.com/documents/?uuid=5a782f47-7a4c-3a5c-80c1-f3e5afe123b7"]},{"id":"ITEM-2","itemData":{"DOI":"10.3389/fphys.2014.00299","ISSN":"1664042X","abstract":"Serum albumin is a multi-functional protein that is able to bind and transport numerous endogenous and exogenous compounds. The development of albumin drug carriers is gaining increasing importance in the targeted delivery of cancer therapy, particularly as a result of the market approval of the paclitaxel-loaded albumin nanoparticle, Abraxane®. Considering this, there is renewed interest in isolating and characterizing albumin-binding proteins or receptors on the plasma membrane that are responsible for albumin uptake. Initially, the cellular uptake and intracellular localization of albumin was unknown due to the large confinement of the protein within the vascular and interstitial compartment of the body. Studies have since assessed the intracellular localization of albumin in order to understand the mechanisms and pathways responsible for its uptake, distribution and catabolism in multiple tissues, and this is reviewed herein. © 2014 Merlot, Kalinowski and Richardson.","author":[{"dropping-particle":"","family":"Merlot","given":"Angelica M.","non-dropping-particle":"","parse-names":false,"suffix":""},{"dropping-particle":"","family":"Kalinowski","given":"Danuta S.","non-dropping-particle":"","parse-names":false,"suffix":""},{"dropping-particle":"","family":"Richardson","given":"Des R.","non-dropping-particle":"","parse-names":false,"suffix":""}],"container-title":"Frontiers in Physiology","id":"ITEM-2","issue":"August","issued":{"date-parts":[["2014"]]},"page":"1-7","title":"Unraveling the mysteries of serum albumin-more than just a serum protein","type":"article-journal","volume":"5 AUG"},"uris":["http://www.mendeley.com/documents/?uuid=0bac4a65-73a3-4e9d-b168-04dfc999bd55"]},{"id":"ITEM-3","itemData":{"DOI":"10.1073/pnas.93.1.250","ISSN":"00278424","abstract":"Albumin-binding proteins identified in vascular endothelial cells have been pustulated to contribute to the transport of albumin via a process involving transcytosis. In the present study, we have purified and characterized a 57-to 60-kDa (gp60) putative albumin-binding protein from bovine pulmonary microvessel endothelial cells. The endothelial cell membranes were isolated from cultured cells by differential centrifugation and solubilized with sodium cholate and urea. The solubilized extract was concentrated after dialysis by ethanol precipitation and reextracted with Triton X-100, and the resulting extract was subjected to DEAE-cellulose column chromatography. Proteins eluted from this column were further separated using preparative sodium dodecyl sulfate/polyacrylamide gel electrophoresis and used fur immunizing rabbits. Fluorescence-activated cell sORter analysis using the anti-gp60 antibodies demonstrated the expression of gp60 on the endothelial cell surface. Affinity-purified anti-gp60 antibodies inhibited </w:instrText>
            </w:r>
            <w:r w:rsidR="008C387C">
              <w:rPr>
                <w:rFonts w:ascii="Cambria Math" w:hAnsi="Cambria Math" w:cs="Cambria Math"/>
                <w:color w:val="000000"/>
                <w:sz w:val="24"/>
                <w:szCs w:val="24"/>
                <w:shd w:val="clear" w:color="auto" w:fill="FFFFFF"/>
                <w:lang w:val="de-DE"/>
              </w:rPr>
              <w:instrText>≃</w:instrText>
            </w:r>
            <w:r w:rsidR="008C387C">
              <w:rPr>
                <w:rFonts w:ascii="Arial" w:hAnsi="Arial" w:cs="Arial"/>
                <w:color w:val="000000"/>
                <w:sz w:val="24"/>
                <w:szCs w:val="24"/>
                <w:shd w:val="clear" w:color="auto" w:fill="FFFFFF"/>
                <w:lang w:val="de-DE"/>
              </w:rPr>
              <w:instrText>90% of the specific binding of 125I-labeled albumin to bovine pulmonary microvessel endothelial cell surface. The anti-gp60 antibodies reacted with gp60 from bovine pulmonary artery, bovine pulmonary microvessel, human umbilical vein, and rat lung endothelial cell membranes. Bovine anti- gp60 antibodies also reacted with bovine secreted protein, acidic and rich in cysteine (SPARC). However, bovine SPARC NH2-terminal sequence (1-56 residues) antibodies did not react with gp60, indicating that the endothelial cell-surface-associated albumin-binding protein gp60 was different from the secreted albumin-binding protein SPARC. We conclude that the endothelial cell-surface-associated gp60 mediates the specific binding of native albumin to endothelial cells and thus may regulate the uptake of albumin and its transcytosis.","author":[{"dropping-particle":"","family":"Tiruppathi","given":"Chinnaswamy","non-dropping-particle":"","parse-names":false,"suffix":""},{"dropping-particle":"","family":"Finnegan","given":"Alison","non-dropping-particle":"","parse-names":false,"suffix":""},{"dropping-particle":"","family":"Malik","given":"Asrar B.","non-dropping-particle":"","parse-names":false,"suffix":""}],"container-title":"Proceedings of the National Academy of Sciences of the United States of America","id":"ITEM-3","issue":"1","issued":{"date-parts":[["1996"]]},"page":"250-254","title":"Isolation and characterization of a cell surface albumin-binding protein from vascular endothelial cells","type":"article-journal","volume":"93"},"uris":["http://www.mendeley.com/documents/?uuid=9e7f876f-f107-45e8-9b9b-1eaf0231086e"]},{"id":"ITEM-4","itemData":{"DOI":"10.1039/b917195a","ISSN":"13597345","PMID":"20066316","abstract":"A novel dopamine-plus-HSA (human serum albumin) approach was developed to functionalize iron oxide nanoparticles (IONPs), yielding nanoconjugates that are highly efficient in labeling various types of cell lines, which was demonstrated by in vivo MR imaging on xenograft and focal cere</w:instrText>
            </w:r>
            <w:r w:rsidR="008C387C" w:rsidRPr="0007170C">
              <w:rPr>
                <w:rFonts w:ascii="Arial" w:hAnsi="Arial" w:cs="Arial"/>
                <w:color w:val="000000"/>
                <w:sz w:val="24"/>
                <w:szCs w:val="24"/>
                <w:shd w:val="clear" w:color="auto" w:fill="FFFFFF"/>
              </w:rPr>
              <w:instrText>bral ischemia models. © 2010 The Royal Society of Chemistry.","author":[{"dropping-particle":"","family":"Xie","given":"Jin","non-dropping-particle":"","parse-names":false,"suffix":""},{"dropping-particle":"","family":"Wang","given":"Jinhua","non-dropping-particle":"","parse-names":false,"suffix":""},{"dropping-particle":"","family":"Niu","given":"Gang","non-dropping-particle":"","parse-names":false,"suffix":""},{"dropping-particle":"","family":"Huang","given":"Jing","non-dropping-particle":"","parse-names":false,"suffix":""},{"dropping-particle":"","family":"Chen","given":"Kai","non-dropping-particle":"","parse-names":false,"suffix":""},{"dropping-particle":"","family":"Li","given":"Xingguo","non-dropping-particle":"","parse-names":false,"suffix":""},{"dropping-particle":"","family":"Chen","given":"Xiaoyuan","non-dropping-particle":"","parse-names":false,"suffix":""}],"container-title":"Chemical Communications","id":"ITEM-4","issue":"3","issued":{"date-parts":[["2010"]]},"page":"433-435","title":"Human serum albumin coated iron oxide nanoparticles for efficient cell labeling","type":"article-journal","volume":"46"},"uris":["http://www.mendeley.com/documents/?uuid=5f2751cd-08ab-49a0-8206-efa7dc1d8d1f"]}],"mendeley":{"formattedCitation":"&lt;sup&gt;127,157–159&lt;/sup&gt;","plainTextFormattedCitation":"127,157–159","previouslyFormattedCitation":"&lt;sup&gt;127,157–159&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127,157–159</w:t>
            </w:r>
            <w:r w:rsidRPr="00EA02B4">
              <w:rPr>
                <w:rFonts w:ascii="Arial" w:hAnsi="Arial" w:cs="Arial"/>
                <w:color w:val="000000"/>
                <w:sz w:val="24"/>
                <w:szCs w:val="24"/>
                <w:shd w:val="clear" w:color="auto" w:fill="FFFFFF"/>
              </w:rPr>
              <w:fldChar w:fldCharType="end"/>
            </w:r>
          </w:p>
        </w:tc>
      </w:tr>
      <w:tr w:rsidR="00403195" w:rsidRPr="00EA02B4" w14:paraId="55B593CF"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A73552"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Folate receptor alpha (FR</w:t>
            </w:r>
            <w:r w:rsidRPr="00EA02B4">
              <w:rPr>
                <w:rFonts w:ascii="Arial" w:hAnsi="Arial" w:cs="Arial"/>
                <w:color w:val="000000"/>
                <w:sz w:val="20"/>
                <w:szCs w:val="20"/>
                <w:shd w:val="clear" w:color="auto" w:fill="FFFFFF"/>
                <w:lang w:val="de-DE"/>
              </w:rPr>
              <w:t>α</w:t>
            </w:r>
            <w:r w:rsidRPr="00EA02B4">
              <w:rPr>
                <w:rFonts w:ascii="Arial" w:hAnsi="Arial" w:cs="Arial"/>
                <w:color w:val="000000"/>
                <w:sz w:val="20"/>
                <w:szCs w:val="20"/>
                <w:shd w:val="clear" w:color="auto" w:fill="FFFFFF"/>
              </w:rPr>
              <w:t>)</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B577A9"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Folic acid</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4BC6563"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Caveolae</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8A5C63"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FR</w:t>
            </w:r>
            <w:r w:rsidRPr="00EA02B4">
              <w:rPr>
                <w:rFonts w:ascii="Arial" w:hAnsi="Arial" w:cs="Arial"/>
                <w:color w:val="000000"/>
                <w:sz w:val="20"/>
                <w:szCs w:val="20"/>
                <w:shd w:val="clear" w:color="auto" w:fill="FFFFFF"/>
                <w:lang w:val="de-DE"/>
              </w:rPr>
              <w:t>α</w:t>
            </w:r>
            <w:r w:rsidRPr="00EA02B4">
              <w:rPr>
                <w:rFonts w:ascii="Arial" w:hAnsi="Arial" w:cs="Arial"/>
                <w:color w:val="000000"/>
                <w:sz w:val="20"/>
                <w:szCs w:val="20"/>
                <w:shd w:val="clear" w:color="auto" w:fill="FFFFFF"/>
              </w:rPr>
              <w:t xml:space="preserve"> is overexpressed in epithelial malignancies, has limited expression in healthy cells</w:t>
            </w:r>
          </w:p>
        </w:tc>
        <w:tc>
          <w:tcPr>
            <w:tcW w:w="1702" w:type="dxa"/>
            <w:tcBorders>
              <w:top w:val="single" w:sz="8" w:space="0" w:color="A3A3A3"/>
              <w:left w:val="single" w:sz="8" w:space="0" w:color="A3A3A3"/>
              <w:bottom w:val="single" w:sz="8" w:space="0" w:color="A3A3A3"/>
              <w:right w:val="single" w:sz="8" w:space="0" w:color="A3A3A3"/>
            </w:tcBorders>
          </w:tcPr>
          <w:p w14:paraId="7906F823"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-Conjugated to albumin NPs for targeting </w:t>
            </w:r>
            <w:proofErr w:type="gramStart"/>
            <w:r w:rsidRPr="00EA02B4">
              <w:rPr>
                <w:rFonts w:ascii="Arial" w:hAnsi="Arial" w:cs="Arial"/>
                <w:color w:val="000000"/>
                <w:sz w:val="20"/>
                <w:szCs w:val="20"/>
                <w:shd w:val="clear" w:color="auto" w:fill="FFFFFF"/>
              </w:rPr>
              <w:t>NIH:OVCAR</w:t>
            </w:r>
            <w:proofErr w:type="gramEnd"/>
            <w:r w:rsidRPr="00EA02B4">
              <w:rPr>
                <w:rFonts w:ascii="Arial" w:hAnsi="Arial" w:cs="Arial"/>
                <w:color w:val="000000"/>
                <w:sz w:val="20"/>
                <w:szCs w:val="20"/>
                <w:shd w:val="clear" w:color="auto" w:fill="FFFFFF"/>
              </w:rPr>
              <w:t>3 cells</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B6A3D12" w14:textId="75D09F4E" w:rsidR="00EA02B4" w:rsidRPr="00EA02B4" w:rsidRDefault="00EA02B4" w:rsidP="00EA02B4">
            <w:pPr>
              <w:rPr>
                <w:rFonts w:ascii="Arial" w:hAnsi="Arial" w:cs="Arial"/>
                <w:color w:val="000000"/>
                <w:sz w:val="24"/>
                <w:szCs w:val="24"/>
                <w:shd w:val="clear" w:color="auto" w:fill="FFFFFF"/>
                <w:lang w:val="de-DE"/>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10.1088/1361-6528/ab8b90","ISSN":"0957-4484","author":[{"dropping-particle":"","family":"Borlan","given":"Raluca","non-dropping-particle":"","parse-names":false,"suffix":""},{"dropping-particle":"","family":"Tatar","given":"Andra-Sorina","non-dropping-particle":"","parse-names":false,"suffix":""},{"dropping-particle":"","family":"Soritau","given":"Olga","non-dropping-particle":"","parse-names":false,"suffix":""},{"dropping-particle":"","family":"Maniu","given":"Dana","non-dropping-particle":"","parse-names":false,"suffix":""},{"dropping-particle":"","family":"Marc","given":"Gabriel","non-dropping-particle":"","parse-names":false,"suffix":""},{"dropping-particle":"","family":"Florea","given":"Adrian","non-dropping-particle":"","parse-names":false,"suffix":""},{"dropping-particle":"","family":"Focsan","given":"Monica","non-dropping-particle":"","parse-names":false,"suffix":""},{"dropping-particle":"","family":"Astilean","given":"Simion","non-dropping-particle":"","parse-names":false,"suffix":""}],"container-title":"Nanotechnology","id":"ITEM-1","issue":"31","issued":{"date-parts":[["2020","7","31"]]},"page":"315102","title":"Design of fluorophore-loaded human serum albumin nanoparticles for specific targeting of NIH:OVCAR3 ovarian cancer cells","type":"article-journal","volume":"31"},"uris":["http://www.mendeley.com/documents/?uuid=46537c11-5d2e-4625-9792-91525eea9200"]}],"mendeley":{"formattedCitation":"&lt;sup&gt;128&lt;/sup&gt;","plainTextFormattedCitation":"128","previouslyFormattedCitation":"&lt;sup&gt;128&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lang w:val="de-DE"/>
              </w:rPr>
              <w:t>128</w:t>
            </w:r>
            <w:r w:rsidRPr="00EA02B4">
              <w:rPr>
                <w:rFonts w:ascii="Arial" w:hAnsi="Arial" w:cs="Arial"/>
                <w:color w:val="000000"/>
                <w:sz w:val="24"/>
                <w:szCs w:val="24"/>
                <w:shd w:val="clear" w:color="auto" w:fill="FFFFFF"/>
              </w:rPr>
              <w:fldChar w:fldCharType="end"/>
            </w:r>
          </w:p>
        </w:tc>
      </w:tr>
      <w:tr w:rsidR="00403195" w:rsidRPr="00EA02B4" w14:paraId="52E25FD0"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F455D9"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Aminopeptidase P (APP)</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8E4405"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mAPP</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DD433A8"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Caveolae</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CE8495"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APP is expressed in the endothelium of lungs, kidneys, and livers</w:t>
            </w:r>
          </w:p>
        </w:tc>
        <w:tc>
          <w:tcPr>
            <w:tcW w:w="1702" w:type="dxa"/>
            <w:tcBorders>
              <w:top w:val="single" w:sz="8" w:space="0" w:color="A3A3A3"/>
              <w:left w:val="single" w:sz="8" w:space="0" w:color="A3A3A3"/>
              <w:bottom w:val="single" w:sz="8" w:space="0" w:color="A3A3A3"/>
              <w:right w:val="single" w:sz="8" w:space="0" w:color="A3A3A3"/>
            </w:tcBorders>
          </w:tcPr>
          <w:p w14:paraId="5DC105B8"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AuNPs for targeting the lung endothelium of athymic, nude mice</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054985" w14:textId="2A3DB7F1"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lang w:val="de-DE"/>
              </w:rPr>
              <w:instrText>ADDIN CSL_CITATION {"citationItems":[{"id":"ITEM-1","itemData":{"DOI":"10.1038/nbt1292","ISSN":"10870156","abstract":"How effectively and quickly endothelial caveolae can transcytose in vivo is unknown, yet critical for understanding their function and potential clinical utility. Here we use quantitative proteomics to identify aminopeptidase P (APP) concentrated in caveolae of lung endothelium. Electron microscopy confirms this and shows that APP antibody targets nanoparticles to caveolae. Dynamic intravital fluorescence microscopy reveals that targeted caveolae operate effectively as pumps, moving antibody within seconds from blood across endothelium into lung tissue, even against a concentration gradient. This active transcytosis requires normal caveolin-1 expression. Whole body γ-scintigraphic imaging shows rapid, specific delivery into lung well beyond that achieved by standard vascular targeting. This caveolar trafficking in vivo may underscore a key physiological mechanism for selective transvascular exchange and may provide an enhanced delivery system for imaging agents, drugs, gene-therapy vectors and nanomedicines. 'In vivo proteomic imaging' as described here integrates organellar proteomics with multiple imaging techniques to identify an accessible target space that includes the transvascular pumping space of the caveola. © 2007 Nature Publishing Group.","author":[{"dropping-particle":"","family":"Oh","given":"Phil","non-dropping-particle":"","parse-names":false,"suffix":""},{"dropping-particle":"","family":"Borgström","given":"Per","non-dropping-particle":"","parse-names":false,"suffix":""},{"dropping-particle":"","family":"Witkiewicz","given":"Halina","non-dropping-particle":"","parse-names":false,"suffix":""},{"dropping-particle":"","family":"Li","given":"Yan","non-dropping-particle":"","parse-n</w:instrText>
            </w:r>
            <w:r w:rsidR="008C387C" w:rsidRPr="0007170C">
              <w:rPr>
                <w:rFonts w:ascii="Arial" w:hAnsi="Arial" w:cs="Arial"/>
                <w:color w:val="000000"/>
                <w:sz w:val="24"/>
                <w:szCs w:val="24"/>
                <w:shd w:val="clear" w:color="auto" w:fill="FFFFFF"/>
              </w:rPr>
              <w:instrText>ames":false,"suffix":""},{"dropping-particle":"","family":"Borgström","given":"Bengt J.","non-dropping-particle":"","parse-names":false,"suffix":""},{"dropping-particle":"","family":"Chrastina","given":"Adrian","non-dropping-particle":"","parse-names":false,"suffix":""},{"dropping-particle":"","family":"Iwata","given":"Koji","non-dropping-particle":"","parse-names":false,"suffix":""},{"dropping-particle":"","family":"Zinn","given":"Kurt R.","non-dropping-particle":"","parse-names":false,"suffix":""},{"dropping-particle":"","family":"Baldwin","given":"Richard","non-dropping-particle":"","parse-names":false,"suffix":""},{"dropping-particle":"","family":"Testa","given":"Jacqueline E.","non-dropping-particle":"","parse-names":false,"suffix":""},{"dropping-particle":"","family":"Schnitzer","given":"Jan E.","non-dropping-particle":"","parse-names":false,"suffix":""}],"container-title":"Nature Biotechnology","id":"ITEM-1","issue":"3","issued":{"date-parts":[["2007"]]},"page":"327-337","title":"Live dynamic imaging of caveolae pumping targeted antibody rapidly and specifically across endothelium in the lung","type":"article-journal","volume":"25"},"uris":["http://www.mendeley.com/documents/?uuid=b8db20e4-a213-4fa6-a699-3cbaaa697bce"]}],"mendeley":{"formattedCitation":"&lt;sup&gt;130&lt;/sup&gt;","plainTextFormattedCitation":"130","previouslyFormattedCitation":"&lt;sup&gt;130&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130</w:t>
            </w:r>
            <w:r w:rsidRPr="00EA02B4">
              <w:rPr>
                <w:rFonts w:ascii="Arial" w:hAnsi="Arial" w:cs="Arial"/>
                <w:color w:val="000000"/>
                <w:sz w:val="24"/>
                <w:szCs w:val="24"/>
                <w:shd w:val="clear" w:color="auto" w:fill="FFFFFF"/>
              </w:rPr>
              <w:fldChar w:fldCharType="end"/>
            </w:r>
          </w:p>
        </w:tc>
      </w:tr>
      <w:tr w:rsidR="00403195" w:rsidRPr="00EA02B4" w14:paraId="7A8F0B89"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828900"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lastRenderedPageBreak/>
              <w:t>CD36 –Scavenger Receptor Class B (SR-B)</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7CEA80F"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A variety of ligands including LDLs and thrombospondin  </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E11FFDE"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Caveolae</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391DF3C"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CD36 is located on many types of cells past endothelial cells, such as macrophages and platelets, and binds to many different ligands</w:t>
            </w:r>
          </w:p>
        </w:tc>
        <w:tc>
          <w:tcPr>
            <w:tcW w:w="1702" w:type="dxa"/>
            <w:tcBorders>
              <w:top w:val="single" w:sz="8" w:space="0" w:color="A3A3A3"/>
              <w:left w:val="single" w:sz="8" w:space="0" w:color="A3A3A3"/>
              <w:bottom w:val="single" w:sz="8" w:space="0" w:color="A3A3A3"/>
              <w:right w:val="single" w:sz="8" w:space="0" w:color="A3A3A3"/>
            </w:tcBorders>
          </w:tcPr>
          <w:p w14:paraId="4E2DD6BD"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-Phosphatidylcholine conjugated to lipid NPs for targeting macrophages in C57BL/6 mice </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93F79C" w14:textId="6B37BD0E"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{"citationItems":[{"id":"ITEM-1","itemData":{"DOI":"10.1016/j.bbagen.2019.01.005","ISSN":"18728006","abstract":"Atherosclerosis is a lipid disease characterized by accumulation of low density lipoprotein (LDL) in the artery wall. The transport of LDL across the endothelium of coronary artery is an initiating event of atherosclerosis, whose mechanism remains poorly understood. In the last decade, it has been shown that in caveolin-1 (Cav-1) deficient mice, LDL infiltration in aorta wall is decreased and CD36 expression in aortas is down-regulated, leading to regression of atherosclerotic lesions. In the present study, we show that native LDL endocytosis is decreased in endothelial cells deficient in Cav-1 or CD36. We demonstrate that Cav-1 and CD36 interact in caveolae-rich domains by different biochemical approaches. In addition, confocal microscopy reveals some colocalization of Cav-1 with CD36. These findings indicate that caveolae and CD36 are involved in native LDL endocytosis and suggest that CD36 might be a good candidate for the transport of native LDL across the endothelium, an early event in atherosclerosis.","author":[{"dropping-particle":"","family":"Gerbod-Giannone","given":"Marie Christine","non-dropping-particle":"","parse-names":false,"suffix":""},{"dropping-particle":"","family":"Dallet","given":"Laurence","non-dropping-particle":"","parse-names":false,"suffix":""},{"dropping-particle":"","family":"Naudin","given":"Grégoire","non-dropping-particle":"","parse-names":false,"suffix":""},{"dropping-particle":"","family":"Sahin","given":"Annelise","non-dropping-particle":"","parse-names":false,"suffix":""},{"dropping-particle":"","family":"Decossas","given":"Marion","non-dropping-particle":"","parse-names":false,"suffix":""},{"dropping-particle":"","family":"Poussard","given":"Sylvie","non-dropping-particle":"","parse-names":false,"suffix":""},{"dropping-particle":"","family":"Lambert","given":"Olivier","non-dropping-particle":"","parse-names":false,"suffix":""}],"container-title":"Biochimica et Biophysica Acta - General Subjects","id":"ITEM-1","issue":"5","issued":{"date-parts":[["2019"]]},"page":"830-838","publisher":"Elsevier","title":"Involvement of caveolin-1 and CD36 in native LDL endocytosis by endothelial cells","type":"article-journal","volume":"1863"},"uris":["http://www.mendeley.com/documents/?uuid=ef5c297e-df9e-4cc9-ab84-c00ce69892ac"]},{"id":"ITEM-2","itemData":{"DOI":"10.1016/j.jconrel.2019.04.018","ISSN":"01683659","author":[{"dropping-particle":"","family":"Zhang","given":"Jia","non-dropping-particle":"","parse-names":false,"suffix":""},{"dropping-particle":"","family":"Nie","given":"Shufang","non-dropping-particle":"","parse-names":false,"suffix":""},{"dropping-particle":"","family":"Zu","given":"Yujiao","non-dropping-particle":"","parse-names":false,"suffix":""},{"dropping-particle":"","family":"Abbasi","given":"Mehrnaz","non-dropping-particle":"","parse-names":false,"suffix":""},{"dropping-particle":"","family":"Cao","given":"Jun","non-dropping-particle":"","parse-names":false,"suffix":""},{"dropping-particle":"","family":"Li","given":"Chuan","non-dropping-particle":"","parse-names":false,"suffix":""},{"dropping-particle":"","family":"Wu","given":"Dayong","non-dropping-particle":"","parse-names":false,"suffix":""},{"dropping-particle":"","family":"Labib","given":"Safaa","non-dropping-particle":"","parse-names":false,"suffix":""},{"dropping-particle":"","family":"Brackee","given":"Gordon","non-dropping-particle":"","parse-names":false,"suffix":""},{"dropping-particle":"","family":"Shen","given":"Chwan-Li","non-dropping-particle":"","parse-names":false,"suffix":""},{"dropping-particle":"","family":"Wang","given":"Shu","non-dropping-particle":"","parse-names":false,"suffix":""}],"container-title":"Journal of Controlled Release","id":"ITEM-2","issued":{"date-parts":[["2019","6"]]},"page":"263-273","title":"Anti-atherogenic effects of CD36-targeted epigallocatechin gallate-loaded nanoparticles","type":"article-journal","volume":"303"},"uris":["http://www.mendeley.com/documents/?uuid=178fd1e4-ea68-4003-a614-69473f9b709c"]}],"mendeley":{"formattedCitation":"&lt;sup&gt;119,160&lt;/sup&gt;","plainTextFormattedCitation":"119,160","previouslyFormattedCitation":"&lt;sup&gt;119,160&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119,160</w:t>
            </w:r>
            <w:r w:rsidRPr="00EA02B4">
              <w:rPr>
                <w:rFonts w:ascii="Arial" w:hAnsi="Arial" w:cs="Arial"/>
                <w:color w:val="000000"/>
                <w:sz w:val="24"/>
                <w:szCs w:val="24"/>
                <w:shd w:val="clear" w:color="auto" w:fill="FFFFFF"/>
              </w:rPr>
              <w:fldChar w:fldCharType="end"/>
            </w:r>
          </w:p>
        </w:tc>
      </w:tr>
      <w:tr w:rsidR="00403195" w:rsidRPr="00EA02B4" w14:paraId="7C86F5F2"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BA8E3D"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CD204 - Scavenger Receptor Class A (SR-A)</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EFA395"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A variety of ligands including acetylated LDLs and lipopolysaccharide     </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637AC6"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Caveolae and Clathrin</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A69CA49"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CD204 is located on many types of cells past endothelial cells such as macrophages and epithelial </w:t>
            </w:r>
            <w:proofErr w:type="gramStart"/>
            <w:r w:rsidRPr="00EA02B4">
              <w:rPr>
                <w:rFonts w:ascii="Arial" w:hAnsi="Arial" w:cs="Arial"/>
                <w:color w:val="000000"/>
                <w:sz w:val="20"/>
                <w:szCs w:val="20"/>
                <w:shd w:val="clear" w:color="auto" w:fill="FFFFFF"/>
              </w:rPr>
              <w:t>cells, and</w:t>
            </w:r>
            <w:proofErr w:type="gramEnd"/>
            <w:r w:rsidRPr="00EA02B4">
              <w:rPr>
                <w:rFonts w:ascii="Arial" w:hAnsi="Arial" w:cs="Arial"/>
                <w:color w:val="000000"/>
                <w:sz w:val="20"/>
                <w:szCs w:val="20"/>
                <w:shd w:val="clear" w:color="auto" w:fill="FFFFFF"/>
              </w:rPr>
              <w:t xml:space="preserve"> binds to many different ligands. </w:t>
            </w:r>
          </w:p>
        </w:tc>
        <w:tc>
          <w:tcPr>
            <w:tcW w:w="1702" w:type="dxa"/>
            <w:tcBorders>
              <w:top w:val="single" w:sz="8" w:space="0" w:color="A3A3A3"/>
              <w:left w:val="single" w:sz="8" w:space="0" w:color="A3A3A3"/>
              <w:bottom w:val="single" w:sz="8" w:space="0" w:color="A3A3A3"/>
              <w:right w:val="single" w:sz="8" w:space="0" w:color="A3A3A3"/>
            </w:tcBorders>
          </w:tcPr>
          <w:p w14:paraId="17820985"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-anti-CD204 conjugated to micelles for targeting macrophages in mice</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B3F33A" w14:textId="6ABAD5CA"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rPr>
              <w:fldChar w:fldCharType="begin" w:fldLock="1"/>
            </w:r>
            <w:r w:rsidR="008C387C">
              <w:rPr>
                <w:rFonts w:ascii="Arial" w:hAnsi="Arial" w:cs="Arial"/>
                <w:color w:val="000000"/>
                <w:sz w:val="24"/>
                <w:szCs w:val="24"/>
                <w:shd w:val="clear" w:color="auto" w:fill="FFFFFF"/>
              </w:rPr>
              <w:instrText>ADDIN CSL_CITATION {"citationItems":[{"id":"ITEM-1","itemData":{"DOI":"10.1615/CritRevImmunol.2014010267","ISSN":"10408401","PMID":"24941076","abstract":"Scavenger receptor A (SR-A), also known as the macrophage scavenger receptor and cluster of differentiation 204 (CD204), plays roles in lipid metabolism, atherogenesis, and a number of metabolic processes. However, recent evidence points to important roles for SR-A in infammation, innate immunity, host defense, sepsis, and ischemic injury. Herein, we review the role of SR-A in infammation, innate immunity, host defense, sepsis, cardiac and cerebral ischemic injury, Alzheimer's disease, virus recognition and uptake, bone metabolism, and pulmonary injury. Interestingly, SR-A is reported to be host protective in some disease states, but there is also compelling evidence that SR-A plays a role in the pathophysiology of other diseases. These observations of both harmful and beneficial effects of SR-A are discussed here in the framework of inflammation, innate immunity, and endoplasmic reticulum stress. © 2014 by Begell House, Inc.","author":[{"dropping-particle":"","family":"Kelley","given":"Jim L.","non-dropping-particle":"","parse-names":false,"suffix":""},{"dropping-particle":"","family":"Ozment","given":"Tammy R.","non-dropping-particle":"","parse-names":false,"suffix":""},{"dropping-particle":"","family":"Li","given":"Chuanfu","non-dropping-particle":"","parse-names":false,"suffix":""},{"dropping-particle":"","family":"Schweitzer","given":"John B.","non-dropping-particle":"","parse-names":false,"suffix":""},{"dropping-particle":"","family":"Williams","given":"David L.","non-dropping-particle":"","parse-names":false,"suffix":""}],"container-title":"Critical Reviews in Immunology","id":"ITEM-1","issue":"3","issued":{"date-parts":[["2014"]]},"page":"241-261","title":"Scavenger receptor-A (CD204): A two-edged sword in health and disease","type":"article-journal","volume":"34"},"uris":["http://www.mendeley.com/documents/?uuid=1732cab9-abdb-4c4f-bcdf-9d2bdd22ecbb"]},{"id":"ITEM-2","itemData":{"DOI":"10.4049/jimmunol.173.2.1166","ISSN":"0022-1767","abstract":"TLR4 is the primary recognition molecule for inflammatory responses initiated by bacterial LPS (endotoxin). Internalization of endotoxin by various cell types is an important step for its removal and detoxification. Because of its role as an LPS-signaling receptor, TLR4 has been suggested to be involved in cellular LPS uptake as well. LPS uptake was investigated in primary monocytes and endothelial cells derived from TLR4 and CD14 knockout C57BL/6 mice using tritiated and fluorescein-labeled LPS. Intracellular LPS distribution was investigated by deconvolution confocal microscopy. We could not observe any difference in LPS uptake and intracellular LPS distribution in either monocytes or endothelial cells between TLR4(-/-) and wild-type cells. As expected, CD14(-/-) monocytes showed a highly impaired LPS uptake, confirming CD14-dependent uptake in monocytes. Upon longer incubation periods, the CD14-deficient monocytes mimicked the LPS uptake pattern of endothelial cells. Endothelial cell LPS uptake is slower than monocyte uptake, LBP rather than CD14 dependent, and sensitive to polyanionic polymers, which have been shown to block scavenger receptor-dependent uptake mechanisms. We conclude that TLR4 is not involved in cellular LPS uptake mechanisms. In membrane CD14-positive cells, LPS is predominantly taken up via CD14-mediated pathways, whereas in the CD14-negative endothelial cells, there is a role for scavenger receptor-dependent pathways.","author":[{"dropping-particle":"","family":"Dunzendorfer","given":"Stefan","non-dropping-particle":"","parse-names":false,"suffix":""},{"dropping-particle":"","family":"Lee","given":"Hyun-Ku","non-dropping-particle":"","parse-names":false,"suffix":""},{"dropping-particle":"","family":"Soldau","given":"Katrin","non-dropping-particle":"","parse-names":false,"suffix":""},{"dropping-particle":"","family":"Tobias","given":"Peter S.","non-dropping-particle":"","parse-names":false,"suffix":""}],"container-title":"The Journal of Immunology","id":"ITEM-2","issue":"2","issued":{"date-parts":[["2004"]]},"page":"1166-1170","title":"TLR4 Is the Signaling but Not the Lipopolysaccharide Uptake Receptor","type":"article-journal","volume":"173"},"uris":["http://www.mendeley.com/documents/?uuid=d20efdd7-5126-43af-9cef-6329e83aac66"]},{"id":"ITEM-3","itemData":{"DOI":"10.1002/mrm.20995","ISSN":"07403194","abstract":"The ability to specifically image macrophages may enable improved detection and characterization of atherosclerosis. In this study we evaluated the in vitro uptake of gadolinium (Gd)-containing immunomicelles (micelles linked to macrophage-specific antibody), micelles, and standard contrast agents by murine macrophages, and sought to determine whether immunomicelles and micelles improve ex vivo imaging of apolipoprotein E knockout (ApoE KO) murine atherosclerosis. Murine RAW 264.7 macrophages were incubated with Gd-DTPA, micelles, and immunomicelles. Cell pellets were prepared and imaged using a 1.5 T MR system with an inversion recovery spin-echo sequence to determine the in vitro T 1 values. Ex vivo analysis of mouse aortas was performed using a 9.4T MR system with a high-spatial-resolution sequence (78 × 39 × 78 μm3). The T1 value was significantly decreased in cells treated with micelles compared to Gd-DTPA (P &lt; 0.0001), and in cells incubated at 4°C with immunomicelles compared to micelles (P &lt; 0.05). Ex vivo MRI signal intensity (SI) was significantly increased by 81% and 20% in aortas incubated with immunomicelles and micelles, respectively. Confocal microscopy demonstrated in vitro and ex vivo uptake of fluorescent immunomicelles by macrophages. Immunomicelles and micelles improve in vitro and ex vivo MR detection of macrophages, and may prove useful in the detection of macrophage-rich plaques. © 2006 Wiley-Liss, Inc.","author":[{"dropping-particle":"","family":"Lipinski","given":"Michael J.","non-dropping-particle":"","parse-names":false,"suffix":""},{"dropping-particle":"","family":"Amirbekian","given":"Vardan","non-dropping-particle":"","parse-names":false,"suffix":""},{"dropping-particle":"","family":"Frias","given":"Juan C.","non-dropping-particle":"","parse-names":false,"suffix":""},{"dropping-particle":"","family":"Aguinaldo","given":"Juan Gilberto S.","non-dropping-particle":"","parse-names":false,"suffix":""},{"dropping-particle":"","family":"Mani","given":"Venkatesh","non-dropping-particle":"","parse-names":false,"suffix":""},{"dropping-particle":"","family":"Briley-Saebo","given":"Karen C.","non-dropping-particle":"","parse-names":false,"suffix":""},{"dropping-particle":"","family":"Fuster","given":"Valentin","non-dropping-particle":"","parse-names":false,"suffix":""},{"dropping-particle":"","family":"Fallon","given":"John T.","non-dropping-particle":"","parse-names":false,"suffix":""},{"dropping-particle":"","family":"Fisher","given":"Edward A.","non-dropping-particle":"","parse-names":false,"suffix":""},{"dropping-particle":"","family":"Fayad","given":"Zahi A.","non-dropping-particle":"","parse-names":false,"suffix":""}],"container-title":"Magnetic Resonance in Medicine","id":"ITEM-3","issue":"3","issued":{"date-parts":[["2006"]]},"page":"601-610","title":"MRI to detect atherosclerosis with gadolinium-containing immunomicelles targeting the macrophage scavenger receptor","type":"article-journal","volume":"56"},"uris":["http://www.mendeley.com/documents/?uuid=24ca915d-9ee0-44c3-aabe-17ffd0591f0b"]}],"mendeley":{"formattedCitation":"&lt;sup&gt;161–163&lt;/sup&gt;","plainTextFormattedCitation":"161–163","previouslyFormattedCitation":"&lt;sup&gt;161–163&lt;/sup&gt;"},"properties":{"noteIndex":0},"schema":"https://github.com/citation-style-language/schema/raw/master/csl-citation.json"}</w:instrText>
            </w:r>
            <w:r w:rsidRPr="00EA02B4">
              <w:rPr>
                <w:rFonts w:ascii="Arial" w:hAnsi="Arial" w:cs="Arial"/>
                <w:color w:val="000000"/>
                <w:sz w:val="24"/>
                <w:szCs w:val="24"/>
                <w:shd w:val="clear" w:color="auto" w:fill="FFFFFF"/>
              </w:rPr>
              <w:fldChar w:fldCharType="separate"/>
            </w:r>
            <w:r w:rsidR="009D7D40" w:rsidRPr="009D7D40">
              <w:rPr>
                <w:rFonts w:ascii="Arial" w:hAnsi="Arial" w:cs="Arial"/>
                <w:noProof/>
                <w:color w:val="000000"/>
                <w:sz w:val="24"/>
                <w:szCs w:val="24"/>
                <w:shd w:val="clear" w:color="auto" w:fill="FFFFFF"/>
                <w:vertAlign w:val="superscript"/>
              </w:rPr>
              <w:t>161–163</w:t>
            </w:r>
            <w:r w:rsidRPr="00EA02B4">
              <w:rPr>
                <w:rFonts w:ascii="Arial" w:hAnsi="Arial" w:cs="Arial"/>
                <w:color w:val="000000"/>
                <w:sz w:val="24"/>
                <w:szCs w:val="24"/>
                <w:shd w:val="clear" w:color="auto" w:fill="FFFFFF"/>
              </w:rPr>
              <w:fldChar w:fldCharType="end"/>
            </w:r>
          </w:p>
        </w:tc>
      </w:tr>
      <w:tr w:rsidR="00403195" w:rsidRPr="00EA02B4" w14:paraId="2A38A095"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964B1C"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LDL Receptor Family</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0CC574E"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A variety of ligands including LDLs and lactoferrin</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3DEE8E"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Caveolae and Clathrin</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F57F4C"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LDL receptors are located on many types of cells past endothelial cells such as macrophages and epithelial cells, overexpressed in liver tumors, and binds to many different ligands.</w:t>
            </w:r>
          </w:p>
        </w:tc>
        <w:tc>
          <w:tcPr>
            <w:tcW w:w="1702" w:type="dxa"/>
            <w:tcBorders>
              <w:top w:val="single" w:sz="8" w:space="0" w:color="A3A3A3"/>
              <w:left w:val="single" w:sz="8" w:space="0" w:color="A3A3A3"/>
              <w:bottom w:val="single" w:sz="8" w:space="0" w:color="A3A3A3"/>
              <w:right w:val="single" w:sz="8" w:space="0" w:color="A3A3A3"/>
            </w:tcBorders>
          </w:tcPr>
          <w:p w14:paraId="09217761"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-Apolipoprotein-B lipid NPs for targeting HepG2 tumors in mice</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ED85F3" w14:textId="0F59FCA6"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{"citationItems":[{"id":"ITEM-1","itemData":{"DOI":"10.3389/fcvm.2018.00130","ISSN":"2297055X","abstract":"Seminal studies from Nikolai Anichckov identified the accumulation of cholesterol in the arteries as the initial event that lead to the formation of atherosclerotic plaques. Further studies by Gofman and colleagues demonstrated that high levels of circulating low-density lipoprotein cholesterol (LDL-C) was responsible for the accelerated atherosclerosis observed in humans. These findings were confirmed by numerous epidemiological studies which identified elevated LDL-C levels as a major risk factor for cardiovascular disease. LDL infiltrates in the arterial wall and interacts with the proteoglycan matrix promoting the retention and modification of LDL to a toxic form, which results in endothelial cell (EC) activation and vascular inflammation. Despite the relevance of LDL transport across the endothelium during atherogenesis, the molecular mechanism that control this process is still not fully understood. A number of studies have recently demonstrated that low density lipoprotein (LDL) transcytosis across the endothelium is dependent on the function of caveolae, scavenger receptor B1 (SR-B1), activin receptor-like kinase 1 (ALK1), and LDL receptor (LDLR), whereas high-density lipoproteins (HDL) and its major protein component apolipoprotein AI transcytose ECs through SR-B1, ATP-Binding cassette transporter A1 (ABCA1) and ABCG1. In this review article, we briefly summarize the function of the EC barrier in regulating lipoprotein transport, and its relevance during the progression of atherosclerosis. A better understanding of the mechanisms that mediate lipoprotein transcytosis across ECs will help to develop therapies targeting the early events of atherosclerosis and thus exert potential benefits for treating atherosclerotic vascular disease.","author":[{"dropping-particle":"","family":"Zhang","given":"Xinbo","non-dropping-particle":"","parse-names":false,"suffix":""},{"dropping-particle":"","family":"Sessa","given":"William C.","non-dropping-particle":"","parse-names":false,"suffix":""},{"dropping-particle":"","family":"Fernández-Hernando","given":"Carlos","non-dropping-particle":"","parse-names":false,"suffix":""}],"container-title":"Frontiers in Cardiovascular Medicine","id":"ITEM-1","issue":"September","issued":{"date-parts":[["2018"]]},"page":"1-6","title":"Endothelial Transcytosis of Lipoproteins in Atherosclerosis","type":"article-journal","volume":"5"},"uris":["http://www.mendeley.com/documents/?uuid=88fa1ba8-3009-4ea3-8389-d971399d6a8b"]},{"id":"ITEM-2","itemData":{"DOI":"10.1016/S1043-2760(01)00526-4","ISSN":"10432760","abstract":"The low-density lipoprotein (LDL) receptor family consists of several related scavenger receptors that not only function as important cargo transporters, but also inform the cell of changes in its environment by mediating signaling responses. The LDL receptor was the first family member to be characterized and its function seems to be restricted to lipoprotein metabolism. By contrast, lipoprotein metabolism does not appear to be the exclusive function of the other characterized LDL receptor family members. It is now apparent that cargo transport by members of the LDL receptor family is closely associated with regulation of cellular physiology and cellular signaling events. Here, we focus on the diverse biological activities of certain members of this family.","author":[{"dropping-particle":"","family":"Strickland","given":"Dudley K.","non-dropping-particle":"","parse-names":false,"suffix":""},{"dropping-particle":"","family":"Gonias","given":"Steven L.","non-dropping-particle":"","parse-names":false,"suffix":""},{"dropping-particle":"","family":"Argraves","given":"W. Scott","non-dropping-particle":"","parse-names":false,"suffix":""}],"container-title":"Trends in Endocrinology and Metabolism","id":"ITEM-2","issue":"2","issued":{"date-parts":[["2002"]]},"page":"66-74","title":"Diverse roles for the LDL receptor family","type":"article-journal","volume":"13"},"uris":["http://www.mendeley.com/documents/?uuid=3b8a051c-dc9f-4b27-94eb-2620c8c00b04"]},{"id":"ITEM-3","itemData":{"DOI":"10.1016/j.lfs.2019.117013","ISSN":"00243205","author":[{"dropping-particle":"","family":"Wang","given":"Zhengfeng","non-dropping-particle":"","parse-names":false,"suffix":""},{"dropping-particle":"","family":"Duan","given":"Xinxin","non-dropping-particle":"","parse-names":false,"suffix":""},{"dropping-particle":"","family":"Lv","given":"Yinghao","non-dropping-particle":"","parse-names":false,"suffix":""},{"dropping-particle":"","family":"Zhao","given":"Yongfu","non-dropping-particle":"","parse-names":false,"suffix":""}],"container-title":"Life Sciences","id":"ITEM-3","issued":{"date-parts":[["2019","12"]]},"page":"117013","title":"Low density lipoprotein receptor (LDLR)-targeted lipid nanoparticles for the delivery of sorafenib and Dihydroartemisinin in liver cancers","type":"article-journal","volume":"239"},"uris":["http://www.mendeley.com/documents/?uuid=5a231ced-31e7-4c6e-9d1a-2c8256426a9b"]}],"mendeley":{"formattedCitation":"&lt;sup&gt;164–166&lt;/sup&gt;","plainTextFormattedCitation":"164–166","previouslyFormattedCitation":"&lt;sup&gt;164–166&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164–166</w:t>
            </w:r>
            <w:r w:rsidRPr="00EA02B4">
              <w:rPr>
                <w:rFonts w:ascii="Arial" w:hAnsi="Arial" w:cs="Arial"/>
                <w:color w:val="000000"/>
                <w:sz w:val="24"/>
                <w:szCs w:val="24"/>
                <w:shd w:val="clear" w:color="auto" w:fill="FFFFFF"/>
              </w:rPr>
              <w:fldChar w:fldCharType="end"/>
            </w:r>
          </w:p>
        </w:tc>
      </w:tr>
      <w:tr w:rsidR="00403195" w:rsidRPr="00EA02B4" w14:paraId="36E9619C"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753DC8"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Neonatal FC Receptor</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D010B4"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IgG FC,</w:t>
            </w:r>
          </w:p>
          <w:p w14:paraId="261D8436"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Albumin</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65D5A6"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Clathrin</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C21D78"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Neonatal FC receptor is specific to epithelial and endothelial cells in humans and mice</w:t>
            </w:r>
          </w:p>
        </w:tc>
        <w:tc>
          <w:tcPr>
            <w:tcW w:w="1702" w:type="dxa"/>
            <w:tcBorders>
              <w:top w:val="single" w:sz="8" w:space="0" w:color="A3A3A3"/>
              <w:left w:val="single" w:sz="8" w:space="0" w:color="A3A3A3"/>
              <w:bottom w:val="single" w:sz="8" w:space="0" w:color="A3A3A3"/>
              <w:right w:val="single" w:sz="8" w:space="0" w:color="A3A3A3"/>
            </w:tcBorders>
          </w:tcPr>
          <w:p w14:paraId="37F1481B"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PLA-PEG-MAL NPs for crossing the intestinal epithelium after oral administration in mice</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680089" w14:textId="4D1E0B7F"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{"citationItems":[{"id":"ITEM-1","itemData":{"DOI":"10.3389/fimmu.2019.01540","ISSN":"16643224","PMID":"31354709","abstract":"Antibodies are essential components of an adaptive immune response. Immunoglobulin G (IgG) is the most common type of antibody found in circulation and extracellular fluids. Although IgG alone can directly protect the body from infection through the activities of its antigen binding region, the majority of IgG immune functions are mediated via proteins and receptors expressed by specialized cell subsets that bind to the fragment crystallizable (Fc) region of IgG. Fc gamma (γ) receptors (FcγR) belong to a broad family of proteins that presently include classical membrane-bound surface receptors as well as atypical intracellular receptors and cytoplasmic glycoproteins. Among the atypical FcγRs, the neonatal Fc receptor (FcRn) has increasingly gained notoriety given its intimate influence on IgG biology and its ability to also bind to albumin. FcRn functions as a recycling or transcytosis receptor that is responsible for maintaining IgG and albumin in the circulation, and bidirectionally transporting these two ligands across polarized cellular barriers. More recently, it has been appreciated that FcRn acts as an immune receptor by interacting with and facilitating antigen presentation of peptides derived from IgG immune complexes (IC). Here we review FcRn biology and focus on newer advances including how emerging FcRn-targeted therapies may affect the immune responses to IgG and IgG IC. 2019 Pyzik, Sand, Hubbard, Andersen, Sandlie and Blumberg.","author":[{"dropping-particle":"","family":"Pyzik","given":"Michal","non-dropping-particle":"","parse-names":false,"suffix":""},{"dropping-particle":"","family":"Sand","given":"Kine M.K.","non-dropping-particle":"","parse-names":false,"suffix":""},{"dropping-particle":"","family":"Hubbard","given":"Jonathan J.","non-dropping-particle":"","parse-names":false,"suffix":""},{"dropping-particle":"","family":"Andersen","given":"Jan Terje","non-dropping-particle":"","parse-names":false,"suffix":""},{"dropping-particle":"","family":"Sandlie","given":"Inger","non-dropping-particle":"","parse-names":false,"suffix":""},{"dropping-particle":"","family":"Blumberg","given":"Richard S.","non-dropping-particle":"","parse-names":false,"suffix":""}],"container-title":"Frontiers in Immunology","id":"ITEM-1","issue":"JULY","issued":{"date-parts":[["2019"]]},"title":"The neonatal Fc Receptor (FcRn): A misnomer?","type":"article-journal","volume":"10"},"uris":["http://www.mendeley.com/documents/?uuid=d47d31ad-557d-40b1-9ecf-782f393aa107"]},{"id":"ITEM-2","itemData":{"DOI":"10.1126/scitranslmed.3007049","ISSN":"1946-6234","author":[{"dropping-particle":"","family":"Pridgen","given":"E. M.","non-dropping-particle":"","parse-names":false,"suffix":""},{"dropping-particle":"","family":"Alexis","given":"F.","non-dropping-particle":"","parse-names":false,"suffix":""},{"dropping-particle":"","family":"Kuo","given":"T. T.","non-dropping-particle":"","parse-names":false,"suffix":""},{"dropping-particle":"","family":"Levy-Nissenbaum","given":"E.","non-dropping-particle":"","parse-names":false,"suffix":""},{"dropping-particle":"","family":"Karnik","given":"R.","non-dropping-particle":"","parse-names":false,"suffix":""},{"dropping-particle":"","family":"Blumberg","given":"R. S.","non-dropping-particle":"","parse-names":false,"suffix":""},{"dropping-particle":"","family":"Langer","given":"R.","non-dropping-particle":"","parse-names":false,"suffix":""},{"dropping-particle":"","family":"Farokhzad","given":"O. C.","non-dropping-particle":"","parse-names":false,"suffix":""}],"container-title":"Science Translational Medicine","id":"ITEM-2","issue":"213","issued":{"date-parts":[["2013","11","27"]]},"page":"213ra167-213ra167","title":"Transepithelial Transport of Fc-Targeted Nanoparticles by the Neonatal Fc Receptor for Oral Delivery","type":"article-journal","volume":"5"},"uris":["http://www.mendeley.com/documents/?uuid=5d4c9da8-5984-4b3b-85a7-86f3f16d7068"]},{"id":"ITEM-3","itemData":{"DOI":"10.1091/mbc.e07-02-0101","ISBN":"1059-1524 (Print)\\n1059-1524 (Linking)","ISSN":"1059-1524","PMID":"18003976","abstract":"The neonatal Fc receptor, FcRn mediates an endocytic salvage pathway that prevents degradation of IgG, thus contributing to the homeostasis of circulating IgG. Based on the low affinity of IgG for FcRn at neutral pH, internalization of IgG by endothelial cells is generally believed to occur via fluid-phase endocytosis. To investigate the role of FcRn in IgG internalization, we used quantitative confocal microscopy to characterize internalization of fluorescent Fc molecules by HULEC-5A lung microvascular endothelia transfected with GFP fusion proteins of human or mouse FcRn. In these studies, cells transfected with FcRn accumulated significantly more intracellular Fc than untransfected cells. Internalization of FcRn-binding forms of Fc was proportional to FcRn expression level, was enriched relative to dextran internalization in proportion to FcRn expression level, and was blocked by incubation with excess unlabeled Fc. Because we were unable to detect either surface expression of FcRn or surface binding of Fc, these results suggest that FcRn-dependent internalization of Fc may occur through sequestration of Fc by FcRn in early endosomes. These studies indicate that FcRn-dependent internalization of IgG may be important not only in cells taking up IgG from an extracellular acidic space, but also in endothelial cells participating in homeostatic regulation of circulating IgG levels.","author":[{"dropping-particle":"","family":"Goebl","given":"Nancy A.","non-dropping-particle":"","parse-names":false,"suffix":""},{"dropping-particle":"","family":"Babbey","given":"Clifford M.","non-dropping-particle":"","parse-names":false,"suffix":""},{"dropping-particle":"","family":"Datta-Mannan","given":"Amita","non-dropping-particle":"","parse-names":false,"suffix":""},{"dropping-particle":"","family":"Witcher","given":"Derrick R.","non-dropping-particle":"","parse-names":false,"suffix":""},{"dropping-particle":"","family":"Wroblewski","given":"Victor J.","non-dropping-particle":"","parse-names":false,"suffix":""},{"dropping-particle":"","family":"Dunn","given":"Kenneth W.","non-dropping-particle":"","parse-names":false,"suffix":""}],"container-title":"Molecular Biology of the Cell","editor":[{"dropping-particle":"","family":"Schmid","given":"Sandra L.","non-dropping-particle":"","parse-names":false,"suffix":""}],"id":"ITEM-3","issue":"12","issued":{"date-parts":[["2008","12"]]},"page":"5490-5505","title":"Neonatal Fc Receptor Mediates Internalization of Fc in Transfected Human Endothelial Cells","type":"article-journal","volume":"19"},"uris":["http://www.mendeley.com/documents/?uuid=0a49ad3a-de59-477c-a8a7-b31d361424eb"]}],"mendeley":{"formattedCitation":"&lt;sup&gt;167–169&lt;/sup&gt;","plainTextFormattedCitation":"167–169","previouslyFormattedCitation":"&lt;sup&gt;167–169&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167–169</w:t>
            </w:r>
            <w:r w:rsidRPr="00EA02B4">
              <w:rPr>
                <w:rFonts w:ascii="Arial" w:hAnsi="Arial" w:cs="Arial"/>
                <w:color w:val="000000"/>
                <w:sz w:val="24"/>
                <w:szCs w:val="24"/>
                <w:shd w:val="clear" w:color="auto" w:fill="FFFFFF"/>
              </w:rPr>
              <w:fldChar w:fldCharType="end"/>
            </w:r>
          </w:p>
        </w:tc>
      </w:tr>
      <w:tr w:rsidR="00403195" w:rsidRPr="00EA02B4" w14:paraId="2EA3DD13"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526F58"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lastRenderedPageBreak/>
              <w:t>Transferrin Receptor</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865C5C"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Transferrin</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9203A7"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Clathrin</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A2C30E"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Highly expressed in solid tumor cells, as well as in blood brain barrier endothelial cells </w:t>
            </w:r>
          </w:p>
        </w:tc>
        <w:tc>
          <w:tcPr>
            <w:tcW w:w="1702" w:type="dxa"/>
            <w:tcBorders>
              <w:top w:val="single" w:sz="8" w:space="0" w:color="A3A3A3"/>
              <w:left w:val="single" w:sz="8" w:space="0" w:color="A3A3A3"/>
              <w:bottom w:val="single" w:sz="8" w:space="0" w:color="A3A3A3"/>
              <w:right w:val="single" w:sz="8" w:space="0" w:color="A3A3A3"/>
            </w:tcBorders>
          </w:tcPr>
          <w:p w14:paraId="0B21E26E"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PLGA NPs for targeting brain capillary endothelial cells and astrocytes</w:t>
            </w:r>
          </w:p>
          <w:p w14:paraId="2DF85C05"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AuNPs for targeting S.C. Neuro2A tumors in mice</w:t>
            </w:r>
          </w:p>
          <w:p w14:paraId="2BEEFF4A" w14:textId="77777777" w:rsidR="00EA02B4" w:rsidRPr="00EA02B4" w:rsidRDefault="00EA02B4" w:rsidP="00EA02B4">
            <w:pPr>
              <w:rPr>
                <w:rFonts w:ascii="Arial" w:hAnsi="Arial" w:cs="Arial"/>
                <w:color w:val="000000"/>
                <w:sz w:val="20"/>
                <w:szCs w:val="20"/>
                <w:shd w:val="clear" w:color="auto" w:fill="FFFFFF"/>
              </w:rPr>
            </w:pP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C47AB3" w14:textId="6479D153"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{"citationItems":[{"id":"ITEM-1","itemData":{"DOI":"10.1016/j.bbagen.2011.09.009","ISBN":"6176321972","ISSN":"03044165","PMID":"1000000221","author":[{"dropping-particle":"","family":"Mayle","given":"Kristine M.","non-dropping-particle":"","parse-names":false,"suffix":""},{"dropping-particle":"","family":"Le","given":"Alexander M.","non-dropping-particle":"","parse-names":false,"suffix":""},{"dropping-particle":"","family":"Kamei","given":"Daniel T.","non-dropping-particle":"","parse-names":false,"suffix":""}],"container-title":"Biochimica et Biophysica Acta (BBA) - General Subjects","id":"ITEM-1","issue":"3","issued":{"date-parts":[["2012","3"]]},"page":"264-281","title":"The intracellular trafficking pathway of transferrin","type":"article-journal","volume":"1820"},"uris":["http://www.mendeley.com/documents/?uuid=8f23742d-e6c3-43e1-9509-34290b24dd8e"]},{"id":"ITEM-2","itemData":{"DOI":"10.1002/med.10008","ISSN":"01986325","PMID":"11933019","abstract":"Since transferrin was discovered more than half a century ago, a considerable effort has been made towards understanding tranferrin-mediated iron uptake. However, it was not until recently with the identification and characterization of several new genes related to iron homeostasis, such as the hemochromatosis protein HFE and the iron transporter DMT1, that our knowledge has been advanced dramatically. A major pathway for cellular iron uptake is through internalization of the complex of iron-bound transferrin and the transferrin receptor, which is negatively modulated by HFE, a protein related to hereditary hemochromatosis. Iron is released from transferrin as the result of the acidic pH in endosome and then is transported to the cytosol by DMT1. The iron is then utilized as a cofactor by heme and ribonucleotide reductase or stored in ferritin. Apart from iron, many other metal ions of therapeutic and diagnostic interests can also bind to transferrin at the iron sites and their transferrin complexes can be recognized by many cells. Therefore, transferrin has been thought as a \"delivery system\" for many beneficial and harmful metal ions into the cells. Transferrin has also be widely applied as a targeting ligand in the active targeting of anticancer agents, proteins, and genes to primary proliferating malignant cells that overexpress transferrin receptors. This is achieved by conjugation of transferrin with drugs, proteins, hybride systems with marcomolecules and as liposomal-coated systems. Conjugates of anticancer drugs with transferrin can significantly improve the selectivity and toxicity and overcome drug resistance, thereby leading to a better treatment. The coupling of DNA to transferrin via a polycation such as polylysine or via cationic liposomes can target and transfer of the extrogenous DNA particularly into proliferating cells through receptor-mediated endocytosis. These kinds of non-viral vectors are potential alternatives to viral vectors for gene therapy, if the transfection efficiency can be improved. Moreover, transferrin receptors have shown potentials in delivery of therapeutic drugs or genes into the brain across blood-brain barrier. © 2002 Wiley Periodicals, Inc.","author":[{"dropping-particle":"","family":"Li","given":"Hongyan","non-dropping-particle":"","parse-names":false,"suffix":""},{"dropping-particle":"","family":"Qian","given":"Zhong Ming","non-dropping-particle":"","parse-names":false,"suffix":""}],"container-title":"Medicinal Research Reviews","id":"ITEM-2","issue":"3","issued":{"date-parts":[["2002"]]},"page":"225-250","title":"Transferrin/transferrin receptor-mediated drug delivery","type":"article-journal","volume":"22"},"uris":["http://www.mendeley.com/documents/?uuid=2dabae95-34f6-4542-a2c6-d56a34302ea7"]},{"id":"ITEM-3","itemData":{"DOI":"10.1016/j.ijpharm.2009.04.035","ISSN":"03785173","author":[{"dropping-particle":"","family":"Chang","given":"Jiang","non-dropping-particle":"","parse-names":false,"suffix":""},{"dropping-particle":"","family":"Jallouli","given":"Youssef","non-dropping-particle":"","parse-names":false,"suffix":""},{"dropping-particle":"","family":"Kroubi","given":"Maya","non-dropping-particle":"","parse-names":false,"suffix":""},{"dropping-particle":"","family":"Yuan","given":"Xu-bo","non-dropping-particle":"","parse-names":false,"suffix":""},{"dropping-particle":"","family":"Feng","given":"Wei","non-dropping-particle":"","parse-names":false,"suffix":""},{"dropping-particle":"","family":"Kang","given":"Chun-sheng","non-dropping-particle":"","parse-names":false,"suffix":""},{"dropping-particle":"","family":"Pu","given":"Pei-yu","non-dropping-particle":"","parse-names":false,"suffix":""},{"dropping-particle":"","family":"Betbeder","given":"Didier","non-dropping-particle":"","parse-names":false,"suffix":""}],"container-title":"International Journal of Pharmaceutics","id":"ITEM-3","issue":"2","issued":{"date-parts":[["2009","9"]]},"page":"285-292","title":"Characterization of endocytosis of transferrin-coated PLGA nanoparticles by the blood–brain barrier","type":"article-journal","volume":"379"},"uris":["http://www.mendeley.com/documents/?uuid=82b5d572-f36b-4d7b-8312-850893a12cea"]},{"id":"ITEM-4","itemData":{"DOI":"10.1073/pnas.0914140107","ISSN":"00278424","PMID":"20080552","abstract":"PEGylated gold nanoparticles are decorated with various amounts of human transferrin (Tf) to give a series of Tf-targeted particles with near-constant size and electrokinetic potential. The effects of Tf content on nanoparticle tumor targeting were investigated in mice bearing s.c. Neuro2A tumors. Quantitative biodistributions of the nanoparticles 24 h after i.v. tail-vein injections show that the nanoparticle accumulations in the tumors and other organs are independent of Tf. However, the nanoparticle localizations within a particular organ are influenced by the Tf content. In tumor tissue, the content of targeting ligands significantly influences the number of nanoparticles localized within the cancer cells. In liver tissue, high Tf content leads to small amounts of the nanoparticles residing in hepatocytes, whereas most nanoparticles remain in nonparenchymal cells. These results suggest that targeted nanoparticles can provide greater intracellular delivery of therapeutic agents to the cancer cells within solid tumors than their nontargeted analogs.","author":[{"dropping-particle":"","family":"Choi","given":"Chung Hang J.","non-dropping-particle":"","parse-names":false,"suffix":""},{"dropping-particle":"","family":"Alabi","given":"Christopher A.","non-dropping-particle":"","parse-names":false,"suffix":""},{"dropping-particle":"","family":"Webster","given":"Paul","non-dropping-particle":"","parse-names":false,"suffix":""},{"dropping-particle":"","family":"Davis","given":"Mark E.","non-dropping-particle":"","parse-names":false,"suffix":""}],"container-title":"Proceedings of the National Academy of Sciences of the United States of America","id":"ITEM-4","issue":"3","issued":{"date-parts":[["2010"]]},"page":"1235-1240","title":"Mechanism of active targeting in solid tumors with transferrin-containing gold nanoparticles","type":"article-journal","volume":"107"},"uris":["http://www.mendeley.com/documents/?uuid=972996a6-59cf-44ef-b67f-2d790a1a93c1"]}],"mendeley":{"formattedCitation":"&lt;sup&gt;170–173&lt;/sup&gt;","plainTextFormattedCitation":"170–173","previouslyFormattedCitation":"&lt;sup&gt;170–173&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170–173</w:t>
            </w:r>
            <w:r w:rsidRPr="00EA02B4">
              <w:rPr>
                <w:rFonts w:ascii="Arial" w:hAnsi="Arial" w:cs="Arial"/>
                <w:color w:val="000000"/>
                <w:sz w:val="24"/>
                <w:szCs w:val="24"/>
                <w:shd w:val="clear" w:color="auto" w:fill="FFFFFF"/>
              </w:rPr>
              <w:fldChar w:fldCharType="end"/>
            </w:r>
          </w:p>
        </w:tc>
      </w:tr>
      <w:tr w:rsidR="00403195" w:rsidRPr="00EA02B4" w14:paraId="096CF34D" w14:textId="77777777" w:rsidTr="00EA02B4">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64F6A5"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Vascular cell adhesion molecule (VCAM-1)</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F57027D"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Anti-VCAM-1</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075A7E"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Clathrin</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274887"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VCAM-1 is expressed on activated endothelial cells in tumors and during inflammation</w:t>
            </w:r>
          </w:p>
        </w:tc>
        <w:tc>
          <w:tcPr>
            <w:tcW w:w="1702" w:type="dxa"/>
            <w:tcBorders>
              <w:top w:val="single" w:sz="8" w:space="0" w:color="A3A3A3"/>
              <w:left w:val="single" w:sz="8" w:space="0" w:color="A3A3A3"/>
              <w:bottom w:val="single" w:sz="8" w:space="0" w:color="A3A3A3"/>
              <w:right w:val="single" w:sz="8" w:space="0" w:color="A3A3A3"/>
            </w:tcBorders>
          </w:tcPr>
          <w:p w14:paraId="071611BA"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-Conjugated to PEG-liposomes for targeting bEnd.3 cells and tumor vasculature in a CD1 nude, human Colo 677 xenograft mouse model</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4B2C643" w14:textId="7330B534" w:rsidR="00EA02B4" w:rsidRPr="00EA02B4" w:rsidRDefault="00EA02B4" w:rsidP="00EA02B4">
            <w:pPr>
              <w:rPr>
                <w:rFonts w:ascii="Arial" w:hAnsi="Arial" w:cs="Arial"/>
                <w:color w:val="000000"/>
                <w:sz w:val="24"/>
                <w:szCs w:val="24"/>
                <w:shd w:val="clear" w:color="auto" w:fill="FFFFFF"/>
                <w:lang w:val="de-DE"/>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{"citationItems":[{"id":"ITEM-1","itemData":{"DOI":"10.1016/j.bbamem.2007.12.021","ISSN":"00052736","PMID":"18211818","abstract":"Targeting the tumor vasculature and selectively modifying endothelial functions is an attractive anti-tumor strategy. We prepared polyethyleneglycol modified immunoliposomes (IL) directed against vascular cell adhesion molecule 1 (VCAM-1), a surface receptor over-expressed on tumor vessels, and investigated the liposomal targetability in vitro and in vivo. In vitro, anti-VCAM-1 liposomes displayed specific binding to activated endothelial cells under static conditions, as well as under simulated blood flow conditions. The in vivo targeting of IL was analysed in mice bearing human Colo 677 tumor xenografts 30 min and 24 h post i.v. injection. Whereas biodistribution studies using [3H]-labelled liposomes displayed only marginal higher tumor accumulation of VCAM-1 targeted versus unspecific ILs, fluorescence microscopy evaluation revealed that their localisations within tumors differed strongly. VCAM-1 targeted ILs accumulated in tumor vessels with increasing intensities from 30 min to 24 h, while control ILs accumulated in the tumor tissue by passive diffusion. ILs that accumulated in non-affected organs, mainly liver and spleen, primarily co-localised with macrophages. This is the first morphological evidence for selective in vivo targeting of tumor vessels using ILs. VCAM-directed ILs are candidate drug delivery systems for therapeutic anti-cancer approaches designed to alter endothelial function. © 2007 Elsevier B.V. All rights reserved.","author":[{"dropping-particle":"","family":"Gosk","given":"Sara","non-dropping-particle":"","parse-names":false,"suffix":""},{"dropping-particle":"","family":"Moos","given":"Torben","non-dropping-particle":"","parse-names":false,"suffix":""},{"dropping-particle":"","family":"Gottstein","given":"Claudia","non-dropping-particle":"","parse-names":false,"suffix":""},{"dropping-particle":"","family":"Bendas","given":"Gerd","non-dropping-particle":"","parse-names":false,"suffix":""}],"container-title":"Biochimica et Biophysica Acta - Biomembranes","id":"ITEM-1","issue":"4","issued":{"date-parts":[["2008"]]},"page":"854-863","title":"VCAM-1 directed immunoliposomes selectively target tumor vasculature in vivo","type":"article-journal","volume":"1778"},"uris":["http://www.mendeley.com/documents/?uuid=e432e0a2-ed73-4d72-9624-abb528d835d1"]}],"mendeley":{"formattedCitation":"&lt;sup&gt;113&lt;/sup&gt;","plainTextFormattedCitation":"113","previouslyFormattedCitation":"&lt;sup&gt;113&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lang w:val="de-DE"/>
              </w:rPr>
              <w:t>113</w:t>
            </w:r>
            <w:r w:rsidRPr="00EA02B4">
              <w:rPr>
                <w:rFonts w:ascii="Arial" w:hAnsi="Arial" w:cs="Arial"/>
                <w:color w:val="000000"/>
                <w:sz w:val="24"/>
                <w:szCs w:val="24"/>
                <w:shd w:val="clear" w:color="auto" w:fill="FFFFFF"/>
              </w:rPr>
              <w:fldChar w:fldCharType="end"/>
            </w:r>
          </w:p>
        </w:tc>
      </w:tr>
      <w:tr w:rsidR="00403195" w:rsidRPr="00EA02B4" w14:paraId="3DDEED59" w14:textId="77777777" w:rsidTr="008C387C">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3BE874C"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Epidermal Growth Factor Receptor (EGFR)</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593C89"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Epidermal Growth Factor</w:t>
            </w:r>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742A04" w14:textId="77777777" w:rsidR="00EA02B4" w:rsidRPr="00EA02B4" w:rsidRDefault="00EA02B4" w:rsidP="00EA02B4">
            <w:pPr>
              <w:rPr>
                <w:rFonts w:ascii="Arial" w:hAnsi="Arial" w:cs="Arial"/>
                <w:color w:val="000000"/>
                <w:sz w:val="20"/>
                <w:szCs w:val="20"/>
                <w:shd w:val="clear" w:color="auto" w:fill="FFFFFF"/>
                <w:lang w:val="de-DE"/>
              </w:rPr>
            </w:pPr>
            <w:r w:rsidRPr="00EA02B4">
              <w:rPr>
                <w:rFonts w:ascii="Arial" w:hAnsi="Arial" w:cs="Arial"/>
                <w:color w:val="000000"/>
                <w:sz w:val="20"/>
                <w:szCs w:val="20"/>
                <w:shd w:val="clear" w:color="auto" w:fill="FFFFFF"/>
                <w:lang w:val="de-DE"/>
              </w:rPr>
              <w:t>Macropinocytosis</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7C918D" w14:textId="444E4C6E"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Present across many different cell types in the body but is overexpressed in many tumor cell lines. EGFR also binds to many other types of growth factors</w:t>
            </w:r>
          </w:p>
        </w:tc>
        <w:tc>
          <w:tcPr>
            <w:tcW w:w="1702" w:type="dxa"/>
            <w:tcBorders>
              <w:top w:val="single" w:sz="8" w:space="0" w:color="A3A3A3"/>
              <w:left w:val="single" w:sz="8" w:space="0" w:color="A3A3A3"/>
              <w:bottom w:val="single" w:sz="8" w:space="0" w:color="A3A3A3"/>
              <w:right w:val="single" w:sz="8" w:space="0" w:color="A3A3A3"/>
            </w:tcBorders>
          </w:tcPr>
          <w:p w14:paraId="11E8AD9C" w14:textId="77777777" w:rsidR="00EA02B4" w:rsidRPr="00EA02B4" w:rsidRDefault="00EA02B4" w:rsidP="00EA02B4">
            <w:pPr>
              <w:rPr>
                <w:rFonts w:ascii="Arial" w:hAnsi="Arial" w:cs="Arial"/>
                <w:color w:val="000000"/>
                <w:sz w:val="20"/>
                <w:szCs w:val="20"/>
                <w:shd w:val="clear" w:color="auto" w:fill="FFFFFF"/>
              </w:rPr>
            </w:pPr>
            <w:r w:rsidRPr="00EA02B4">
              <w:rPr>
                <w:rFonts w:ascii="Arial" w:hAnsi="Arial" w:cs="Arial"/>
                <w:color w:val="000000"/>
                <w:sz w:val="20"/>
                <w:szCs w:val="20"/>
                <w:shd w:val="clear" w:color="auto" w:fill="FFFFFF"/>
              </w:rPr>
              <w:t xml:space="preserve">-Conjugated to AuNPs for targeting EMT-6 mammary carcinomas in mice </w:t>
            </w:r>
          </w:p>
        </w:tc>
        <w:tc>
          <w:tcPr>
            <w:tcW w:w="1384"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658F5EB" w14:textId="49D2AE2B" w:rsidR="00EA02B4" w:rsidRPr="008C387C"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lang w:val="de-DE"/>
              </w:rPr>
              <w:instrText>ADDIN CSL_CITATION {"citationItems":[{"id":"ITEM-1","itemData":{"DOI":"10.1242/jcs.000653","ISSN":"00219533","abstract":"In epithelia, junction proteins are endocytosed for modulation of cell-cell adhesion and cell polarity. In response to growth factors, the cell-cell adhesion protein E-cadherin is internalized from the cell surface with degradation or recycling as potential fates. However, the cellular machinery involved in cadherin internalization and recycling remains controversial. Here we investigated EGF-induced E-cadherin internalization. EGF stimulation of MCF-7 cells resulted in Rac1-modulated macropinocytosis of the E-cadherin-catenin complex into endosomal compartments that colocalized with EEA1 and the sorting nexin, SNX1. Depletion of cellular SNX1 levels by ARNA resulted in increased intraceHular accumulation and turnover of E-cadherin internalized from the cell surface in response to EGF. Moreover, SNX1 was also required for efficient recycling of internalized E-cadherin and re-establishment of epithelial adhesion. Together, these findings demonstrate a role for SNX1 in retrieval of E-cadherin from a degradative endosomal pathway and in membrane trafficking pathways that regulate E-cadherin recycling.","author":[{"dropping-particle":"","family":"Bryant","given":"David M.","non-dropping-particle":"","parse-names":false,"suffix":""},{"dropping-particle":"","family":"Kerr","given":"Markus C.","non-dropping-particle":"","parse-names":false,"suffix":""},{"dropping-particle":"","family":"Hammond","given":"Luke A.","non-dropping-particle":"","parse-names":false,"suffix":""},{"dropping-particle":"","family":"Joseph","given":"Shannon R.","non-dropping-particle":"","parse-names":false,"suffix":""},{"dropping-particle":"","family":"Mostov","given":"Keith E.","non-dropping-particle":"","parse-names":false,"suffix":""},{"dropping-particle":"","family":"Teasdale","given":"Rohan D.","non-dropping-particle":"","parse-names":false,"suffix":""},{"dropping-particle":"","family":"Stow","given":"Jennifer L.","non-dropping-particle":"","parse-names":false,"suffix":""}],"container-title":"Journal of Cell Science","id":"ITEM-1","issue":"10","issued":{"date-parts":[["2007"]]},"page":"1818-1828","title":"EGF induces macropinocytosis and SNX1-modulated recycling of E-cadherin","type":"article-journal","volume":"120"},"uris":["http://www.mendeley.com/documents/?uuid=afbe431a-2a66-4aef-801f-d077f4b76234"]},{"id":"ITEM-2","itemData":{"DOI":"10.1016/j.ijrobp.2003.11.041","ISSN":"03603016","PMID":"15142631","abstract":"The epidermal growth factor receptor (EGFR) is a transmembrane glycoprotein that constitutes one of four members of the erbB family of tyrosine kinase receptors. Binding of EGFR to its cognate ligands leads to autophosphorylation of receptor tyrosine kinase and subsequent activation of signal transduction pathways that are involved in regulating cellular proliferation, differentiation, and survival. Although present in normal cells, EGFR is overexpressed in a variety of tumor cell lines and has been associated with poor prognosis and decreased survival. EGFR activation also plays a role in resistance to chemotherapy and radiation treatment in tumor cells. Over the past two decades, much effort has been directed at developing anticancer age</w:instrText>
            </w:r>
            <w:r w:rsidR="008C387C" w:rsidRPr="0007170C">
              <w:rPr>
                <w:rFonts w:ascii="Arial" w:hAnsi="Arial" w:cs="Arial"/>
                <w:color w:val="000000"/>
                <w:sz w:val="24"/>
                <w:szCs w:val="24"/>
                <w:shd w:val="clear" w:color="auto" w:fill="FFFFFF"/>
              </w:rPr>
              <w:instrText>nts that can interfere with EGFR activity. The most common pharmacologic approaches to inhibiting EGFR have been to develop monoclonal antibodies and small-molecule inhibitors. Monoclonal antibodies block ligand binding to the extracellular domain, whereas the small-molecule inhibitors exert their effects at the intracellular portion of the receptor to prevent tyrosine kinase phosphorylation and subsequent activation of signal transduction pathways. A number of EGFR inhibitors have been developed that can arrest tumor growth and, in some cases, cause tumor regression. When used in combination with cytotoxic treatments, chemotherapy, and radiation, EGFR inhibitors have been able to potentiate their anticancer activity. © 2004 Elsevier Inc.","author":[{"dropping-particle":"","family":"Herbst","given":"Roy S.","non-dropping-particle":"","parse-names":false,"suffix":""}],"container-title":"International Journal of Radiation Oncology Biology Physics","id":"ITEM-2","issue":"2 SUPPL.","issued":{"date-parts":[["2004"]]},"page":"S21-S26","title":"Review of epidermal growth factor receptor biology","type":"article-journal","volume":"59"},"uris":["http://www.mendeley.com/documents/?uuid=467b0db4-45de-4b9a-9823-2cc2ecf1b79e"]}],"mendeley":{"formattedCitation":"&lt;sup&gt;174,175&lt;/sup&gt;","plainTextFormattedCitation":"174,175","previouslyFormattedCitation":"&lt;sup&gt;174,175&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8C387C">
              <w:rPr>
                <w:rFonts w:ascii="Arial" w:hAnsi="Arial" w:cs="Arial"/>
                <w:noProof/>
                <w:color w:val="000000"/>
                <w:sz w:val="24"/>
                <w:szCs w:val="24"/>
                <w:shd w:val="clear" w:color="auto" w:fill="FFFFFF"/>
                <w:vertAlign w:val="superscript"/>
              </w:rPr>
              <w:t>174,175</w:t>
            </w:r>
            <w:r w:rsidRPr="00EA02B4">
              <w:rPr>
                <w:rFonts w:ascii="Arial" w:hAnsi="Arial" w:cs="Arial"/>
                <w:color w:val="000000"/>
                <w:sz w:val="24"/>
                <w:szCs w:val="24"/>
                <w:shd w:val="clear" w:color="auto" w:fill="FFFFFF"/>
              </w:rPr>
              <w:fldChar w:fldCharType="end"/>
            </w:r>
          </w:p>
        </w:tc>
      </w:tr>
      <w:tr w:rsidR="00403195" w:rsidRPr="00EA02B4" w14:paraId="1AEF23DB" w14:textId="77777777" w:rsidTr="00EA02B4">
        <w:trPr>
          <w:trHeight w:val="1808"/>
        </w:trPr>
        <w:tc>
          <w:tcPr>
            <w:tcW w:w="11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4432EB" w14:textId="77777777" w:rsidR="00EA02B4" w:rsidRPr="008C387C" w:rsidRDefault="00EA02B4" w:rsidP="00EA02B4">
            <w:pPr>
              <w:rPr>
                <w:rFonts w:ascii="Arial" w:hAnsi="Arial" w:cs="Arial"/>
                <w:color w:val="000000"/>
                <w:sz w:val="20"/>
                <w:szCs w:val="20"/>
                <w:shd w:val="clear" w:color="auto" w:fill="FFFFFF"/>
              </w:rPr>
            </w:pPr>
            <w:bookmarkStart w:id="18" w:name="_Hlk42366390"/>
            <w:r w:rsidRPr="00EA02B4">
              <w:rPr>
                <w:rFonts w:ascii="Arial" w:hAnsi="Arial" w:cs="Arial"/>
                <w:color w:val="000000"/>
                <w:sz w:val="20"/>
                <w:szCs w:val="20"/>
                <w:shd w:val="clear" w:color="auto" w:fill="FFFFFF"/>
                <w:lang w:val="de-DE"/>
              </w:rPr>
              <w:t>α</w:t>
            </w:r>
            <w:r w:rsidRPr="008C387C">
              <w:rPr>
                <w:rFonts w:ascii="Arial" w:hAnsi="Arial" w:cs="Arial"/>
                <w:color w:val="000000"/>
                <w:sz w:val="20"/>
                <w:szCs w:val="20"/>
                <w:shd w:val="clear" w:color="auto" w:fill="FFFFFF"/>
              </w:rPr>
              <w:t xml:space="preserve">V Integrins </w:t>
            </w:r>
          </w:p>
        </w:tc>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623511" w14:textId="77777777" w:rsidR="00EA02B4" w:rsidRPr="008C387C" w:rsidRDefault="00EA02B4" w:rsidP="00EA02B4">
            <w:pPr>
              <w:rPr>
                <w:rFonts w:ascii="Arial" w:hAnsi="Arial" w:cs="Arial"/>
                <w:color w:val="000000"/>
                <w:sz w:val="20"/>
                <w:szCs w:val="20"/>
                <w:shd w:val="clear" w:color="auto" w:fill="FFFFFF"/>
              </w:rPr>
            </w:pPr>
            <w:proofErr w:type="spellStart"/>
            <w:r w:rsidRPr="008C387C">
              <w:rPr>
                <w:rFonts w:ascii="Arial" w:hAnsi="Arial" w:cs="Arial"/>
                <w:color w:val="000000"/>
                <w:sz w:val="20"/>
                <w:szCs w:val="20"/>
                <w:shd w:val="clear" w:color="auto" w:fill="FFFFFF"/>
              </w:rPr>
              <w:t>iRGD</w:t>
            </w:r>
            <w:proofErr w:type="spellEnd"/>
          </w:p>
        </w:tc>
        <w:tc>
          <w:tcPr>
            <w:tcW w:w="162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59AA2E6" w14:textId="77777777" w:rsidR="00EA02B4" w:rsidRPr="008C387C" w:rsidRDefault="00EA02B4" w:rsidP="00EA02B4">
            <w:pPr>
              <w:rPr>
                <w:rFonts w:ascii="Arial" w:hAnsi="Arial" w:cs="Arial"/>
                <w:color w:val="000000"/>
                <w:sz w:val="20"/>
                <w:szCs w:val="20"/>
                <w:shd w:val="clear" w:color="auto" w:fill="FFFFFF"/>
              </w:rPr>
            </w:pPr>
            <w:r w:rsidRPr="008C387C">
              <w:rPr>
                <w:rFonts w:ascii="Arial" w:hAnsi="Arial" w:cs="Arial"/>
                <w:color w:val="000000"/>
                <w:sz w:val="20"/>
                <w:szCs w:val="20"/>
                <w:shd w:val="clear" w:color="auto" w:fill="FFFFFF"/>
              </w:rPr>
              <w:t>C-end Rule (</w:t>
            </w:r>
            <w:proofErr w:type="spellStart"/>
            <w:r w:rsidRPr="008C387C">
              <w:rPr>
                <w:rFonts w:ascii="Arial" w:hAnsi="Arial" w:cs="Arial"/>
                <w:color w:val="000000"/>
                <w:sz w:val="20"/>
                <w:szCs w:val="20"/>
                <w:shd w:val="clear" w:color="auto" w:fill="FFFFFF"/>
              </w:rPr>
              <w:t>CendR</w:t>
            </w:r>
            <w:proofErr w:type="spellEnd"/>
            <w:r w:rsidRPr="008C387C">
              <w:rPr>
                <w:rFonts w:ascii="Arial" w:hAnsi="Arial" w:cs="Arial"/>
                <w:color w:val="000000"/>
                <w:sz w:val="20"/>
                <w:szCs w:val="20"/>
                <w:shd w:val="clear" w:color="auto" w:fill="FFFFFF"/>
              </w:rPr>
              <w:t xml:space="preserve">) </w:t>
            </w:r>
          </w:p>
        </w:tc>
        <w:tc>
          <w:tcPr>
            <w:tcW w:w="1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867FD3E" w14:textId="77777777" w:rsidR="00EA02B4" w:rsidRPr="008C387C" w:rsidRDefault="00EA02B4" w:rsidP="00EA02B4">
            <w:pPr>
              <w:rPr>
                <w:rFonts w:ascii="Arial" w:hAnsi="Arial" w:cs="Arial"/>
                <w:color w:val="000000"/>
                <w:sz w:val="20"/>
                <w:szCs w:val="20"/>
                <w:shd w:val="clear" w:color="auto" w:fill="FFFFFF"/>
              </w:rPr>
            </w:pPr>
            <w:r w:rsidRPr="008C387C">
              <w:rPr>
                <w:rFonts w:ascii="Arial" w:hAnsi="Arial" w:cs="Arial"/>
                <w:color w:val="000000"/>
                <w:sz w:val="20"/>
                <w:szCs w:val="20"/>
                <w:shd w:val="clear" w:color="auto" w:fill="FFFFFF"/>
              </w:rPr>
              <w:t xml:space="preserve">Specific to </w:t>
            </w:r>
            <w:r w:rsidRPr="00EA02B4">
              <w:rPr>
                <w:rFonts w:ascii="Arial" w:hAnsi="Arial" w:cs="Arial"/>
                <w:color w:val="000000"/>
                <w:sz w:val="20"/>
                <w:szCs w:val="20"/>
                <w:shd w:val="clear" w:color="auto" w:fill="FFFFFF"/>
              </w:rPr>
              <w:t>α</w:t>
            </w:r>
            <w:r w:rsidRPr="008C387C">
              <w:rPr>
                <w:rFonts w:ascii="Arial" w:hAnsi="Arial" w:cs="Arial"/>
                <w:color w:val="000000"/>
                <w:sz w:val="20"/>
                <w:szCs w:val="20"/>
                <w:shd w:val="clear" w:color="auto" w:fill="FFFFFF"/>
              </w:rPr>
              <w:t xml:space="preserve">V integrins on tumor endothelium as well as angiogenic endothelium </w:t>
            </w:r>
          </w:p>
          <w:p w14:paraId="686AE307" w14:textId="77777777" w:rsidR="00EA02B4" w:rsidRPr="008C387C" w:rsidRDefault="00EA02B4" w:rsidP="00EA02B4">
            <w:pPr>
              <w:rPr>
                <w:rFonts w:ascii="Arial" w:hAnsi="Arial" w:cs="Arial"/>
                <w:color w:val="000000"/>
                <w:sz w:val="20"/>
                <w:szCs w:val="20"/>
                <w:shd w:val="clear" w:color="auto" w:fill="FFFFFF"/>
              </w:rPr>
            </w:pPr>
            <w:r w:rsidRPr="008C387C">
              <w:rPr>
                <w:rFonts w:ascii="Arial" w:hAnsi="Arial" w:cs="Arial"/>
                <w:color w:val="000000"/>
                <w:sz w:val="20"/>
                <w:szCs w:val="20"/>
                <w:shd w:val="clear" w:color="auto" w:fill="FFFFFF"/>
              </w:rPr>
              <w:t xml:space="preserve">After binding to </w:t>
            </w:r>
            <w:r w:rsidRPr="00EA02B4">
              <w:rPr>
                <w:rFonts w:ascii="Arial" w:hAnsi="Arial" w:cs="Arial"/>
                <w:color w:val="000000"/>
                <w:sz w:val="20"/>
                <w:szCs w:val="20"/>
                <w:shd w:val="clear" w:color="auto" w:fill="FFFFFF"/>
                <w:lang w:val="de-DE"/>
              </w:rPr>
              <w:t>α</w:t>
            </w:r>
            <w:r w:rsidRPr="008C387C">
              <w:rPr>
                <w:rFonts w:ascii="Arial" w:hAnsi="Arial" w:cs="Arial"/>
                <w:color w:val="000000"/>
                <w:sz w:val="20"/>
                <w:szCs w:val="20"/>
                <w:shd w:val="clear" w:color="auto" w:fill="FFFFFF"/>
              </w:rPr>
              <w:t xml:space="preserve">V integrins, </w:t>
            </w:r>
            <w:proofErr w:type="spellStart"/>
            <w:r w:rsidRPr="008C387C">
              <w:rPr>
                <w:rFonts w:ascii="Arial" w:hAnsi="Arial" w:cs="Arial"/>
                <w:color w:val="000000"/>
                <w:sz w:val="20"/>
                <w:szCs w:val="20"/>
                <w:shd w:val="clear" w:color="auto" w:fill="FFFFFF"/>
              </w:rPr>
              <w:t>iRGD</w:t>
            </w:r>
            <w:proofErr w:type="spellEnd"/>
            <w:r w:rsidRPr="008C387C">
              <w:rPr>
                <w:rFonts w:ascii="Arial" w:hAnsi="Arial" w:cs="Arial"/>
                <w:color w:val="000000"/>
                <w:sz w:val="20"/>
                <w:szCs w:val="20"/>
                <w:shd w:val="clear" w:color="auto" w:fill="FFFFFF"/>
              </w:rPr>
              <w:t xml:space="preserve"> is cleaved in to CRDGK/R and then </w:t>
            </w:r>
            <w:r w:rsidRPr="008C387C">
              <w:rPr>
                <w:rFonts w:ascii="Arial" w:hAnsi="Arial" w:cs="Arial"/>
                <w:color w:val="000000"/>
                <w:sz w:val="20"/>
                <w:szCs w:val="20"/>
                <w:shd w:val="clear" w:color="auto" w:fill="FFFFFF"/>
              </w:rPr>
              <w:lastRenderedPageBreak/>
              <w:t>binds to neuropilin-1</w:t>
            </w:r>
          </w:p>
        </w:tc>
        <w:tc>
          <w:tcPr>
            <w:tcW w:w="1702" w:type="dxa"/>
            <w:tcBorders>
              <w:top w:val="single" w:sz="8" w:space="0" w:color="A3A3A3"/>
              <w:left w:val="single" w:sz="8" w:space="0" w:color="A3A3A3"/>
              <w:bottom w:val="single" w:sz="8" w:space="0" w:color="A3A3A3"/>
              <w:right w:val="single" w:sz="8" w:space="0" w:color="A3A3A3"/>
            </w:tcBorders>
          </w:tcPr>
          <w:p w14:paraId="67946386" w14:textId="77777777" w:rsidR="00EA02B4" w:rsidRPr="008C387C" w:rsidRDefault="00EA02B4" w:rsidP="00EA02B4">
            <w:pPr>
              <w:rPr>
                <w:rFonts w:ascii="Arial" w:hAnsi="Arial" w:cs="Arial"/>
                <w:color w:val="000000"/>
                <w:sz w:val="20"/>
                <w:szCs w:val="20"/>
                <w:shd w:val="clear" w:color="auto" w:fill="FFFFFF"/>
              </w:rPr>
            </w:pPr>
            <w:r w:rsidRPr="008C387C">
              <w:rPr>
                <w:rFonts w:ascii="Arial" w:hAnsi="Arial" w:cs="Arial"/>
                <w:color w:val="000000"/>
                <w:sz w:val="20"/>
                <w:szCs w:val="20"/>
                <w:shd w:val="clear" w:color="auto" w:fill="FFFFFF"/>
              </w:rPr>
              <w:lastRenderedPageBreak/>
              <w:t>-Conjugated to micelles for targeting 22Rv1, PC-3, PPC1, MIA PaCa-2, and BT474 tumors in mice</w:t>
            </w:r>
          </w:p>
        </w:tc>
        <w:tc>
          <w:tcPr>
            <w:tcW w:w="138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BAFFAB" w14:textId="61C2502D" w:rsidR="00EA02B4" w:rsidRPr="00EA02B4" w:rsidRDefault="00EA02B4" w:rsidP="00EA02B4">
            <w:pPr>
              <w:rPr>
                <w:rFonts w:ascii="Arial" w:hAnsi="Arial" w:cs="Arial"/>
                <w:color w:val="000000"/>
                <w:sz w:val="24"/>
                <w:szCs w:val="24"/>
                <w:shd w:val="clear" w:color="auto" w:fill="FFFFFF"/>
              </w:rPr>
            </w:pPr>
            <w:r w:rsidRPr="00EA02B4">
              <w:rPr>
                <w:rFonts w:ascii="Arial" w:hAnsi="Arial" w:cs="Arial"/>
                <w:color w:val="000000"/>
                <w:sz w:val="24"/>
                <w:szCs w:val="24"/>
                <w:shd w:val="clear" w:color="auto" w:fill="FFFFFF"/>
                <w:lang w:val="de-DE"/>
              </w:rPr>
              <w:fldChar w:fldCharType="begin" w:fldLock="1"/>
            </w:r>
            <w:r w:rsidR="008C387C">
              <w:rPr>
                <w:rFonts w:ascii="Arial" w:hAnsi="Arial" w:cs="Arial"/>
                <w:color w:val="000000"/>
                <w:sz w:val="24"/>
                <w:szCs w:val="24"/>
                <w:shd w:val="clear" w:color="auto" w:fill="FFFFFF"/>
              </w:rPr>
              <w:instrText>ADDIN CSL_CITATION {"citationItems":[{"id":"ITEM-1","itemData":{"DOI":"10.1016/j.ccr.2009.10.013","ISSN":"15356108","abstract":"Poor penetration of drugs into tumors is a major obstacle in tumor treatment. We describe a strategy for peptide-mediated delivery of compounds deep into the tumor parenchyma that uses a tumor-homing peptide, iRGD (CRGDK/RGPD/EC). Intravenously injected compounds coupled to iRGD bound to tumor vessels and spread into the extravascular tumor parenchyma, whereas conventional RGD peptides only delivered the cargo to the blood vessels. iRGD homes to tumors through a three-step process: the RGD motif mediates binding to αv integrins on tumor endothelium and a proteolytic cleavage then exposes a binding motif for neuropilin-1, which mediates penetration into tissue and cells. Conjugation to iRGD significantly improved the sensitivity of tumor-imaging agents and enhanced the activity of an antitumor drug. © 2009 Elsevier Inc. All rights reserved.","author":[{"dropping-particle":"","family":"Sugahara","given":"Kazuki N.","non-dropping-particle":"","parse-names":false,"suffix":""},{"dropping-particle":"","family":"Teesalu","given":"Tambet","non-dropping-particle":"","parse-names":false,"suffix":""},{"dropping-particle":"","family":"Karmali","given":"Priya Prakash","non-dropping-particle":"","parse-names":false,"suffix":""},{"dropping-particle":"","family":"Kotamraju","given":"Venkata Ramana","non-dropping-particle":"","parse-names":false,"suffix":""},{"dropping-particle":"","family":"Agemy","given":"Lilach","non-dropping-particle":"","parse-names":false,"suffix":""},{"dropping-particle":"","family":"Girard","given":"Olivier M.","non-dropping-particle":"","parse-names":false,"suffix":""},{"dropping-particle":"","family":"Hanahan","given":"Douglas","non-dropping-particle":"","parse-names":false,"suffix":""},{"dropping-particle":"","family":"Mattrey","given":"Robert F.","non-dropping-particle":"","parse-names":false,"suffix":""},{"dropping-particle":"","family":"Ruoslahti","given":"Erkki","non-dropping-particle":"","parse-names":false,"suffix":""}],"container-title":"Cancer Cell","id":"ITEM-1","issue":"6","issued":{"date-parts":[["2009"]]},"page":"510-520","publisher":"Elsevier Ltd","title":"Tissue-Penetrating Delivery of Compounds and Nanoparticles into Tumors","type":"article-journal","volume":"16"},"uris":["http://www.mendeley.com/documents/?uuid=8d5c3575-be22-49b6-b568-b4fbcfb56e12"]},{"id":"ITEM-2","itemData":{"DOI":"10.1126/sciadv.1500821","ISSN":"23752548","abstract":"Cell-penetrating peptides (CPPs) have been widely used to deliver nanomaterials and other types of macromolecules into mammalian cells for therapeutic and diagnostic use. Cationic CPPs that bind to heparan sulfate (HS) proteoglycans on the cell surface induce potent endocytosis; however, the role of other surface receptors in this process is unclear. We describe the convergence of an HS-dependent pathway with the C-end rule (CendR) mechanism that enables peptide ligation with neuropilin-1 (NRP1), a cell surface receptor known to be involved in angiogenesis and vascular permeability. NRP1 binds peptides carrying a positive residue at the carboxyl terminus, a feature that is compatible with cationic CPPs, either intact or after proteolytic processing. We used CPP and CendR peptides, as well as HS-and NRP1-binding motifs from semaphorins, to explore the commonalities and differences of the HS and NRP1 pathways. We show that the CendR-NRP1 interaction determines the ability of CPPs to induce vascular permeability. We also show at the ultrastructural level, using a novel cell entry synchronization method, that both the HS and NRP1 pathways can initiate a macropinocytosis-like process and visualize these CPP-cargo complexes going through various endosomal compartments. Our results provide new insights into how CPPs exploit multiple surface receptor pathways for intracellular delivery.","author":[{"dropping-particle":"","family":"Pang","given":"Hong Bo","non-dropping-particle":"","parse-names":false,"suffix":""},{"dropping-particle":"","family":"Braun","given":"Gary B.","non-dropping-particle":"","parse-names":false,"suffix":""},{"dropping-particle":"","family":"Ruoslahti","given":"Erkki","non-dropping-particle":"","parse-names":false,"suffix":""}],"container-title":"Science Advances","id":"ITEM-2","issue":"10","issued":{"date-parts":[["2015"]]},"page":"1-8","title":"Neuropilin-1 and heparan sulfate proteoglycans cooperate in cellular uptake of nanoparticles functionalized by cationic cell-penetrating peptides","type":"article-journal","volume":"1"},"uris":["http://www.mendeley.com/documents/?uuid=445e5445-7a44-45bc-92ae-1080c2e9a14d"]},{"id":"ITEM-3","itemData":{"DOI":"10.1126/science.1183057","ISBN":"9788578110796","ISSN":"0036-8075","PMID":"25246403","abstract":"Predicting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approach.","author":[{"dropping-particle":"","family":"Sugahara","given":"K. N.","non-dropping-particle":"","parse-names":false,"suffix":""},{"dropping-particle":"","family":"Teesalu","given":"T.","non-dropping-particle":"","parse-names":false,"suffix":""},{"dropping-particle":"","family":"Karmali","given":"P. P.","non-dropping-particle":"","parse-names":false,"suffix":""},{"dropping-particle":"","family":"Kotamraju","given":"V. R.","non-dropping-particle":"","parse-names":false,"suffix":""},{"dropping-particle":"","family":"Agemy","given":"L.","non-dropping-particle":"","parse-names":false,"suffix":""},{"dropping-particle":"","family":"Greenwald","given":"D. R.","non-dropping-particle":"","parse-names":false,"suffix":""},{"dropping-particle":"","family":"Ruoslahti","given":"E.","non-dropping-particle":"","parse-names":false,"suffix":""}],"container-title":"Science","id":"ITEM-3","issue":"5981","issued":{"date-parts":[["2010","5","21"]]},"page":"1031-1035","title":"Coadministration of a Tumor-Penetrating Peptide Enhances the Efficacy of Cancer Drugs","type":"article-journal","volume":"328"},"uris":["http://www.mendeley.com/documents/?uuid=f4a8dd5b-32cd-4eca-8eb5-24a918110028"]}],"mendeley":{"formattedCitation":"&lt;sup&gt;152,153,176&lt;/sup&gt;","plainTextFormattedCitation":"152,153,176","previouslyFormattedCitation":"&lt;sup&gt;152,153,176&lt;/sup&gt;"},"properties":{"noteIndex":0},"schema":"https://github.com/citation-style-language/schema/raw/master/csl-citation.json"}</w:instrText>
            </w:r>
            <w:r w:rsidRPr="00EA02B4">
              <w:rPr>
                <w:rFonts w:ascii="Arial" w:hAnsi="Arial" w:cs="Arial"/>
                <w:color w:val="000000"/>
                <w:sz w:val="24"/>
                <w:szCs w:val="24"/>
                <w:shd w:val="clear" w:color="auto" w:fill="FFFFFF"/>
                <w:lang w:val="de-DE"/>
              </w:rPr>
              <w:fldChar w:fldCharType="separate"/>
            </w:r>
            <w:r w:rsidR="009D7D40" w:rsidRPr="009D7D40">
              <w:rPr>
                <w:rFonts w:ascii="Arial" w:hAnsi="Arial" w:cs="Arial"/>
                <w:noProof/>
                <w:color w:val="000000"/>
                <w:sz w:val="24"/>
                <w:szCs w:val="24"/>
                <w:shd w:val="clear" w:color="auto" w:fill="FFFFFF"/>
                <w:vertAlign w:val="superscript"/>
              </w:rPr>
              <w:t>152,153,176</w:t>
            </w:r>
            <w:r w:rsidRPr="00EA02B4">
              <w:rPr>
                <w:rFonts w:ascii="Arial" w:hAnsi="Arial" w:cs="Arial"/>
                <w:color w:val="000000"/>
                <w:sz w:val="24"/>
                <w:szCs w:val="24"/>
                <w:shd w:val="clear" w:color="auto" w:fill="FFFFFF"/>
              </w:rPr>
              <w:fldChar w:fldCharType="end"/>
            </w:r>
          </w:p>
        </w:tc>
      </w:tr>
      <w:bookmarkEnd w:id="18"/>
    </w:tbl>
    <w:p w14:paraId="633F4F24" w14:textId="77777777" w:rsidR="00EA02B4" w:rsidRPr="00EA02B4" w:rsidRDefault="00EA02B4" w:rsidP="00EA02B4">
      <w:pPr>
        <w:rPr>
          <w:rFonts w:ascii="Arial" w:hAnsi="Arial" w:cs="Arial"/>
          <w:b/>
          <w:bCs/>
          <w:color w:val="000000"/>
          <w:sz w:val="24"/>
          <w:szCs w:val="24"/>
          <w:shd w:val="clear" w:color="auto" w:fill="FFFFFF"/>
        </w:rPr>
      </w:pPr>
    </w:p>
    <w:p w14:paraId="0ECBF5F7" w14:textId="77777777" w:rsidR="00EA02B4" w:rsidRPr="00EA02B4" w:rsidRDefault="00EA02B4" w:rsidP="00EA02B4">
      <w:pPr>
        <w:jc w:val="both"/>
        <w:rPr>
          <w:rFonts w:ascii="Arial" w:hAnsi="Arial" w:cs="Arial"/>
          <w:color w:val="000000"/>
          <w:sz w:val="24"/>
          <w:szCs w:val="24"/>
          <w:shd w:val="clear" w:color="auto" w:fill="FFFFFF"/>
        </w:rPr>
      </w:pPr>
      <w:r w:rsidRPr="00EA02B4">
        <w:rPr>
          <w:rFonts w:ascii="Arial" w:hAnsi="Arial" w:cs="Arial"/>
          <w:b/>
          <w:bCs/>
          <w:color w:val="000000"/>
          <w:sz w:val="24"/>
          <w:szCs w:val="24"/>
          <w:shd w:val="clear" w:color="auto" w:fill="FFFFFF"/>
        </w:rPr>
        <w:t xml:space="preserve">Abbreviations: </w:t>
      </w:r>
      <w:r w:rsidRPr="00EA02B4">
        <w:rPr>
          <w:rFonts w:ascii="Arial" w:hAnsi="Arial" w:cs="Arial"/>
          <w:color w:val="000000"/>
          <w:sz w:val="24"/>
          <w:szCs w:val="24"/>
          <w:shd w:val="clear" w:color="auto" w:fill="FFFFFF"/>
        </w:rPr>
        <w:t xml:space="preserve">AuNP – gold nanoparticle; LDL – low-density lipoprotein; MAL-maleimide; NP – nanoparticle; PEG; </w:t>
      </w:r>
      <w:proofErr w:type="gramStart"/>
      <w:r w:rsidRPr="00EA02B4">
        <w:rPr>
          <w:rFonts w:ascii="Arial" w:hAnsi="Arial" w:cs="Arial"/>
          <w:color w:val="000000"/>
          <w:sz w:val="24"/>
          <w:szCs w:val="24"/>
          <w:shd w:val="clear" w:color="auto" w:fill="FFFFFF"/>
        </w:rPr>
        <w:t>poly(</w:t>
      </w:r>
      <w:proofErr w:type="gramEnd"/>
      <w:r w:rsidRPr="00EA02B4">
        <w:rPr>
          <w:rFonts w:ascii="Arial" w:hAnsi="Arial" w:cs="Arial"/>
          <w:color w:val="000000"/>
          <w:sz w:val="24"/>
          <w:szCs w:val="24"/>
          <w:shd w:val="clear" w:color="auto" w:fill="FFFFFF"/>
        </w:rPr>
        <w:t>ethylene glycol); PLA – polylactic acid; PLGA -  poly(lactic-co-glycolic acid)</w:t>
      </w:r>
    </w:p>
    <w:p w14:paraId="4314B2CE" w14:textId="0C1C6ED1" w:rsidR="00EA02B4" w:rsidRDefault="00EA02B4">
      <w:pPr>
        <w:rPr>
          <w:rStyle w:val="eop"/>
          <w:rFonts w:ascii="Arial" w:hAnsi="Arial" w:cs="Arial"/>
          <w:color w:val="000000"/>
          <w:sz w:val="24"/>
          <w:szCs w:val="24"/>
          <w:shd w:val="clear" w:color="auto" w:fill="FFFFFF"/>
        </w:rPr>
      </w:pPr>
      <w:r>
        <w:rPr>
          <w:rStyle w:val="eop"/>
          <w:rFonts w:ascii="Arial" w:hAnsi="Arial" w:cs="Arial"/>
          <w:color w:val="000000"/>
          <w:sz w:val="24"/>
          <w:szCs w:val="24"/>
          <w:shd w:val="clear" w:color="auto" w:fill="FFFFFF"/>
        </w:rPr>
        <w:br w:type="page"/>
      </w:r>
    </w:p>
    <w:p w14:paraId="6390DBD9" w14:textId="77777777" w:rsidR="00C06183" w:rsidRPr="00C06183" w:rsidRDefault="00C06183" w:rsidP="00C06183">
      <w:pPr>
        <w:spacing w:line="480" w:lineRule="auto"/>
        <w:ind w:firstLine="720"/>
        <w:jc w:val="both"/>
        <w:rPr>
          <w:rStyle w:val="eop"/>
          <w:rFonts w:ascii="Arial" w:hAnsi="Arial" w:cs="Arial"/>
          <w:color w:val="000000"/>
          <w:sz w:val="24"/>
          <w:szCs w:val="24"/>
          <w:shd w:val="clear" w:color="auto" w:fill="FFFFFF"/>
        </w:rPr>
      </w:pPr>
      <w:r w:rsidRPr="00C06183">
        <w:rPr>
          <w:rStyle w:val="eop"/>
          <w:rFonts w:ascii="Arial" w:hAnsi="Arial" w:cs="Arial"/>
          <w:color w:val="000000"/>
          <w:sz w:val="24"/>
          <w:szCs w:val="24"/>
          <w:shd w:val="clear" w:color="auto" w:fill="FFFFFF"/>
        </w:rPr>
        <w:lastRenderedPageBreak/>
        <w:t xml:space="preserve">A solid understanding of how the different pathways function and contribute to nanoparticle cellular uptake is necessary for exploiting them for efficient nanomedicine delivery. Methods for isolating a pathway’s contribution to the total uptake via pathway inhibition, pathway visualization methods, and models for more accurate uptake studies are discussed in this section. </w:t>
      </w:r>
    </w:p>
    <w:p w14:paraId="474F0CFE" w14:textId="77777777" w:rsidR="00C06183" w:rsidRPr="00C06183" w:rsidRDefault="00C06183" w:rsidP="00C06183">
      <w:pPr>
        <w:spacing w:line="480" w:lineRule="auto"/>
        <w:ind w:firstLine="720"/>
        <w:jc w:val="both"/>
        <w:rPr>
          <w:rFonts w:ascii="Arial" w:hAnsi="Arial" w:cs="Arial"/>
          <w:sz w:val="24"/>
          <w:szCs w:val="24"/>
        </w:rPr>
      </w:pPr>
    </w:p>
    <w:p w14:paraId="3EB23B19" w14:textId="33FA8276" w:rsidR="00C06183" w:rsidRDefault="00E34AB4" w:rsidP="00721691">
      <w:pPr>
        <w:pStyle w:val="Heading3"/>
      </w:pPr>
      <w:bookmarkStart w:id="19" w:name="_Toc151032414"/>
      <w:r>
        <w:t>1.</w:t>
      </w:r>
      <w:r w:rsidR="00C06183" w:rsidRPr="00C06183">
        <w:t>4.1</w:t>
      </w:r>
      <w:r w:rsidR="00C06183" w:rsidRPr="00C06183">
        <w:tab/>
        <w:t>Inhibiting endocytic pathways</w:t>
      </w:r>
      <w:bookmarkEnd w:id="19"/>
      <w:r w:rsidR="00C06183" w:rsidRPr="00C06183">
        <w:t xml:space="preserve"> </w:t>
      </w:r>
    </w:p>
    <w:p w14:paraId="1420BB0C" w14:textId="77777777" w:rsidR="00721691" w:rsidRPr="00721691" w:rsidRDefault="00721691" w:rsidP="00721691"/>
    <w:p w14:paraId="56920B38" w14:textId="1F8849BE" w:rsidR="00403195" w:rsidRDefault="00C06183" w:rsidP="00C06183">
      <w:pPr>
        <w:spacing w:line="480" w:lineRule="auto"/>
        <w:jc w:val="both"/>
        <w:rPr>
          <w:rFonts w:ascii="Arial" w:hAnsi="Arial" w:cs="Arial"/>
          <w:sz w:val="24"/>
          <w:szCs w:val="24"/>
        </w:rPr>
      </w:pPr>
      <w:r w:rsidRPr="00C06183">
        <w:rPr>
          <w:rFonts w:ascii="Arial" w:hAnsi="Arial" w:cs="Arial"/>
          <w:sz w:val="24"/>
          <w:szCs w:val="24"/>
        </w:rPr>
        <w:tab/>
      </w:r>
      <w:r w:rsidRPr="00C06183">
        <w:rPr>
          <w:rStyle w:val="normaltextrun"/>
          <w:rFonts w:ascii="Arial" w:hAnsi="Arial" w:cs="Arial"/>
          <w:color w:val="000000"/>
          <w:sz w:val="24"/>
          <w:szCs w:val="24"/>
          <w:bdr w:val="none" w:sz="0" w:space="0" w:color="auto" w:frame="1"/>
        </w:rPr>
        <w:t>Many methods have been employed for studying the pathways that nanoparticles take, both with and without active targeting. The use of small molecule inhibitors has been a popular method for blocking an endocytic pathway and observing changes in cellular uptake, through methods such as fluorescent microscopy analysis</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{"citationItems":[{"id":"ITEM-1","itemData":{"DOI":"10.1091/mbc.e02-12-0809","ISSN":"1059-1524","abstract":"We studied the endocytosis of fluorescent glycosphingolipid (GSL) analogs in various cell types using pathway-specific inhibitors and colocalization studies with endocytic markers and DsRed caveolin-1 (cav-1). Based on inhibitor studies, all GSLs tested were internalized predominantly (&gt;80%) by a clathrin-independent, caveolar-related mechanism, regardless of cell type. In addition, fluorescent lactosylceramide (LacCer) colocalized with DsRed-cav-1 in vesicular structures upon endocytosis in rat fibroblasts. The internalization mechanism for GSLs was unaffected by varying the carbohydrate headgroup or sphingosine backbone chain length; however, a fluorescent phosphatidylcholine analog was not internalized via caveolae, suggesting that the GSL ceramide core may be important for caveolar uptake. Internalization of fluorescent LacCer was reduced 80–90% in cell types with low cav-1, but was dramatically stimulated by cav-1 overexpression. However, even in cells with low levels of cav-1, residual LacCer internalization was clathrin independent. In contrast, cholera toxin B subunit (CtxB), which binds endogenous GM 1 , was internalized via clathrin-independent endocytosis in cells with high cav-1 expression, whereas significant clathrin-dependent uptake occurred in cells with low cav-1. Fluorescent GM 1 , normally internalized by clathrin-independent endocytosis in HeLa cells with low cav-1, was induced to partially internalize via the clathrin pathway in the presence of CtxB. These results suggest that GSL analogs are selectively internalized via a caveolar-related mechanism in most cell types, whereas CtxB may undergo “pathway switching” when cav-1 levels are low.","author":[{"dropping-particle":"","family":"Singh","given":"Raman Deep","non-dropping-particle":"","parse-names":false,"suffix":""},{"dropping-particle":"","family":"Puri","given":"Vishwajeet","non-dropping-particle":"","parse-names":false,"suffix":""},{"dropping-particle":"","family":"Valiyaveettil","given":"Jacob T.","non-dropping-particle":"","parse-names":false,"suffix":""},{"dropping-particle":"","family":"Marks","given":"David L.","non-dropping-particle":"","parse-names":false,"suffix":""},{"dropping-particle":"","family":"Bittman","given":"Robert","non-dropping-particle":"","parse-names":false,"suffix":""},{"dropping-particle":"","family":"Pagano","given":"Richard E.","non-dropping-particle":"","parse-names":false,"suffix":""}],"container-title":"Molecular Biology of the Cell","id":"ITEM-1","issue":"8","issued":{"date-parts":[["2003","8"]]},"page":"3254-3265","title":"Selective Caveolin-1–dependent Endocytosis of Glycosphingolipids","type":"article-journal","volume":"14"},"uris":["http://www.mendeley.com/documents/?uuid=84d1d57f-6858-4183-a502-ff39df34950f"]}],"mendeley":{"formattedCitation":"&lt;sup&gt;177&lt;/sup&gt;","plainTextFormattedCitation":"177","previouslyFormattedCitation":"&lt;sup&gt;177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177</w:t>
      </w:r>
      <w:r w:rsidRPr="00C06183">
        <w:rPr>
          <w:rFonts w:ascii="Arial" w:hAnsi="Arial" w:cs="Arial"/>
          <w:sz w:val="24"/>
          <w:szCs w:val="24"/>
        </w:rPr>
        <w:fldChar w:fldCharType="end"/>
      </w:r>
      <w:r w:rsidRPr="00C06183">
        <w:rPr>
          <w:rFonts w:ascii="Arial" w:hAnsi="Arial" w:cs="Arial"/>
          <w:sz w:val="24"/>
          <w:szCs w:val="24"/>
        </w:rPr>
        <w:t xml:space="preserve"> flow cytometry</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{"citationItems":[{"id":"ITEM-1","itemData":{"DOI":"10.1111/bph.14429","ISSN":"14765381","abstract":"Background and Purpose: Macropinocytosis is involved in many pathologies, including cardiovascular disorders, cancer, allergic diseases, viral and bacterial infections. Unfortunately, the currently available pharmacological inhibitors of macropinocytosis interrupt other endocytic processes and have non-specific endocytosis-independent effects. Here we have sought to identify new, clinically relevant inhibitors of macropinocytosis, using an FDA-approved drug library. Experimental Approach: In the present study, 640 FDA-approved compounds were tested for their ability to inhibit macropinocytosis. A series of secondary assays were performed to confirm inhibitory activity, determine IC50 values and investigate cell toxicity. The ability of identified hits to inhibit phagocytosis and clathrin-mediated and caveolin-mediated endocytosis was also investigated. Scanning electron microscopy and molecular biology techniques were utilized to examine the mechanisms by which selected compounds inhibit macropinocytosis. Key Results: The primary screen identified 14 compounds that at ~10 μM concentration inhibit &gt;95% of macropinocytotic solute internalization. Three compounds - imipramine, phenoxybenzamine and vinblastine - potently inhibited (IC50 ≤ 131 nM) macropinocytosis without exerting cytotoxic effects or inhibiting other endocytic pathways. Scanning electron microscopy imaging indicated that imipramine inhibits membrane ruffle formation, a critical early step leading to initiation of macropinocytosis. Finally, imipramine has been shown to inhibit macropinocytosis in several cell types, including cancer cells, dendritic cells and macrophages. Conclusions and Implications: Our results identify imipramine as a new pharmacological tool to study macropinocytosis in cellular and biological systems. This study also suggests that imipramine could be a good candidate for repurposing as a therapeutic agent in pathological processes involving macropinocytosis.","author":[{"dropping-particle":"","family":"Lin","given":"Hui Ping","non-dropping-particle":"","parse-names":false,"suffix":""},{"dropping-particle":"","family":"Singla","given":"Bhupesh","non-dropping-particle":"","parse-names":false,"suffix":""},{"dropping-particle":"","family":"Ghoshal","given":"Pushpankur","non-dropping-particle":"","parse-names":false,"suffix":""},{"dropping-particle":"","family":"Faulkner","given":"Jessica L.","non-dropping-particle":"","parse-names":false,"suffix":""},{"dropping-particle":"","family":"Cherian-Shaw","given":"Mary","non-dropping-particle":"","parse-names":false,"suffix":""},{"dropping-particle":"","family":"O'Connor","given":"Paul M.","non-dropping-particle":"","parse-names":false,"suffix":""},{"dropping-particle":"","family":"She","given":"Jin Xiong","non-dropping-particle":"","parse-names":false,"suffix":""},{"dropping-particle":"","family":"Belin de Chantemele","given":"Eric J.","non-dropping-particle":"","parse-names":false,"suffix":""},{"dropping-particle":"","family":"Csányi","given":"Gábor","non-dropping-particle":"","parse-names":false,"suffix":""}],"container-title":"British Journal of Pharmacology","id":"ITEM-1","issue":"18","issued":{"date-parts":[["2018"]]},"page":"3640-3655","title":"Identification of novel macropinocytosis inhibitors using a rational screen of Food and Drug Administration-approved drugs","type":"article-journal","volume":"175"},"uris":["http://www.mendeley.com/documents/?uuid=591f4bd2-8b4e-4229-a6e6-26da952623a0"]}],"mendeley":{"formattedCitation":"&lt;sup&gt;178&lt;/sup&gt;","plainTextFormattedCitation":"178","previouslyFormattedCitation":"&lt;sup&gt;178&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178</w:t>
      </w:r>
      <w:r w:rsidRPr="00C06183">
        <w:rPr>
          <w:rFonts w:ascii="Arial" w:hAnsi="Arial" w:cs="Arial"/>
          <w:sz w:val="24"/>
          <w:szCs w:val="24"/>
        </w:rPr>
        <w:fldChar w:fldCharType="end"/>
      </w:r>
      <w:r w:rsidRPr="00C06183">
        <w:rPr>
          <w:rFonts w:ascii="Arial" w:hAnsi="Arial" w:cs="Arial"/>
          <w:sz w:val="24"/>
          <w:szCs w:val="24"/>
        </w:rPr>
        <w:t xml:space="preserve"> inductively coupled plasma mass spectrometry</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10.2217/nnm-2016-0303","ISSN":"1743-5889","author":[{"dropping-particle":"","family":"Li","given":"Yang","non-dropping-particle":"","parse-names":false,"suffix":""},{"dropping-particle":"","family":"Monteiro-Riviere","given":"Nancy A","non-dropping-particle":"","parse-names":false,"suffix":""}],"container-title":"Nanomedicine","id":"ITEM-1","issue":"24","issued":{"date-parts":[["2016","12"]]},"page":"3185-3203","title":"Mechanisms of cell uptake, inflammatory potential and protein corona effects with gold nanoparticles","type":"article-journal","volume":"11"},"uris":["http://www.mendeley.com/documents/?uuid=ec4f4f8c-99e5-40e4-ac2e-1d1cd42ae34b"]},{"id":"ITEM-2","itemData":{"DOI":"10.1007/s00216-020-02783-6","ISSN":"1618-2642","PMID":"32627086","abstract":"Biological interactions, toxicity, and environmental fate of engineered nanoparticles are affected by colloidal stability and aggregation. To assess nanoparticle aggregation, analytical methods are needed that allow quantification of individual nanoparticle aggregates. However, most techniques used for nanoparticle aggregation analysis are limited to ensemble measurements or require harsh sample preparation that may introduce artifacts. An ideal method would analyze aggregate size in situ with single-nanoparticle resolution. Here, we established and validated single-particle inductively coupled plasma mass spectrometry (SP-ICP-MS) as an unbiased high-throughput analytical technique to quantify nanoparticle size distributions and aggregation in situ. We induced nanoparticle aggregation by exposure to physiologically relevant saline conditions and applied SP-ICP-MS to quantify aggregate size and aggregation kinetics at the individual aggregate level. In situ SP-ICP-MS analysis revealed rational surface engineering principles for the preparation of colloidally stable nanoparticles. Our quantitative SP-ICP-MS technique is a platform technology to evaluate aggregation characteristics of various types of surface-engineered nanoparticles under physiologically relevant conditions. Potential widespread applications of this method may include the study of nanoparticle aggregation in environmental samples and the preparation of colloidally stable nanoparticle formulations for bioanalytical assays and nanomedicine. [Figure not available: see fulltext.]","author":[{"dropping-particle":"","family":"Donahue","given":"Nathan D","non-dropping-particle":"","parse-names":false,"suffix":""},{"dropping-particle":"","family":"Francek","given":"Emmy R","non-dropping-particle":"","parse-names":false,"suffix":""},{"dropping-particle":"","family":"Kiyotake","given":"Emi","non-dropping-particle":"","parse-names":false,"suffix":""},{"dropping-particle":"","family":"Thomas","given":"Emily E","non-dropping-particle":"","parse-names":false,"suffix":""},{"dropping-particle":"","family":"Yang","given":"Wen","non-dropping-particle":"","parse-names":false,"suffix":""},{"dropping-particle":"","family":"Wang","given":"Lin","non-dropping-particle":"","parse-names":false,"suffix":""},{"dropping-particle":"","family":"Detamore","given":"Michael S","non-dropping-particle":"","parse-names":false,"suffix":""},{"dropping-particle":"","family":"Wilhelm","given":"Stefan","non-dropping-particle":"","parse-names":false,"suffix":""}],"container-title":"Analytical and Bioanalytical Chemistry","id":"ITEM-2","issue":"22","issued":{"date-parts":[["2020","9","6"]]},"page":"5205-5216","publisher":"Analytical and Bioanalytical Chemistry","title":"Assessing nanoparticle colloidal stability with single-particle inductively coupled plasma mass spectrometry (SP-ICP-MS)","type":"article-journal","volume":"412"},"uris":["http://www.mendeley.com/documents/?uuid=0ee27649-fcab-4c1a-a9c4-1838728e1a34"]},{"id":"ITEM-3","itemData":{"author":[{"dropping-particle":"","family":"Wilhelm","given":"Stefan","non-dropping-particle":"","parse-names":false,"suffix":""},{"dropping-particle":"","family":"Bensen","given":"Ryan C","non-dropping-particle":"","parse-names":false,"suffix":""},{"dropping-particle":"","family":"Kothapalli","given":"Naga Rama","non-dropping-particle":"","parse-names":false,"suffix":""},{"dropping-particle":"","family":"Burgett","given":"Anthony W G","non-dropping-particle":"","parse-names":false,"suffix":""},{"dropping-particle":"","family":"Merrifield","given":"Ruth","non-dropping-particle":"","parse-names":false,"suffix":""},{"dropping-particle":"","family":"Stephan","given":"Chady","non-dropping-particle":"","parse-names":false,"suffix":""}],"id":"ITEM-3","issued":{"date-parts":[["2018"]]},"publisher":"PerkinElmer Appl.","title":"Quantification of Gold Nanoparticle Uptake into Cancer Cells using Single Cell ICP-MS, PerkinElmer Appl. Note","type":"article"},"uris":["http://www.mendeley.com/documents/?uuid=d869ae07-17c3-45af-84ba-9c89e4bdc331"]}],"mendeley":{"formattedCitation":"&lt;sup&gt;179–181&lt;/sup&gt;","plainTextFormattedCitation":"179–181","previouslyFormattedCitation":"&lt;sup&gt;179–181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179–181</w:t>
      </w:r>
      <w:r w:rsidRPr="00C06183">
        <w:rPr>
          <w:rFonts w:ascii="Arial" w:hAnsi="Arial" w:cs="Arial"/>
          <w:sz w:val="24"/>
          <w:szCs w:val="24"/>
        </w:rPr>
        <w:fldChar w:fldCharType="end"/>
      </w:r>
      <w:r w:rsidRPr="00C06183">
        <w:rPr>
          <w:rFonts w:ascii="Arial" w:hAnsi="Arial" w:cs="Arial"/>
          <w:sz w:val="24"/>
          <w:szCs w:val="24"/>
        </w:rPr>
        <w:t xml:space="preserve"> and radioactive decay measurements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{"citationItems":[{"id":"ITEM-1","itemData":{"DOI":"10.1083/jcb.127.5.1217","ISSN":"00219525","abstract":"Caveolae or noncoated plasmalemmal vesicles found in a variety of cells have been implicated in a number of important cellular functions including endocytosis, transcytosis, and potocytosis. Their function in transport across endothelium has been especially controversial, at least in part because there has not been any way to selectively inhibit this putative pathway. We now show that the ability of sterol binding agents such as filipin to disassemble endothelial noncoated but not coated plasmalemmal vesicles selectively inhibits caveolae-mediated intracellular and transcellular transport of select macromolecules in endothelium. Filipin significantly reduces the transcellular transport of insulin and albumin across cultured endothelial cell monolayers. Rat lung microvascular permeability to albumin in situ is significantly decreased after filipin perfusion. Conversely, paracellular transport of the small solute inulin is not inhibited in vitro or in situ. In addition, we show that caveolae mediate the scavenger endocytosis of conformationally modified albumins for delivery to endosomes and lysosomes for degradation. This intracellular transport is inhibited by filipin both in vitro and in situ. Other sterol binding agents including nystatin and digitonin also inhibit this degradative process. Conversely, the endocytosis and degradation of activated α2-macroglobulin, a known ligand of the clathrin-dependent pathway, is not affected. Interestingly, filipin appears to inhibit insulin uptake by endothelium for transcytosis, a caveolae-mediated process, but not endocytosis for degradation, apparently mediated by the clathrin coated pathway. Such selective inhibition of caveolae not only provides critical evidence for the role of caveolae in the intracellular and transcellular transport of select macromolecules in endothelium but also may be useful for distinguishing transport mediated by coated versus noncoated vesicles.","author":[{"dropping-particle":"","family":"Schnitzer","given":"Jan E.","non-dropping-particle":"","parse-names":false,"suffix":""},{"dropping-particle":"","family":"Oh","given":"Phil","non-dropping-particle":"","parse-names":false,"suffix":""},{"dropping-particle":"","family":"Pinney","given":"Emmett","non-dropping-particle":"","parse-names":false,"suffix":""},{"dropping-particle":"","family":"Allard","given":"Jenny","non-dropping-particle":"","parse-names":false,"suffix":""}],"container-title":"Journal of Cell Biology","id":"ITEM-1","issue":"5","issued":{"date-parts":[["1994"]]},"page":"1217-1232","title":"Filipin-sensitive caveolae-mediated transport in endothelium: Reduced transcytosis, scavenger endocytosis, and capillary permeability of select macromolecules","type":"article-journal","volume":"127"},"uris":["http://www.mendeley.com/documents/?uuid=8870174a-ad4d-4ba3-b415-8256bc665b72"]}],"mendeley":{"formattedCitation":"&lt;sup&gt;182&lt;/sup&gt;","plainTextFormattedCitation":"182","previouslyFormattedCitation":"&lt;sup&gt;182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182</w:t>
      </w:r>
      <w:r w:rsidRPr="00C06183">
        <w:rPr>
          <w:rFonts w:ascii="Arial" w:hAnsi="Arial" w:cs="Arial"/>
          <w:sz w:val="24"/>
          <w:szCs w:val="24"/>
        </w:rPr>
        <w:fldChar w:fldCharType="end"/>
      </w:r>
      <w:r w:rsidR="00EF773E">
        <w:rPr>
          <w:rFonts w:ascii="Arial" w:hAnsi="Arial" w:cs="Arial"/>
          <w:sz w:val="24"/>
          <w:szCs w:val="24"/>
        </w:rPr>
        <w:t xml:space="preserve"> </w:t>
      </w:r>
      <w:r w:rsidRPr="00C06183">
        <w:rPr>
          <w:rFonts w:ascii="Arial" w:hAnsi="Arial" w:cs="Arial"/>
          <w:sz w:val="24"/>
          <w:szCs w:val="24"/>
        </w:rPr>
        <w:t>A common control for these studies is cooling the cells being studied to 4°C, as this nonspecifically inhibits all endocytosis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mtm.2014.58","ISSN":"23290501","author":[{"dropping-particle":"","family":"Chang","given":"Chun-Chi","non-dropping-particle":"","parse-names":false,"suffix":""},{"dropping-particle":"","family":"Wu","given":"Mina","non-dropping-particle":"","parse-names":false,"suffix":""},{"dropping-particle":"","family":"Yuan","given":"Fan","non-dropping-particle":"","parse-names":false,"suffix":""}],"container-title":"Molecular Therapy - Methods &amp; Clinical Development","id":"ITEM-1","issued":{"date-parts":[["2014"]]},"page":"14058","title":"Role of specific endocytic pathways in electrotransfection of cells","type":"article-journal","volume":"1"},"uris":["http://www.mendeley.com/documents/?uuid=e9595a26-ac26-4a79-b1ad-0d5f64668fc7"]}],"mendeley":{"formattedCitation":"&lt;sup&gt;183&lt;/sup&gt;","plainTextFormattedCitation":"183","previouslyFormattedCitation":"&lt;sup&gt;183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183</w:t>
      </w:r>
      <w:r w:rsidRPr="00C06183">
        <w:rPr>
          <w:rFonts w:ascii="Arial" w:hAnsi="Arial" w:cs="Arial"/>
          <w:sz w:val="24"/>
          <w:szCs w:val="24"/>
        </w:rPr>
        <w:fldChar w:fldCharType="end"/>
      </w:r>
      <w:r w:rsidRPr="00C06183">
        <w:rPr>
          <w:rFonts w:ascii="Arial" w:hAnsi="Arial" w:cs="Arial"/>
          <w:sz w:val="24"/>
          <w:szCs w:val="24"/>
        </w:rPr>
        <w:t xml:space="preserve"> </w:t>
      </w:r>
      <w:r w:rsidRPr="004A2E41">
        <w:rPr>
          <w:rFonts w:ascii="Arial" w:hAnsi="Arial" w:cs="Arial"/>
          <w:sz w:val="24"/>
          <w:szCs w:val="24"/>
        </w:rPr>
        <w:t xml:space="preserve">Table </w:t>
      </w:r>
      <w:r w:rsidR="00403195" w:rsidRPr="004A2E41">
        <w:rPr>
          <w:rFonts w:ascii="Arial" w:hAnsi="Arial" w:cs="Arial"/>
          <w:sz w:val="24"/>
          <w:szCs w:val="24"/>
        </w:rPr>
        <w:t>1.</w:t>
      </w:r>
      <w:r w:rsidRPr="004A2E41">
        <w:rPr>
          <w:rFonts w:ascii="Arial" w:hAnsi="Arial" w:cs="Arial"/>
          <w:sz w:val="24"/>
          <w:szCs w:val="24"/>
        </w:rPr>
        <w:t>3</w:t>
      </w:r>
      <w:r w:rsidRPr="00C06183">
        <w:rPr>
          <w:rFonts w:ascii="Arial" w:hAnsi="Arial" w:cs="Arial"/>
          <w:b/>
          <w:bCs/>
          <w:sz w:val="24"/>
          <w:szCs w:val="24"/>
        </w:rPr>
        <w:t xml:space="preserve"> </w:t>
      </w:r>
      <w:r w:rsidRPr="00C06183">
        <w:rPr>
          <w:rFonts w:ascii="Arial" w:hAnsi="Arial" w:cs="Arial"/>
          <w:sz w:val="24"/>
          <w:szCs w:val="24"/>
        </w:rPr>
        <w:t xml:space="preserve">lists several endocytosis inhibitors that have been studied, the pathways they inhibit, their mechanism of action, and their reported efficiency. However, direct comparisons of the inhibitors listed here are difficult because of the differences in cell types, nanoparticles, and inhibitor concentrations used, leading to the need for further studies that directly test the efficiencies of many different inhibitors on the uptake of multiple tracers for each pathway.  </w:t>
      </w:r>
    </w:p>
    <w:p w14:paraId="0DDC4936" w14:textId="77777777" w:rsidR="00403195" w:rsidRDefault="00403195">
      <w:pPr>
        <w:rPr>
          <w:rFonts w:ascii="Arial" w:hAnsi="Arial" w:cs="Arial"/>
          <w:sz w:val="24"/>
          <w:szCs w:val="24"/>
        </w:rPr>
      </w:pPr>
      <w:r>
        <w:rPr>
          <w:rFonts w:ascii="Arial" w:hAnsi="Arial" w:cs="Arial"/>
          <w:sz w:val="24"/>
          <w:szCs w:val="24"/>
        </w:rPr>
        <w:br w:type="page"/>
      </w:r>
    </w:p>
    <w:p w14:paraId="5736F2A8" w14:textId="41E02282" w:rsidR="00403195" w:rsidRPr="00403195" w:rsidRDefault="00403195" w:rsidP="00403195">
      <w:pPr>
        <w:jc w:val="both"/>
        <w:textAlignment w:val="baseline"/>
        <w:rPr>
          <w:rFonts w:ascii="Arial" w:hAnsi="Arial" w:cs="Arial"/>
          <w:sz w:val="20"/>
          <w:szCs w:val="20"/>
        </w:rPr>
      </w:pPr>
      <w:r w:rsidRPr="00403195">
        <w:rPr>
          <w:rFonts w:ascii="Arial" w:eastAsia="Times New Roman" w:hAnsi="Arial" w:cs="Arial"/>
          <w:b/>
          <w:bCs/>
          <w:sz w:val="20"/>
          <w:szCs w:val="20"/>
        </w:rPr>
        <w:lastRenderedPageBreak/>
        <w:t>Table 1.3.</w:t>
      </w:r>
      <w:r w:rsidRPr="00403195">
        <w:rPr>
          <w:rFonts w:ascii="Arial" w:eastAsia="Times New Roman" w:hAnsi="Arial" w:cs="Arial"/>
          <w:sz w:val="20"/>
          <w:szCs w:val="20"/>
        </w:rPr>
        <w:t xml:space="preserve"> Small molecule endocytosis inhibitors and their effectiveness</w:t>
      </w:r>
      <w:r w:rsidRPr="00403195">
        <w:rPr>
          <w:rFonts w:ascii="Arial" w:eastAsia="Times New Roman" w:hAnsi="Arial" w:cs="Arial"/>
          <w:b/>
          <w:bCs/>
          <w:sz w:val="20"/>
          <w:szCs w:val="20"/>
        </w:rPr>
        <w:t>.</w:t>
      </w:r>
    </w:p>
    <w:tbl>
      <w:tblPr>
        <w:tblW w:w="9270" w:type="dxa"/>
        <w:tblInd w:w="-10"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1800"/>
        <w:gridCol w:w="1800"/>
        <w:gridCol w:w="1350"/>
        <w:gridCol w:w="1800"/>
        <w:gridCol w:w="1620"/>
        <w:gridCol w:w="900"/>
      </w:tblGrid>
      <w:tr w:rsidR="00403195" w:rsidRPr="00403195" w14:paraId="32028890"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73DC5" w14:textId="77777777" w:rsidR="00403195" w:rsidRPr="00403195" w:rsidRDefault="00403195">
            <w:pPr>
              <w:rPr>
                <w:rFonts w:ascii="Arial" w:eastAsia="Times New Roman" w:hAnsi="Arial" w:cs="Arial"/>
                <w:b/>
                <w:bCs/>
                <w:sz w:val="20"/>
                <w:szCs w:val="20"/>
              </w:rPr>
            </w:pPr>
            <w:r w:rsidRPr="00403195">
              <w:rPr>
                <w:rFonts w:ascii="Arial" w:eastAsia="Times New Roman" w:hAnsi="Arial" w:cs="Arial"/>
                <w:b/>
                <w:bCs/>
                <w:sz w:val="20"/>
                <w:szCs w:val="20"/>
              </w:rPr>
              <w:t xml:space="preserve">Inhibitory </w:t>
            </w:r>
          </w:p>
          <w:p w14:paraId="7207FE5B" w14:textId="30C4957A" w:rsidR="00403195" w:rsidRPr="00403195" w:rsidRDefault="00403195">
            <w:pPr>
              <w:rPr>
                <w:rFonts w:ascii="Arial" w:eastAsia="Times New Roman" w:hAnsi="Arial" w:cs="Arial"/>
                <w:sz w:val="20"/>
                <w:szCs w:val="20"/>
              </w:rPr>
            </w:pPr>
            <w:r w:rsidRPr="00403195">
              <w:rPr>
                <w:rFonts w:ascii="Arial" w:eastAsia="Times New Roman" w:hAnsi="Arial" w:cs="Arial"/>
                <w:b/>
                <w:bCs/>
                <w:sz w:val="20"/>
                <w:szCs w:val="20"/>
              </w:rPr>
              <w:t>Agent</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A2AF17" w14:textId="77777777" w:rsidR="00403195" w:rsidRPr="00403195" w:rsidRDefault="00403195">
            <w:pPr>
              <w:rPr>
                <w:rFonts w:ascii="Arial" w:eastAsia="Times New Roman" w:hAnsi="Arial" w:cs="Arial"/>
                <w:b/>
                <w:bCs/>
                <w:sz w:val="20"/>
                <w:szCs w:val="20"/>
              </w:rPr>
            </w:pPr>
            <w:r w:rsidRPr="00403195">
              <w:rPr>
                <w:rFonts w:ascii="Arial" w:eastAsia="Times New Roman" w:hAnsi="Arial" w:cs="Arial"/>
                <w:b/>
                <w:bCs/>
                <w:sz w:val="20"/>
                <w:szCs w:val="20"/>
              </w:rPr>
              <w:t>Pathway</w:t>
            </w:r>
          </w:p>
          <w:p w14:paraId="37B5D568" w14:textId="75B555F8" w:rsidR="00403195" w:rsidRPr="00403195" w:rsidRDefault="00403195">
            <w:pPr>
              <w:rPr>
                <w:rFonts w:ascii="Arial" w:eastAsia="Times New Roman" w:hAnsi="Arial" w:cs="Arial"/>
                <w:sz w:val="20"/>
                <w:szCs w:val="20"/>
              </w:rPr>
            </w:pPr>
            <w:r w:rsidRPr="00403195">
              <w:rPr>
                <w:rFonts w:ascii="Arial" w:eastAsia="Times New Roman" w:hAnsi="Arial" w:cs="Arial"/>
                <w:b/>
                <w:bCs/>
                <w:sz w:val="20"/>
                <w:szCs w:val="20"/>
              </w:rPr>
              <w:t>Inhibited</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0FC406" w14:textId="77777777" w:rsidR="00403195" w:rsidRPr="00403195" w:rsidRDefault="00403195">
            <w:pPr>
              <w:rPr>
                <w:rFonts w:ascii="Arial" w:eastAsia="Times New Roman" w:hAnsi="Arial" w:cs="Arial"/>
                <w:b/>
                <w:bCs/>
                <w:sz w:val="20"/>
                <w:szCs w:val="20"/>
              </w:rPr>
            </w:pPr>
            <w:r w:rsidRPr="00403195">
              <w:rPr>
                <w:rFonts w:ascii="Arial" w:eastAsia="Times New Roman" w:hAnsi="Arial" w:cs="Arial"/>
                <w:b/>
                <w:bCs/>
                <w:sz w:val="20"/>
                <w:szCs w:val="20"/>
              </w:rPr>
              <w:t xml:space="preserve">Inhibition </w:t>
            </w:r>
          </w:p>
          <w:p w14:paraId="55C8C36F" w14:textId="65240CE6" w:rsidR="00403195" w:rsidRPr="00403195" w:rsidRDefault="00403195">
            <w:pPr>
              <w:rPr>
                <w:rFonts w:ascii="Arial" w:eastAsia="Times New Roman" w:hAnsi="Arial" w:cs="Arial"/>
                <w:sz w:val="20"/>
                <w:szCs w:val="20"/>
              </w:rPr>
            </w:pPr>
            <w:r w:rsidRPr="00403195">
              <w:rPr>
                <w:rFonts w:ascii="Arial" w:eastAsia="Times New Roman" w:hAnsi="Arial" w:cs="Arial"/>
                <w:b/>
                <w:bCs/>
                <w:sz w:val="20"/>
                <w:szCs w:val="20"/>
              </w:rPr>
              <w:t>Mechanism</w:t>
            </w:r>
          </w:p>
        </w:tc>
        <w:tc>
          <w:tcPr>
            <w:tcW w:w="1800" w:type="dxa"/>
            <w:tcBorders>
              <w:top w:val="single" w:sz="8" w:space="0" w:color="A3A3A3"/>
              <w:left w:val="single" w:sz="8" w:space="0" w:color="A3A3A3"/>
              <w:bottom w:val="single" w:sz="8" w:space="0" w:color="A3A3A3"/>
              <w:right w:val="single" w:sz="8" w:space="0" w:color="A3A3A3"/>
            </w:tcBorders>
          </w:tcPr>
          <w:p w14:paraId="52AEEEC7" w14:textId="77777777" w:rsidR="00403195" w:rsidRPr="00403195" w:rsidRDefault="00403195">
            <w:pPr>
              <w:rPr>
                <w:rFonts w:ascii="Arial" w:eastAsia="Times New Roman" w:hAnsi="Arial" w:cs="Arial"/>
                <w:b/>
                <w:bCs/>
                <w:sz w:val="20"/>
                <w:szCs w:val="20"/>
              </w:rPr>
            </w:pPr>
            <w:r w:rsidRPr="00403195">
              <w:rPr>
                <w:rFonts w:ascii="Arial" w:eastAsia="Times New Roman" w:hAnsi="Arial" w:cs="Arial"/>
                <w:b/>
                <w:bCs/>
                <w:sz w:val="20"/>
                <w:szCs w:val="20"/>
              </w:rPr>
              <w:t xml:space="preserve">Uptake Inhibition </w:t>
            </w:r>
          </w:p>
          <w:p w14:paraId="11FE4C33" w14:textId="4E98B044" w:rsidR="00403195" w:rsidRPr="00403195" w:rsidRDefault="00403195">
            <w:pPr>
              <w:rPr>
                <w:rFonts w:ascii="Arial" w:eastAsia="Times New Roman" w:hAnsi="Arial" w:cs="Arial"/>
                <w:b/>
                <w:bCs/>
                <w:sz w:val="20"/>
                <w:szCs w:val="20"/>
              </w:rPr>
            </w:pPr>
            <w:r w:rsidRPr="00403195">
              <w:rPr>
                <w:rFonts w:ascii="Arial" w:eastAsia="Times New Roman" w:hAnsi="Arial" w:cs="Arial"/>
                <w:b/>
                <w:bCs/>
                <w:sz w:val="20"/>
                <w:szCs w:val="20"/>
              </w:rPr>
              <w:t>Effectiveness</w:t>
            </w:r>
          </w:p>
        </w:tc>
        <w:tc>
          <w:tcPr>
            <w:tcW w:w="1620" w:type="dxa"/>
            <w:tcBorders>
              <w:top w:val="single" w:sz="8" w:space="0" w:color="A3A3A3"/>
              <w:left w:val="single" w:sz="8" w:space="0" w:color="A3A3A3"/>
              <w:bottom w:val="single" w:sz="8" w:space="0" w:color="A3A3A3"/>
              <w:right w:val="single" w:sz="8" w:space="0" w:color="A3A3A3"/>
            </w:tcBorders>
          </w:tcPr>
          <w:p w14:paraId="63BDEFF5" w14:textId="77777777" w:rsidR="00403195" w:rsidRPr="00403195" w:rsidRDefault="00403195">
            <w:pPr>
              <w:rPr>
                <w:rFonts w:ascii="Arial" w:eastAsia="Times New Roman" w:hAnsi="Arial" w:cs="Arial"/>
                <w:b/>
                <w:bCs/>
                <w:sz w:val="20"/>
                <w:szCs w:val="20"/>
              </w:rPr>
            </w:pPr>
            <w:r w:rsidRPr="00403195">
              <w:rPr>
                <w:rFonts w:ascii="Arial" w:eastAsia="Times New Roman" w:hAnsi="Arial" w:cs="Arial"/>
                <w:b/>
                <w:bCs/>
                <w:sz w:val="20"/>
                <w:szCs w:val="20"/>
              </w:rPr>
              <w:t>Considerations</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AB6306" w14:textId="4F477BB7" w:rsidR="00403195" w:rsidRPr="00403195" w:rsidRDefault="00403195">
            <w:pPr>
              <w:rPr>
                <w:rFonts w:ascii="Arial" w:eastAsia="Times New Roman" w:hAnsi="Arial" w:cs="Arial"/>
                <w:sz w:val="20"/>
                <w:szCs w:val="20"/>
              </w:rPr>
            </w:pPr>
            <w:r w:rsidRPr="00403195">
              <w:rPr>
                <w:rFonts w:ascii="Arial" w:eastAsia="Times New Roman" w:hAnsi="Arial" w:cs="Arial"/>
                <w:b/>
                <w:bCs/>
                <w:sz w:val="20"/>
                <w:szCs w:val="20"/>
              </w:rPr>
              <w:t xml:space="preserve">Ref. </w:t>
            </w:r>
          </w:p>
        </w:tc>
      </w:tr>
      <w:tr w:rsidR="00403195" w:rsidRPr="00403195" w14:paraId="1C822CF1"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63DDCAC"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Methyl-β-cyclodextrin (MβCD)</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E477C97"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 and Clathrin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78378F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Removes cholesterol from the plasma membrane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59C52400"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-53% inhibition of lactosylceramide in HUVECs</w:t>
            </w:r>
            <w:r w:rsidRPr="00403195">
              <w:rPr>
                <w:rStyle w:val="eop"/>
                <w:rFonts w:ascii="Arial" w:eastAsia="MS Mincho" w:hAnsi="Arial" w:cs="Arial"/>
                <w:sz w:val="20"/>
                <w:szCs w:val="20"/>
              </w:rPr>
              <w:t> </w:t>
            </w:r>
          </w:p>
          <w:p w14:paraId="7B0306A3"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-56% inhibition of transferrin in HUVECs</w:t>
            </w:r>
            <w:r w:rsidRPr="00403195">
              <w:rPr>
                <w:rStyle w:val="eop"/>
                <w:rFonts w:ascii="Arial" w:eastAsia="MS Mincho" w:hAnsi="Arial" w:cs="Arial"/>
                <w:sz w:val="20"/>
                <w:szCs w:val="20"/>
              </w:rPr>
              <w:t> </w:t>
            </w:r>
          </w:p>
          <w:p w14:paraId="3E2297F9"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-80 % inhibition of 20 nm &amp; 40 nm polystyrene NPs in HUVECs</w:t>
            </w:r>
            <w:r w:rsidRPr="00403195">
              <w:rPr>
                <w:rStyle w:val="eop"/>
                <w:rFonts w:ascii="Arial" w:eastAsia="MS Mincho" w:hAnsi="Arial" w:cs="Arial"/>
                <w:sz w:val="20"/>
                <w:szCs w:val="20"/>
              </w:rPr>
              <w:t> </w:t>
            </w:r>
          </w:p>
          <w:p w14:paraId="502CEF91"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-36 % inhibition of 100 nm &amp; 200 nm polystyrene NPs in HUVECs</w:t>
            </w:r>
            <w:r w:rsidRPr="00403195">
              <w:rPr>
                <w:rStyle w:val="eop"/>
                <w:rFonts w:ascii="Arial" w:eastAsia="MS Mincho" w:hAnsi="Arial" w:cs="Arial"/>
                <w:sz w:val="20"/>
                <w:szCs w:val="20"/>
              </w:rPr>
              <w:t> </w:t>
            </w:r>
          </w:p>
          <w:p w14:paraId="66EF6BC9" w14:textId="77777777" w:rsidR="00403195" w:rsidRPr="00403195" w:rsidRDefault="00403195">
            <w:pPr>
              <w:rPr>
                <w:rFonts w:ascii="Arial" w:eastAsia="Times New Roman" w:hAnsi="Arial" w:cs="Arial"/>
                <w:sz w:val="20"/>
                <w:szCs w:val="20"/>
              </w:rPr>
            </w:pP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0A06DD42"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This has been shown to affect multiple pathways </w:t>
            </w:r>
            <w:r w:rsidRPr="00403195">
              <w:rPr>
                <w:rStyle w:val="eop"/>
                <w:rFonts w:ascii="Arial" w:eastAsia="MS Mincho" w:hAnsi="Arial" w:cs="Arial"/>
                <w:sz w:val="20"/>
                <w:szCs w:val="20"/>
              </w:rPr>
              <w:t> </w:t>
            </w:r>
          </w:p>
          <w:p w14:paraId="4462DB48" w14:textId="77777777" w:rsidR="00403195" w:rsidRPr="00403195" w:rsidRDefault="00403195">
            <w:pPr>
              <w:pStyle w:val="paragraph"/>
              <w:spacing w:before="0" w:beforeAutospacing="0" w:after="0" w:afterAutospacing="0"/>
              <w:ind w:firstLine="900"/>
              <w:textAlignment w:val="baseline"/>
              <w:rPr>
                <w:rFonts w:ascii="Arial" w:hAnsi="Arial" w:cs="Arial"/>
                <w:sz w:val="20"/>
                <w:szCs w:val="20"/>
              </w:rPr>
            </w:pPr>
            <w:r w:rsidRPr="00403195">
              <w:rPr>
                <w:rStyle w:val="eop"/>
                <w:rFonts w:ascii="Arial" w:eastAsia="MS Mincho" w:hAnsi="Arial" w:cs="Arial"/>
                <w:sz w:val="20"/>
                <w:szCs w:val="20"/>
              </w:rPr>
              <w:t> </w:t>
            </w:r>
          </w:p>
          <w:p w14:paraId="1F833CBD" w14:textId="77777777" w:rsidR="00403195" w:rsidRPr="00403195" w:rsidRDefault="00403195">
            <w:pPr>
              <w:rPr>
                <w:rFonts w:ascii="Arial" w:eastAsia="Times New Roman" w:hAnsi="Arial" w:cs="Arial"/>
                <w:sz w:val="20"/>
                <w:szCs w:val="20"/>
              </w:rPr>
            </w:pP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BDE180" w14:textId="0446C393"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{"citationItems":[{"id":"ITEM-1","itemData":{"DOI":"10.1039/c8nr02393j","ISSN":"20403372","abstract":"The formation of a protein corona increases endothelial uptake and transcytosis in a size-selective and specific manner as opposed to PEGylated nanoparticles. Furthermore, uptake by caveolae mediated endocytosis does not necessarily enhance transcytosis due to the complex nature of intracellular trafficking. Transcytosis of nanoparticles (NPs) is emerging as an attractive alternative to the paracellular route in cancer drug delivery with studies suggesting targeting caveolae-mediated endocytosis to maximize NP transcytosis. However, there are limited studies on transcytosis of NPs, especially for corona-coated NPs. Most studies focused on cellular uptake as an indirect measure of the NP's transcellular permeability ( P d ). Here, we probed the effect of protein corona on the uptake and transcytosis of 20, 40, 100, and 200 nm polystyrene nanoparticles (pNP-PC) across HUVECs in a microfluidic channel that modelled the microvasculature. We observed increased cell uptake with size of pNP-PC although it was the smallest 20 nm pNP-PC that exhibited the highest transcellular P d . In the absence of corona however, cell uptake decreased with size, and the largest 200 nm pNP-PEG exhibited the lowest transcellular P d . By inhibiting caveolae-mediated endocytosis in HUVECs, smaller pNPs had a larger drop in cell uptake than larger pNPs, regardless of surface coating. However, only the smallest (20 nm) and largest (200 nm) pNP-PC had a decrease in P d following inhibition with MβCD. Our findings showed that the protein corona affected the transcytosis of NPs, and their uptake by caveolae-mediated endocytosis did not necessarily lead to transcytosis. ","author":[{"dropping-particle":"","family":"Ho","given":"Yan Teck","non-dropping-particle":"","parse-names":false,"suffix":""},{"dropping-particle":"","family":"Kamm","given":"Roger D.","non-dropping-particle":"","parse-names":false,"suffix":""},{"dropping-particle":"","family":"Kah","given":"James Chen Yong","non-dropping-particle":"","parse-names":false,"suffix":""}],"container-title":"Nanoscale","id":"ITEM-1","issue":"26","issued":{"date-parts":[["2018","7","14"]]},"page":"12386-12397","publisher":"Royal Society of Chemistry","title":"Influence of protein corona and caveolae-mediated endocytosis on nanoparticle uptake and transcytosis","type":"article-journal","volume":"10"},"uris":["http://www.mendeley.com/documents/?uuid=5b92e0de-0488-30ff-b564-845e3c333899"]},{"id":"ITEM-2","itemData":{"DOI":"10.1248/bpb.b16-00047","ISSN":"13475215","abstract":"Due to its powerful ability to deplete cholesterol from the plasma membrane of cells, methyl-β-cyclodextrin (MβCD) has been widely used as a putative research tool in cell biology. Recently, recruiting MβCD as an effective drug (e.g., antitumor drugs) has been developed. However, it remains unclear whether MβCD, when it enters the blood circulation as a drug, influences the functions of the endothelium, e.g., the adhesion of leukocytes to the endothelium. In this study, we found that MβCD can impair the adhesion of monocytes to the monolayer of endothelial cells by lowering the cell-surface adhesive force and expression of adhesion molecules and caveolae-related molecules on/in endothelial cells, and reorganizing the actin cytoskeleton of endothelial cells. The data imply that MβCD, when recruited as a drug, potentially helps to inhibit inflammation or initiation/progression of atherosclerosis since its important early step is the adhesion of circulating leukocytes (e.g., monocytes) to the endothelium.","author":[{"dropping-particle":"","family":"Ao","given":"Meiying","non-dropping-particle":"","parse-names":false,"suffix":""},{"dropping-particle":"","family":"Wu","given":"Li","non-dropping-particle":"","parse-names":false,"suffix":""},{"dropping-particle":"","family":"Zhou","given":"Xing","non-dropping-particle":"","parse-names":false,"suffix":""},{"dropping-particle":"","family":"Chen","given":"Yong","non-dropping-particle":"","parse-names":false,"suffix":""}],"container-title":"Biological and Pharmaceutical Bulletin","id":"ITEM-2","issue":"6","issued":{"date-parts":[["2016"]]},"page":"1029-1034","title":"Methyl-β-cyclodextrin impairs the monocyte-adhering ability of endothelial cells by down-regulating adhesion molecules and caveolae and reorganizing the actin cytoskeleton","type":"article-journal","volume":"39"},"uris":["http://www.mendeley.com/documents/?uuid=407a0181-e4de-4bae-9bc8-2b1f4bb63922"]},{"id":"ITEM-3","itemData":{"DOI":"10.1091/mbc.10.4.961","ISSN":"1059-1524","abstract":"The importance of cholesterol for endocytosis has been investigated in HEp-2 and other cell lines by using methyl-β-cyclodextrin (MβCD) to selectively extract cholesterol from the plasma membrane. MβCD treatment strongly inhibited endocytosis of transferrin and EGF, whereas endocytosis of ricin was less affected. The inhibition of transferrin endocytosis was completely reversible. On removal of MβCD it was restored by continued incubation of the cells even in serum-free medium. The recovery in serum-free medium was inhibited by addition of lovastatin, which prevents cholesterol synthesis, but endocytosis recovered when a water-soluble form of cholesterol was added together with lovastatin. Electron microscopical studies of MβCD-treated HEp-2 cells revealed that typical invaginated caveolae were no longer present. Moreover, the invagination of clathrin-coated pits was strongly inhibited, resulting in accumulation of shallow coated pits. Quantitative immunogold labeling showed that transferrin receptors were concentrated in coated pits to the same degree (approximately sevenfold) after MβCD treatment as in control cells. Our results therefore indicate that although clathrin-independent (and caveolae-independent) endocytosis still operates after removal of cholesterol, cholesterol is essential for the formation of clathrin-coated endocytic vesicles.","author":[{"dropping-particle":"","family":"Rodal","given":"Siv Kjersti","non-dropping-particle":"","parse-names":false,"suffix":""},{"dropping-particle":"","family":"Skretting","given":"Grethe","non-dropping-particle":"","parse-names":false,"suffix":""},{"dropping-particle":"","family":"Garred","given":"Øystein","non-dropping-particle":"","parse-names":false,"suffix":""},{"dropping-particle":"","family":"Vilhardt","given":"Frederik","non-dropping-particle":"","parse-names":false,"suffix":""},{"dropping-particle":"","family":"Deurs","given":"Bo","non-dropping-particle":"van","parse-names":false,"suffix":""},{"dropping-particle":"","family":"Sandvig","given":"Kirsten","non-dropping-particle":"","parse-names":false,"suffix":""}],"container-title":"Molecular Biology of the Cell","editor":[{"dropping-particle":"","family":"Krieger","given":"Monty","non-dropping-particle":"","parse-names":false,"suffix":""}],"id":"ITEM-3","issue":"4","issued":{"date-parts":[["1999","4"]]},"page":"961-974","title":"Extraction of Cholesterol with Methyl-β-Cyclodextrin Perturbs Formation of Clathrin-coated Endocytic Vesicles","type":"article-journal","volume":"10"},"uris":["http://www.mendeley.com/documents/?uuid=20f311b9-9efb-4eb0-bb6a-b62db6042c54"]}],"mendeley":{"formattedCitation":"&lt;sup&gt;184–186&lt;/sup&gt;","plainTextFormattedCitation":"184–186","previouslyFormattedCitation":"&lt;sup&gt;184–186&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184–186</w:t>
            </w:r>
            <w:r w:rsidRPr="00403195">
              <w:rPr>
                <w:rFonts w:ascii="Arial" w:eastAsia="Times New Roman" w:hAnsi="Arial" w:cs="Arial"/>
                <w:sz w:val="20"/>
                <w:szCs w:val="20"/>
              </w:rPr>
              <w:fldChar w:fldCharType="end"/>
            </w:r>
          </w:p>
          <w:p w14:paraId="77809FDF" w14:textId="77777777" w:rsidR="00403195" w:rsidRPr="00403195" w:rsidRDefault="00403195">
            <w:pPr>
              <w:rPr>
                <w:rFonts w:ascii="Arial" w:eastAsia="Times New Roman" w:hAnsi="Arial" w:cs="Arial"/>
                <w:sz w:val="20"/>
                <w:szCs w:val="20"/>
              </w:rPr>
            </w:pPr>
          </w:p>
        </w:tc>
      </w:tr>
      <w:tr w:rsidR="00403195" w:rsidRPr="00403195" w14:paraId="756D78B2"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902E800"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N-ethylmaleimide (NEM)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F8B28A9"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8A39B0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Inactivating the ATPase NEM-sensitive factor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677E7DBB"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-75% inhibition of albumin gold complex in BLMVECs and BAECs</w:t>
            </w:r>
            <w:r w:rsidRPr="00403195">
              <w:rPr>
                <w:rStyle w:val="eop"/>
                <w:rFonts w:ascii="Arial" w:eastAsia="MS Mincho" w:hAnsi="Arial" w:cs="Arial"/>
                <w:sz w:val="20"/>
                <w:szCs w:val="20"/>
              </w:rPr>
              <w:t> </w:t>
            </w:r>
          </w:p>
          <w:p w14:paraId="7AAA5F3F"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-&lt;80% inhibition of cationic liposomes in Cos-7 cells </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7514FEC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Has been shown to stimulate macropinocytosis in various epithelial cell lines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7FF5AF" w14:textId="25DA488A"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{"citationItems":[{"id":"ITEM-1","itemData":{"DOI":"10.1152/ajpheart.1995.268.1.H48","ISSN":"0363-6135","abstract":"Various vesicular carriers transport select molecular cargo between intracellular compartments utilizing a budding mechanism with docking and fusion of individual vesicles with their target membranes. This fusion requires key intracellular component(s) that are sensitive to alkylation with N-ethylmaleimide (NEM). In endothelium, caveolae may mediate endocytosis and transcytosis of select macromolecules. If caveolae utilize a mechanism similar to other vesicular carriers, then their transport should also be sensitive to NEM. The following tracers were chosen based on their pathway specificity: 1) albumin-gold complexes (A-Au) that bind gp30 and gp18 for endocytosis by caveolae, 2) native albumin that binds albondin and is transported by caveolae, 3) ferritin as a fluid-phase probe transcytosed by caveolae, and 4) inulin as a paracellular probe. In culture, NEM significantly inhibited A-Au uptake and delivery to endosomes but not endothelial cell surface binding. In rat lung, NEM reduced capillary permeability to albumin and the tissue uptake of ferritin and A-Au, but not inulin, indicating inhibition of caveolae-mediated but not paracellular transport. Neutral but not charged alkylating agents inhibited A-Au uptake, consistent with their relative abilities to cross membranes and modify intracellular factors. Like other vesicular pathways, endothelial caveolae transport their select ligands utilizing a NEM-sensitive mechanism, apparently requiring vesicle-membrane fusion.","author":[{"dropping-particle":"","family":"Schnitzer","given":"J. E.","non-dropping-particle":"","parse-names":false,"suffix":""},{"dropping-particle":"","family":"Allard","given":"Jenny","non-dropping-particle":"","parse-names":false,"suffix":""},{"dropping-particle":"","family":"Oh","given":"P.","non-dropping-particle":"","parse-names":false,"suffix":""}],"container-title":"American Journal of Physiology-Heart and Circulatory Physiology","id":"ITEM-1","issue":"1","issued":{"date-parts":[["1995","1","1"]]},"page":"H48-H55","title":"NEM inhibits transcytosis, endocytosis, and capillary permeability: implication of caveolae fusion in endothelia","type":"article-journal","volume":"268"},"uris":["http://www.mendeley.com/documents/?uuid=e4d53ffd-4a9b-4bac-a4e9-1adff1793284"]},{"id":"ITEM-2","itemData":{"DOI":"10.1091/mbc.12.4.1019","ISSN":"10591524","abstract":"We have demonstrated that the plasmalemmal vesicles (caveolae) of the continuous microvascular endothelium function as transcytotic vesicular carriers for protein molecules &gt;20 Ȧ and that transcytosis is an N-ethylmaleimide-sensitive factor (NSF)-dependent, N-ethylmaleimide-sensitive process. We have further investigated NSF interactions with endothelial proteins to find out 1) whether a complete set of fusion and targeting proteins is present in the endothelium; 2) whether they are organized in multimolecular complexes as in neurons; and 3) whether the endothelial multimolecular complexes differ from their neuronal counterparts, because of their specialized role in transcytosis. To generate the complexes, we have used myc-NSF, cultured pulmonary endothelial cells, and rat lung cytosol and membrane preparations; to detect them we have applied coimmunoprecipitation with myc antibodies; and to characterize them we have used velocity sedimentation and cross-linking procedures. We have found that both cytosolic and membrane fractions contain complexes that comprise beside soluble NSF attachment proteins and SNAREs (soluble NSF attachment protein receptor), rab 5, dynamin, caveolin, and lipids. By immunogold labeling and negative staining we have detected in these complexes, myc-NSF, syntaxin, dynamin, caveolin, and endogenous NSF. Similar complexes are formed by endogenous NSF. The results indicate that complexes with a distinct protein-lipid composition exist and suggest that they participate in targeting, fusion, and fission of caveolae with the endothelial plasmalemma.","author":[{"dropping-particle":"","family":"Predescu","given":"S. A.","non-dropping-particle":"","parse-names":false,"suffix":""},{"dropping-particle":"","family":"Predescu","given":"D. N.","non-dropping-particle":"","parse-names":false,"suffix":""},{"dropping-particle":"","family":"Palade","given":"G. E.","non-dropping-particle":"","parse-names":false,"suffix":""}],"container-title":"Molecular Biology of the Cell","id":"ITEM-2","issue":"4","issued":{"date-parts":[["2001"]]},"page":"1019-1033","title":"Endothelial transcytotic machinery involves supramolecular protein-lipid complexes","type":"article-journal","volume":"12"},"uris":["http://www.mendeley.com/documents/?uuid=b5063a7c-8004-4b6b-ad6b-c50b2b3d015d"]},{"id":"ITEM-3","itemData":{"DOI":"10.1016/j.colsurfb.2006.03.014","ISSN":"09277765","abstract":"A defined change in formulation components affects the physical and chemical characteristics of cationic liposomes (CLs) carriers in many ways. Therefore, a great degree of control can be exercised over the structure by modifying the CLs with various materials, leading to new innovations for carrier improvement. In the present study, surface modifications of cationic liposomes with non-ionic surfactants-sorbitan monoesters serials (Span 85, 80, 40 and 20) were carried out for developing a new gene transfer carrier. Span modified cationic liposomes (Sp-CLs) were prepared by reverse phase evaporation method (RPV) and self-assemble complexes of antisense oligonucleotides/surfactant modifying cationic liposomes were prepared by auto-coacervation through electrostatic effect. Characterization of Sp-CLs and the self-assembled complex was performed by electron microscope, particle size, zeta potential, turbidity and agarose electrophoresis. Furthermore, in vitro cellular uptake experiment showed that Span plays a role in enhancing the cellular uptake of encapsulated oligonucleotides mediated by Sp-CLs by the endocytosis-dependent route. CLs modified with Span 40 significantly facilitated the cellular uptake by COS-7 cells and HeLa cells; also showed some positive effect on gene expression. That suggests it is a potential non-viral carrier for efficient gene transfer. © 2006 Elsevier B.V. All rights reserved.","author":[{"dropping-particle":"","family":"Huang","given":"Yong Zhuo","non-dropping-particle":"","parse-names":false,"suffix":""},{"dropping-particle":"","family":"Gao","given":"Jian Qing","non-dropping-particle":"","parse-names":false,"suffix":""},{"dropping-particle":"","family":"Chen","given":"Jin Liang","non-dropping-particle":"","parse-names":false,"suffix":""},{"dropping-particle":"","family":"Liang","given":"Wen Quan","non-dropping-particle":"","parse-names":false,"suffix":""}],"container-title":"Colloids and Surfaces B: Biointerfaces","id":"ITEM-3","issue":"2","issued":{"date-parts":[["2006"]]},"page":"158-164","title":"Cationic liposomes modified with non-ionic surfactants as effective non-viral carrier for gene transfer","type":"article-journal","volume":"49"},"uris":["http://www.mendeley.com/documents/?uuid=77310236-bfd6-4d99-9750-6ea46c225b6e"]},{"id":"ITEM-4","itemData":{"DOI":"10.1078/0171-9335-00071","ISSN":"01719335","PMID":"10961444","abstract":"In cells tested so far endocytosis seems to be dependent on N-ethylmaleimide (NEM)-sensitive proteins, and treatment with NEM results in a complete block of endocytosis. We here demonstrate that treatment of polarized MDCK I cells with NEM strongly increased endocytosis of ricin and horseradish peroxidase at the apical side, and electron microscopy revealed NEM-induced formation of large macropinosomes at the apical pole. The NEM-stimulated apical endocytosis seemed to involve phosphatidylinositol-3 kinase, protein kinase C and phospholipase D and it was dependent on ATP. Moreover, in contrast to endocytosis in nonpolarized cells ricin endocytosis at the basolateral side continued in the presence of NEM whereas endocytosis of transferrin was blocked. Furthermore, recycling of ricin endocytosed in the absence of NEM was not inhibited on either side upon addition of NEM demonstrating the existence of a NEM-resistant fusion machinery. The results suggest that the fusogenic property of both the apical and the basolateral plasma membrane of MDCK cells differs from that typically observed in cells unable to polarize.","author":[{"dropping-particle":"","family":"Sandvig","given":"Kirsten","non-dropping-particle":"","parse-names":false,"suffix":""},{"dropping-particle":"","family":"Llorente","given":"Alicia","non-dropping-particle":"","parse-names":false,"suffix":""},{"dropping-particle":"","family":"Rodal","given":"Siv Kjersti","non-dropping-particle":"","parse-names":false,"suffix":""},{"dropping-particle":"","family":"Eker","given":"Per","non-dropping-particle":"","parse-names":false,"suffix":""},{"dropping-particle":"","family":"Garred","given":"Øystein","non-dropping-particle":"","parse-names":false,"suffix":""},{"dropping-particle":"","family":"Stahlhut","given":"Martin","non-dropping-particle":"","parse-names":false,"suffix":""},{"dropping-particle":"","family":"Deurs","given":"Bo","non-dropping-particle":"Van","parse-names":false,"suffix":""}],"container-title":"European Journal of Cell Biology","id":"ITEM-4","issue":"7","issued":{"date-parts":[["2000"]]},"page":"447-457","title":"Apical macropinocytosis in polarized MDCK cells: Regulation by N-ethylmaleimide-sensitive proteins","type":"article-journal","volume":"79"},"uris":["http://www.mendeley.com/documents/?uuid=c0993266-a1f1-4b6d-825f-aa084f6a9c53"]},{"id":"ITEM-5","itemData":{"DOI":"10.1152/ajpgi.90347.2008","ISSN":"0193-1857","abstract":"Shiga toxin 1 and 2 production is a cardinal virulence trait of enterohemorrhagic Escherichia coli infection that causes a spectrum of intestinal and systemic pathology. However, intestinal sites of enterohemorrhagic E. coli colonization during the human infection and how the Shiga toxins are taken up and cross the globotriaosylceramide (Gb3) receptor-negative intestinal epithelial cells remain largely uncharacterized. We used samples of human intestinal tissue from patients with E. coli O157:H7 infection to detect the intestinal sites of bacterial colonization and characterize the distribution of Shiga toxins. We further used a model of largely Gb3-negative T84 intestinal epithelial monolayers treated with B-subunit of Shiga toxin 1 to determine the mechanisms of non-receptor-mediated toxin uptake. We now report that E. coli O157:H7 were found at the apical surface of epithelial cells only in the ileocecal valve area and that both toxins were present in large amounts inside surface and crypt epithelial cells in all tested intestinal samples. Our in vitro data suggest that macropinocytosis mediated through Src activation significantly increases toxin endocytosis by intestinal epithelial cells and also stimulates toxin transcellular transcytosis. We conclude that Shiga toxin is taken up by human intestinal epithelial cells during E. coli O157:H7 infection regardless of the presence of bacterial colonies. Macropinocytosis might be responsible for toxin uptake by Gb3-free intestinal epithelial cells and transcytosis. These observations provide new insights into the understanding of Shiga toxin contribution to enterohemorrhagic E. coli-related intestinal and systemic diseases.","author":[{"dropping-particle":"","family":"Malyukova","given":"Irina","non-dropping-particle":"","parse-names":false,"suffix":""},{"dropping-particle":"","family":"Murray","given":"Karen F.","non-dropping-particle":"","parse-names":false,"suffix":""},{"dropping-particle":"","family":"Zhu","given":"Chengru","non-dropping-particle":"","parse-names":false,"suffix":""},{"dropping-particle":"","family":"Boedeker","given":"Edgar","non-dropping-particle":"","parse-names":false,"suffix":""},{"dropping-particle":"","family":"Kane","given":"Anne","non-dropping-particle":"","parse-names":false,"suffix":""},{"dropping-particle":"","family":"Patterson","given":"Kathleen","non-dropping-particle":"","parse-names":false,"suffix":""},{"dropping-particle":"","family":"Peterson","given":"Jeffrey R.","non-dropping-particle":"","parse-names":false,"suffix":""},{"dropping-particle":"","family":"Donowitz","given":"Mark","non-dropping-particle":"","parse-names":false,"suffix":""},{"dropping-particle":"","family":"Kovbasnjuk","given":"Olga","non-dropping-particle":"","parse-names":false,"suffix":""}],"container-title":"American Journal of Physiology-Gastrointestinal and Liver Physiology","id":"ITEM-5","issue":"1","issued":{"date-parts":[["2009","1"]]},"page":"G78-G92","title":"Macropinocytosis in Shiga toxin 1 uptake by human intestinal epithelial cells and transcellular transcytosis","type":"article-journal","volume":"296"},"uris":["http://www.mendeley.com/documents/?uuid=70a6cbe3-3668-4e13-9e9d-970c9826e800"]}],"mendeley":{"formattedCitation":"&lt;sup&gt;187–191&lt;/sup&gt;","plainTextFormattedCitation":"187–191","previouslyFormattedCitation":"&lt;sup&gt;187–191&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187–191</w:t>
            </w:r>
            <w:r w:rsidRPr="00403195">
              <w:rPr>
                <w:rFonts w:ascii="Arial" w:eastAsia="Times New Roman" w:hAnsi="Arial" w:cs="Arial"/>
                <w:sz w:val="20"/>
                <w:szCs w:val="20"/>
              </w:rPr>
              <w:fldChar w:fldCharType="end"/>
            </w:r>
          </w:p>
          <w:p w14:paraId="6501141D" w14:textId="77777777" w:rsidR="00403195" w:rsidRPr="00403195" w:rsidRDefault="00403195">
            <w:pPr>
              <w:rPr>
                <w:rFonts w:ascii="Arial" w:eastAsia="Times New Roman" w:hAnsi="Arial" w:cs="Arial"/>
                <w:sz w:val="20"/>
                <w:szCs w:val="20"/>
              </w:rPr>
            </w:pPr>
          </w:p>
        </w:tc>
      </w:tr>
      <w:tr w:rsidR="00403195" w:rsidRPr="00403195" w14:paraId="31ED1D7F"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3BC2E8B"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Filipin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55230EF"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D2C21A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Removes cholesterol from the plasma membrane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41131167"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-70% inhibition of albumin-gold complexes in BLMVECs, BAECs, and RFCs</w:t>
            </w:r>
            <w:r w:rsidRPr="00403195">
              <w:rPr>
                <w:rStyle w:val="eop"/>
                <w:rFonts w:ascii="Arial" w:eastAsia="MS Mincho" w:hAnsi="Arial" w:cs="Arial"/>
                <w:sz w:val="20"/>
                <w:szCs w:val="20"/>
              </w:rPr>
              <w:t> </w:t>
            </w:r>
          </w:p>
          <w:p w14:paraId="138F762F"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-40% inhibition in WGA-PEG-PLA NPs encapsulating </w:t>
            </w:r>
            <w:proofErr w:type="spellStart"/>
            <w:r w:rsidRPr="00403195">
              <w:rPr>
                <w:rStyle w:val="normaltextrun"/>
                <w:rFonts w:ascii="Arial" w:hAnsi="Arial" w:cs="Arial"/>
                <w:sz w:val="20"/>
                <w:szCs w:val="20"/>
              </w:rPr>
              <w:t>CdSe</w:t>
            </w:r>
            <w:proofErr w:type="spellEnd"/>
            <w:r w:rsidRPr="00403195">
              <w:rPr>
                <w:rStyle w:val="normaltextrun"/>
                <w:rFonts w:ascii="Arial" w:hAnsi="Arial" w:cs="Arial"/>
                <w:sz w:val="20"/>
                <w:szCs w:val="20"/>
              </w:rPr>
              <w:t>/ZnS quantum dots in CaCo-2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01B5B3C8"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Sterols and sphingolipids likely play a role in clathrin mediated endocytosis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BEB6CE" w14:textId="236E0345"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{"citationItems":[{"id":"ITEM-1","itemData":{"DOI":"10.1083/jcb.127.5.1217","ISSN":"00219525","abstract":"Caveolae or noncoated plasmalemmal vesicles found in a variety of cells have been implicated in a number of important cellular functions including endocytosis, transcytosis, and potocytosis. Their function in transport across endothelium has been especially controversial, at least in part because there has not been any way to selectively inhibit this putative pathway. We now show that the ability of sterol binding agents such as filipin to disassemble endothelial noncoated but not coated plasmalemmal vesicles selectively inhibits caveolae-mediated intracellular and transcellular transport of select macromolecules in endothelium. Filipin significantly reduces the transcellular transport of insulin and albumin across cultured endothelial cell monolayers. Rat lung microvascular permeability to albumin in situ is significantly decreased after filipin perfusion. Conversely, paracellular transport of the small solute inulin is not inhibited in vitro or in situ. In addition, we show that caveolae mediate the scavenger endocytosis of conformationally modified albumins for delivery to endosomes and lysosomes for degradation. This intracellular transport is inhibited by filipin both in vitro and in situ. Other sterol binding agents including nystatin and digitonin also inhibit this degradative process. Conversely, the endocytosis and degradation of activated α2-macroglobulin, a known ligand of the clathrin-dependent pathway, is not affected. Interestingly, filipin appears to inhibit insulin uptake by endothelium for transcytosis, a caveolae-mediated process, but not endocytosis for degradation, apparently mediated by the clathrin coated pathway. Such selective inhibition of caveolae not only provides critical evidence for the role of caveolae in the intracellular and transcellular transport of select macromolecules in endothelium but also may be useful for distinguishing transport mediated by coated versus noncoated vesicles.","author":[{"dropping-particle":"","family":"Schnitzer","given":"Jan E.","non-dropping-particle":"","parse-names":false,"suffix":""},{"dropping-particle":"","family":"Oh","given":"Phil","non-dropping-particle":"","parse-names":false,"suffix":""},{"dropping-particle":"","family":"Pinney","given":"Emmett","non-dropping-particle":"","parse-names":false,"suffix":""},{"dropping-particle":"","family":"Allard","given":"Jenny","non-dropping-particle":"","parse-names":false,"suffix":""}],"container-title":"Journal of Cell Biology","id":"ITEM-1","issue":"5","issued":{"date-parts":[["1994"]]},"page":"1217-1232","title":"Filipin-sensitive caveolae-mediated transport in endothelium: Reduced transcytosis, scavenger endocytosis, and capillary permeability of select macromolecules","type":"article-journal","volume":"127"},"uris":["http://www.mendeley.com/documents/?uuid=8870174a-ad4d-4ba3-b415-8256bc665b72"]},{"id":"ITEM-2","itemData":{"DOI":"10.1016/0092-8674(92)90143-Z","ISSN":"00928674","PMID":"1739974","abstract":"Caveolae have been implicated in the transcytosis of macromolecules across endothelial cells and in the receptor-mediated uptake of 5-methyltetrahydrofolate. Structural studies indicate that caveolae are decorated on their cytoplasmic surface by a unique array of filaments or strands that form striated coatings. To understand how these nonclathrin-coated pits function, we performed structural analysis of the striated coat and searched for the molecular component(s) of the coat material. The coat cannot be removed by washing with high salt; however, exposure of membranes to cholesterol-binding drugs caused invaginated caveolae to flatten and the striated coat to disassemble. Antibodies directed against a 22 kd substrate for v-src tyrosine kinase in virus-transformed chick embryo fibroblasts decorated the filaments, suggesting that this molecule is a component of the coat. We have named the molecule caveolin. Caveolae represent a third type of coated membrane specialization that is involved in molecular transport. © 1992.","author":[{"dropping-particle":"","family":"Rothberg","given":"Karen G.","non-dropping-particle":"","parse-names":false,"suffix":""},{"dropping-particle":"","family":"Heuser","given":"John E.","non-dropping-particle":"","parse-names":false,"suffix":""},{"dropping-particle":"","family":"Donzell","given":"William C.","non-dropping-particle":"","parse-names":false,"suffix":""},{"dropping-particle":"","family":"Ying","given":"Yun Shu","non-dropping-particle":"","parse-names":false,"suffix":""},{"dropping-particle":"","family":"Glenney","given":"John R.","non-dropping-particle":"","parse-names":false,"suffix":""},{"dropping-particle":"","family":"Anderson","given":"Richard G.W.","non-dropping-particle":"","parse-names":false,"suffix":""}],"container-title":"Cell","id":"ITEM-2","issue":"4","issued":{"date-parts":[["1992"]]},"page":"673-682","title":"Caveolin, a protein component of caveolae membrane coats","type":"article-journal","volume":"68"},"uris":["http://www.mendeley.com/documents/?uuid=1b728117-388b-4ba1-9f85-c5088400f34c"]},{"id":"ITEM-3","itemData":{"DOI":"10.1016/j.bbrc.2008.09.077","ISSN":"0006291X","abstract":"Successful drug delivery by functionalized nanocarriers largely depends on their efficient intracellular transport which has not yet been fully understood. We developed a new tracking technique by encapsulating quantum dots into the core of wheat germ agglutinin-conjugated nanoparticles (WGA-NP) to track cellular transport of functionalized nanocarriers. The resulting nanoparticles showed no changes in particle size, zeta potential or biobinding activity, and the loaded probe presented excellent photostability and tracking ability. Taking advantage of these properties, cellular transport profiles of WGA-NP in Caco-2 cells was demonstrated. The cellular uptake begins with binding of WGA to its receptor at the cell surface. The subsequent endocytosis happened in a cytoskeleton-dependent manner and by means of clathrin and caveolae-mediated mechanisms. After endosome creating, transport occurs to both trans-Golgi and lysosome. Our study provides new evidences for quantum dots as a cellular tracking probe of nanocarriers and helps understand intracellular transport profile of lectin-functionalized nanoparticles. © 2008 Elsevier Inc. All rights reserved.","author":[{"dropping-particle":"","family":"Gao","given":"Xiaoling","non-dropping-particle":"","parse-names":false,"suffix":""},{"dropping-particle":"","family":"Wang","given":"Tao","non-dropping-particle":"","parse-names":false,"suffix":""},{"dropping-particle":"","family":"Wu","given":"Bingxian","non-dropping-particle":"","parse-names":false,"suffix":""},{"dropping-particle":"","family":"Chen","given":"Jun","non-dropping-particle":"","parse-names":false,"suffix":""},{"dropping-particle":"","family":"Chen","given":"Jiyao","non-dropping-particle":"","parse-names":false,"suffix":""},{"dropping-particle":"","family":"Yue","given":"Yang","non-dropping-particle":"","parse-names":false,"suffix":""},{"dropping-particle":"","family":"Dai","given":"Ning","non-dropping-particle":"","parse-names":false,"suffix":""},{"dropping-particle":"","family":"Chen","given":"Hongzhuan","non-dropping-particle":"","parse-names":false,"suffix":""},{"dropping-particle":"","family":"Jiang","given":"Xinguo","non-dropping-particle":"","parse-names":false,"suffix":""}],"container-title":"Biochemical and Biophysical Research Communications","id":"ITEM-3","issue":"1","issued":{"date-parts":[["2008"]]},"page":"35-40","publisher":"Elsevier Inc.","title":"Quantum dots for tracking cellular transport of lectin-functionalized nanoparticles","type":"article-journal","volume":"377"},"uris":["http://www.mendeley.com/documents/?uuid=ce4c3ca2-c061-4ef0-9e1a-6e8dc30e53e8"]},{"id":"ITEM-4","itemData":{"DOI":"10.1242/jcs.201731","ISSN":"0021-9533","PMID":"28655854","abstract":"Ordered lipid domains (rafts) in plasma membranes have been hypothesized to participate in endocytosis based on inhibition of endocytosis by removal or sequestration of cholesterol. To more carefully investigate the role of the sterol in endocytosis, we used a substitution strategy to replace cholesterol with sterols that showvarious raft-forming abilities and chemical structures. Both clathrin-mediated endocytosis of transferrin and clathrin-independent endocytosis of clustered placental alkaline phosphatase were measured. A subset of sterols reversibly inhibited both clathrin-dependent and clathrinindependent endocytosis. The ability of a sterol to support lipid raft formationwas necessary forendocytosis.However, itwas not sufficient, because a sterol lacking a 3β-OH group did not support endocytosis even though it had the ability to support ordered domain formation. Double bonds in the sterol rings and an aliphatic tail structure identical to that of cholesterol were neither necessary nor sufficient to support endocytosis. This study shows that substitution using a large number of sterols can define the role of sterol structure in cellular functions. Hypotheses for how sterol structure can similarly alter clathrindependent and clathrin-independent endocytosis are discussed.","author":[{"dropping-particle":"","family":"Kim","given":"Ji Hyun","non-dropping-particle":"","parse-names":false,"suffix":""},{"dropping-particle":"","family":"Singh","given":"Ashutosh","non-dropping-particle":"","parse-names":false,"suffix":""},{"dropping-particle":"","family":"Poeta","given":"Maurizio","non-dropping-particle":"Del","parse-names":false,"suffix":""},{"dropping-particle":"","family":"Brown","given":"Deborah A","non-dropping-particle":"","parse-names":false,"suffix":""},{"dropping-particle":"","family":"London","given":"Erwin","non-dropping-particle":"","parse-names":false,"suffix":""}],"container-title":"Journal of Cell Science","id":"ITEM-4","issue":"16","issued":{"date-parts":[["2017","8","15"]]},"page":"2682-2695","title":"The effect of sterol structure upon clathrin-mediated and clathrin-independent endocytosis","type":"article-journal","volume":"130"},"uris":["http://www.mendeley.com/documents/?uuid=a88f3a64-1fd3-4e6a-80aa-2d722277e0c6"]}],"mendeley":{"formattedCitation":"&lt;sup&gt;98,182,192,193&lt;/sup&gt;","plainTextFormattedCitation":"98,182,192,193","previouslyFormattedCitation":"&lt;sup&gt;98,182,192,193&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98,182,192,193</w:t>
            </w:r>
            <w:r w:rsidRPr="00403195">
              <w:rPr>
                <w:rFonts w:ascii="Arial" w:eastAsia="Times New Roman" w:hAnsi="Arial" w:cs="Arial"/>
                <w:sz w:val="20"/>
                <w:szCs w:val="20"/>
              </w:rPr>
              <w:fldChar w:fldCharType="end"/>
            </w:r>
          </w:p>
          <w:p w14:paraId="5977CAB0" w14:textId="77777777" w:rsidR="00403195" w:rsidRPr="00403195" w:rsidRDefault="00403195">
            <w:pPr>
              <w:rPr>
                <w:rFonts w:ascii="Arial" w:eastAsia="Times New Roman" w:hAnsi="Arial" w:cs="Arial"/>
                <w:sz w:val="20"/>
                <w:szCs w:val="20"/>
              </w:rPr>
            </w:pPr>
          </w:p>
          <w:p w14:paraId="63A7A836" w14:textId="77777777" w:rsidR="00403195" w:rsidRPr="00403195" w:rsidRDefault="00403195">
            <w:pPr>
              <w:rPr>
                <w:rFonts w:ascii="Arial" w:eastAsia="Times New Roman" w:hAnsi="Arial" w:cs="Arial"/>
                <w:sz w:val="20"/>
                <w:szCs w:val="20"/>
              </w:rPr>
            </w:pPr>
          </w:p>
        </w:tc>
      </w:tr>
      <w:tr w:rsidR="00403195" w:rsidRPr="00403195" w14:paraId="45B140A1"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09170F8"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Nystatin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6A7C02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C833491"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Removes cholesterol from the plasma membrane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10847273"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-80% inhibition of BODIPY-</w:t>
            </w:r>
            <w:proofErr w:type="spellStart"/>
            <w:r w:rsidRPr="00403195">
              <w:rPr>
                <w:rStyle w:val="normaltextrun"/>
                <w:rFonts w:ascii="Arial" w:hAnsi="Arial" w:cs="Arial"/>
                <w:sz w:val="20"/>
                <w:szCs w:val="20"/>
              </w:rPr>
              <w:t>LacCer</w:t>
            </w:r>
            <w:proofErr w:type="spellEnd"/>
            <w:r w:rsidRPr="00403195">
              <w:rPr>
                <w:rStyle w:val="normaltextrun"/>
                <w:rFonts w:ascii="Arial" w:hAnsi="Arial" w:cs="Arial"/>
                <w:sz w:val="20"/>
                <w:szCs w:val="20"/>
              </w:rPr>
              <w:t> in rat fibroblasts</w:t>
            </w:r>
            <w:r w:rsidRPr="00403195">
              <w:rPr>
                <w:rStyle w:val="eop"/>
                <w:rFonts w:ascii="Arial" w:eastAsia="MS Mincho" w:hAnsi="Arial" w:cs="Arial"/>
                <w:sz w:val="20"/>
                <w:szCs w:val="20"/>
              </w:rPr>
              <w:t> </w:t>
            </w:r>
          </w:p>
          <w:p w14:paraId="44275C1A"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-No significant inhibition of PEG-PHDCA NPs in rat brain endothelial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35051F5F"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Sterols and sphingolipids likely play a role in clathrin mediated endocytosis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9155C2" w14:textId="39916F41"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{"citationItems":[{"id":"ITEM-1","itemData":{"DOI":"10.1016/0092-8674(92)90143-Z","ISSN":"00928674","PMID":"1739974","abstract":"Caveolae have been implicated in the transcytosis of macromolecules across endothelial cells and in the receptor-mediated uptake of 5-methyltetrahydrofolate. Structural studies indicate that caveolae are decorated on their cytoplasmic surface by a unique array of filaments or strands that form striated coatings. To understand how these nonclathrin-coated pits function, we performed structural analysis of the striated coat and searched for the molecular component(s) of the coat material. The coat cannot be removed by washing with high salt; however, exposure of membranes to cholesterol-binding drugs caused invaginated caveolae to flatten and the striated coat to disassemble. Antibodies directed against a 22 kd substrate for v-src tyrosine kinase in virus-transformed chick embryo fibroblasts decorated the filaments, suggesting that this molecule is a component of the coat. We have named the molecule caveolin. Caveolae represent a third type of coated membrane specialization that is involved in molecular transport. © 1992.","author":[{"dropping-particle":"","family":"Rothberg","given":"Karen G.","non-dropping-particle":"","parse-names":false,"suffix":""},{"dropping-particle":"","family":"Heuser","given":"John E.","non-dropping-particle":"","parse-names":false,"suffix":""},{"dropping-particle":"","family":"Donzell","given":"William C.","non-dropping-particle":"","parse-names":false,"suffix":""},{"dropping-particle":"","family":"Ying","given":"Yun Shu","non-dropping-particle":"","parse-names":false,"suffix":""},{"dropping-particle":"","family":"Glenney","given":"John R.","non-dropping-particle":"","parse-names":false,"suffix":""},{"dropping-particle":"","family":"Anderson","given":"Richard G.W.","non-dropping-particle":"","parse-names":false,"suffix":""}],"container-title":"Cell","id":"ITEM-1","issue":"4","issued":{"date-parts":[["1992"]]},"page":"673-682","title":"Caveolin, a protein component of caveolae membrane coats","type":"article-journal","volume":"68"},"uris":["http://www.mendeley.com/documents/?uuid=1b728117-388b-4ba1-9f85-c5088400f34c"]},{"id":"ITEM-2","itemData":{"DOI":"10.1074/jbc.M110.145888","ISSN":"00219258","abstract":"SR-A (class A macrophage scavenger receptor) is a transmembrane receptor that can bind many different ligands, including modified lipoproteins that are relevant to the development of vascular diseases. However, the precise endocytic pathways of SR-A/mediated ligands internalization are not fully characterized. In this study, we show that the SR-A/ligand complex can be endocytosed by both clathrin- and caveolae-dependent pathways. Internalizations of SR-A-lipoprotein (such as acLDL) complexes primarily go through clathrin-dependent endocytosis. In contrast, macrophage apoptosis triggered by SR-A-fucoidan internalization requires caveolae-dependent endocytosis. The caveolae-dependent process activates p38 kinase and JNK signaling, whereas the clathrin-mediated endocytosis elicits ERK signaling. Our results suggest that different SR-A endocytic pathways have distinct functional consequences due to the activation of different signaling cascades in macrophages. © 2011 by The American Society for Biochemistry and Molecular Biology, Inc.","author":[{"dropping-particle":"","family":"Zhu","given":"Xu-Dong","non-dropping-particle":"","parse-names":false,"suffix":""},{"dropping-particle":"","family":"Zhuang","given":"Yan","non-dropping-particle":"","parse-names":false,"suffix":""},{"dropping-particle":"","family":"Ben","given":"Jing-Jing","non-dropping-particle":"","parse-names":false,"suffix":""},{"dropping-particle":"","family":"Qian","given":"Ling-Ling","non-dropping-particle":"","parse-names":false,"suffix":""},{"dropping-particle":"","family":"Huang","given":"Han-Peng","non-dropping-particle":"","parse-names":false,"suffix":""},{"dropping-particle":"","family":"Bai","given":"Hui","non-dropping-particle":"","parse-names":false,"suffix":""},{"dropping-particle":"","family":"Sha","given":"Jia-Hao","non-dropping-particle":"","parse-names":false,"suffix":""},{"dropping-particle":"","family":"He","given":"Zhi-Gang","non-dropping-particle":"","parse-names":false,"suffix":""},{"dropping-particle":"","family":"Chen","given":"Qi","non-dropping-particle":"","parse-names":false,"suffix":""}],"container-title":"Journal of Biological Chemistry","id":"ITEM-2","issue":"10","issued":{"date-parts":[["2011","3"]]},"page":"8231-8239","title":"Caveolae-dependent Endocytosis Is Required for Class A Macrophage Scavenger Receptor-mediated Apoptosis in Macrophages","type":"article-journal","volume":"286"},"uris":["http://www.mendeley.com/documents/?uuid=1516cc8a-e495-4397-8141-5f8297e7c691"]},{"id":"ITEM-3","itemData":{"DOI":"10.1091/mbc.e02-12-0809","ISSN":"1059-1524","abstract":"We studied the endocytosis of fluorescent glycosphingolipid (GSL) analogs in various cell types using pathway-specific inhibitors and colocalization studies with endocytic markers and DsRed caveolin-1 (cav-1). Based on inhibitor studies, all GSLs tested were internalized predominantly (&gt;80%) by a clathrin-independent, caveolar-related mechanism, regardless of cell type. In addition, fluorescent lactosylceramide (LacCer) colocalized with DsRed-cav-1 in vesicular structures upon endocytosis in rat fibroblasts. The internalization mechanism for GSLs was unaffected by varying the carbohydrate headgroup or sphingosine backbone chain length; however, a fluorescent phosphatidylcholine analog was not internalized via caveolae, suggesting that the GSL ceramide core may be important for caveolar uptake. Internalization of fluorescent LacCer was reduced 80–90% in cell types with low cav-1, but was dramatically stimulated by cav-1 overexpression. However, even in cells with low levels of cav-1, residual LacCer internalization was clathrin independent. In contrast, cholera toxin B subunit (CtxB), which binds endogenous GM 1 , was internalized via clathrin-independent endocytosis in cells with high cav-1 expression, whereas significant clathrin-dependent uptake occurred in cells with low cav-1. Fluorescent GM 1 , normally internalized by clathrin-independent endocytosis in HeLa cells with low cav-1, was induced to partially internalize via the clathrin pathway in the presence of CtxB. These results suggest that GSL analogs are selectively internalized via a caveolar-related mechanism in most cell types, whereas CtxB may undergo “pathway switching” when cav-1 levels are low.","author":[{"dropping-particle":"","family":"Singh","given":"Raman Deep","non-dropping-particle":"","parse-names":false,"suffix":""},{"dropping-particle":"","family":"Puri","given":"Vishwajeet","non-dropping-particle":"","parse-names":false,"suffix":""},{"dropping-particle":"","family":"Valiyaveettil","given":"Jacob T.","non-dropping-particle":"","parse-names":false,"suffix":""},{"dropping-particle":"","family":"Marks","given":"David L.","non-dropping-particle":"","parse-names":false,"suffix":""},{"dropping-particle":"","family":"Bittman","given":"Robert","non-dropping-particle":"","parse-names":false,"suffix":""},{"dropping-particle":"","family":"Pagano","given":"Richard E.","non-dropping-particle":"","parse-names":false,"suffix":""}],"container-title":"Molecular Biology of the Cell","id":"ITEM-3","issue":"8","issued":{"date-parts":[["2003","8"]]},"page":"3254-3265","title":"Selective Caveolin-1–dependent Endocytosis of Glycosphingolipids","type":"article-journal","volume":"14"},"uris":["http://www.mendeley.com/documents/?uuid=84d1d57f-6858-4183-a502-ff39df34950f"]},{"id":"ITEM-4","itemData":{"DOI":"10.1083/jcb.200102084","ISSN":"00219525","abstract":"Sphingolipids (SLs) are plasma membrane constituents in eukaryotic cells which play important roles in a wide variety of cellular functions. However, little is known about the mechanisms of their internalization from the plasma membrane or subsequent intracellular targeting. We have begun to study these issues in human skin fibroblasts using fluorescent SL analogues. Using selective endocytic inhibitors and dominant negative constructs of dynamin and epidermal growth factor receptor pathway substrate clone 15, we found that analogues of lactosylceramide and globoside were internalized almost exclusively by a clathrin-independent (\"caveolar-like\") mechanism, whereas an analogue of sphingomyelin was taken up approximately equally by clathrin-dependent and -independent pathways. We also showed that the Golgi targeting of SL analogues internalized via the caveolar-like pathway was selectively perturbed by elevated intracellular cholesterol, demonstrating the existence of two discrete Golgi targeting pathways. Studies using SL-binding toxins internalized via clathrin-dependent or -independent mechanisms confirmed that endogenous SLs follow the same two pathways. These findings (a) provide a direct demonstration of differential SLs sorting into early endosomes in living cells, (b) provide a \"vital marker\" for endosomes derived from caveolar-like endocytosis, and (c) identify two independent pathways for lipid transport from the plasma membrane to the Golgi apparatus in human skin fibroblasts.","author":[{"dropping-particle":"","family":"Puri","given":"Vishwajeet","non-dropping-particle":"","parse-names":false,"suffix":""},{"dropping-particle":"","family":"Watanabe","given":"Rikio","non-dropping-particle":"","parse-names":false,"suffix":""},{"dropping-particle":"","family":"Singh","given":"Raman Deep","non-dropping-particle":"","parse-names":false,"suffix":""},{"dropping-particle":"","family":"Dominguez","given":"Michel","non-dropping-particle":"","parse-names":false,"suffix":""},{"dropping-particle":"","family":"Brown","given":"Jennifer C.","non-dropping-particle":"","parse-names":false,"suffix":""},{"dropping-particle":"","family":"Wheatley","given":"Christine L.","non-dropping-particle":"","parse-names":false,"suffix":""},{"dropping-particle":"","family":"Marks","given":"David L.","non-dropping-particle":"","parse-names":false,"suffix":""},{"dropping-particle":"","family":"Pagano","given":"Richard E.","non-dropping-particle":"","parse-names":false,"suffix":""}],"container-title":"Journal of Cell Biology","id":"ITEM-4","issue":"3","issued":{"date-parts":[["2001"]]},"page":"535-547","title":"Clathrin-dependent and -independent internalization of plasma membrane sphingolipids initiates two Golgi targeting pathways","type":"article-journal","volume":"154"},"uris":["http://www.mendeley.com/documents/?uuid=185cc61e-159a-4863-a0a4-1749a416f492"]},{"id":"ITEM-5","itemData":{"DOI":"10.1007/s00018-007-6390-x","ISSN":"1420682X","abstract":"Poly(methoxypolyethyleneglycol cyanoacrylate-co-hexadecylcyanoacrylate) (PEG-PHDCA) nanoparticles have demonstrated their capacity to diffuse through the blood-brain barrier after intravenous administration. However, the mechanism of transport of these nanoparticles into brain has not yet been clearly elucidated. The development of a model of rat brain endothelial cells (RBEC) in culture has allowed investigations into this mechanism. A study of the intracellular trafficking of nanoparticles by cell fractionation and confocal microscopy showed that nanoparticles are internalized by the endocytic pathway. Inhibition of the caveolae-mediated pathway by preincubation with filipin and nystatin did not modify the cellular uptake of the nanoparticles. In contrast, chlorpromazine and NaN3 pretreatment, which interferes with clathrin and energy-dependent endocytosis, caused a significant decrease of nanoparticle internalization. Furthermore, cellular uptake experiments with nanoparticles preincubated with apolipoprotein E and blocking of low-density lipoprotein receptors (LDLR) clearly suggested that the LDLR-mediated pathway was involved in the endocytosis of PEGPHDCA nanoparticles by RBEC. © 2007 Birkhäuser Verlag.","author":[{"dropping-particle":"","family":"Kim","given":"H. Ryoung","non-dropping-particle":"","parse-names":false,"suffix":""},{"dropping-particle":"","family":"Gil","given":"S.","non-dropping-particle":"","parse-names":false,"suffix":""},{"dropping-particle":"","family":"Andrieux","given":"K.","non-dropping-particle":"","parse-names":false,"suffix":""},{"dropping-particle":"","family":"Nicolas","given":"V.","non-dropping-particle":"","parse-names":false,"suffix":""},{"dropping-particle":"","family":"Appel","given":"M.","non-dropping-particle":"","parse-names":false,"suffix":""},{"dropping-particle":"","family":"Chacun","given":"H.","non-dropping-particle":"","parse-names":false,"suffix":""},{"dropping-particle":"","family":"Desmaële","given":"D.","non-dropping-particle":"","parse-names":false,"suffix":""},{"dropping-particle":"","family":"Taran","given":"F.","non-dropping-particle":"","parse-names":false,"suffix":""},{"dropping-particle":"","family":"Georgin","given":"D.","non-dropping-particle":"","parse-names":false,"suffix":""},{"dropping-particle":"","family":"Couvreur","given":"P.","non-dropping-particle":"","parse-names":false,"suffix":""}],"container-title":"Cellular and Molecular Life Sciences","id":"ITEM-5","issue":"3","issued":{"date-parts":[["2007"]]},"page":"356-364","title":"Low-density lipoprotein receptor-mediated endocytosis of PEGylated nanoparticles in rat brain endothelial cells","type":"article-journal","volume":"64"},"uris":["http://www.mendeley.com/documents/?uuid=b0ea34eb-3085-4127-8d02-c2a083efbd29"]},{"id":"ITEM-6","itemData":{"DOI":"10.1242/jcs.201731","ISSN":"0021-9533","PMID":"28655854","abstract":"Ordered lipid domains (rafts) in plasma membranes have been hypothesized to participate in endocytosis based on inhibition of endocytosis by removal or sequestration of cholesterol. To more carefully investigate the role of the sterol in endocytosis, we used a substitution strategy to replace cholesterol with sterols that showvarious raft-forming abilities and chemical structures. Both clathrin-mediated endocytosis of transferrin and clathrin-independent endocytosis of clustered placental alkaline phosphatase were measured. A subset of sterols reversibly inhibited both clathrin-dependent and clathrinindependent endocytosis. The ability of a sterol to support lipid raft formationwas necessary forendocytosis.However, itwas not sufficient, because a sterol lacking a 3β-OH group did not support endocytosis even though it had the ability to support ordered domain formation. Double bonds in the sterol rings and an aliphatic tail structure identical to that of cholesterol were neither necessary nor sufficient to support endocytosis. This study shows that substitution using a large number of sterols can define the role of sterol structure in cellular functions. Hypotheses for how sterol structure can similarly alter clathrindependent and clathrin-independent endocytosis are discussed.","author":[{"dropping-particle":"","family":"Kim","given":"Ji Hyun","non-dropping-particle":"","parse-names":false,"suffix":""},{"dropping-particle":"","family":"Singh","given":"Ashutosh","non-dropping-particle":"","parse-names":false,"suffix":""},{"dropping-particle":"","family":"Poeta","given":"Maurizio","non-dropping-particle":"Del","parse-names":false,"suffix":""},{"dropping-particle":"","family":"Brown","given":"Deborah A","non-dropping-particle":"","parse-names":false,"suffix":""},{"dropping-particle":"","family":"London","given":"Erwin","non-dropping-particle":"","parse-names":false,"suffix":""}],"container-title":"Journal of Cell Science","id":"ITEM-6","issue":"16","issued":{"date-parts":[["2017","8","15"]]},"page":"2682-2695","title":"The effect of sterol structure upon clathrin-mediated and clathrin-independent endocytosis","type":"article-journal","volume":"130"},"uris":["http://www.mendeley.com/documents/?uuid=a88f3a64-1fd3-4e6a-80aa-2d722277e0c6"]}],"mendeley":{"formattedCitation":"&lt;sup&gt;177,192–196&lt;/sup&gt;","plainTextFormattedCitation":"177,192–196","previouslyFormattedCitation":"&lt;sup&gt;177,192–196&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177,192–196</w:t>
            </w:r>
            <w:r w:rsidRPr="00403195">
              <w:rPr>
                <w:rFonts w:ascii="Arial" w:eastAsia="Times New Roman" w:hAnsi="Arial" w:cs="Arial"/>
                <w:sz w:val="20"/>
                <w:szCs w:val="20"/>
              </w:rPr>
              <w:fldChar w:fldCharType="end"/>
            </w:r>
          </w:p>
          <w:p w14:paraId="0293A994" w14:textId="77777777" w:rsidR="00403195" w:rsidRPr="00403195" w:rsidRDefault="00403195">
            <w:pPr>
              <w:rPr>
                <w:rFonts w:ascii="Arial" w:eastAsia="Times New Roman" w:hAnsi="Arial" w:cs="Arial"/>
                <w:sz w:val="20"/>
                <w:szCs w:val="20"/>
              </w:rPr>
            </w:pPr>
          </w:p>
          <w:p w14:paraId="75DD4BC8" w14:textId="77777777" w:rsidR="00403195" w:rsidRPr="00403195" w:rsidRDefault="00403195">
            <w:pPr>
              <w:rPr>
                <w:rFonts w:ascii="Arial" w:eastAsia="Times New Roman" w:hAnsi="Arial" w:cs="Arial"/>
                <w:sz w:val="20"/>
                <w:szCs w:val="20"/>
              </w:rPr>
            </w:pPr>
          </w:p>
        </w:tc>
      </w:tr>
      <w:tr w:rsidR="00403195" w:rsidRPr="00403195" w14:paraId="4D03A8E6"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C092C8B"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lastRenderedPageBreak/>
              <w:t>Genistein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6FE91FC"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F3340F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Tyrosine kinase inhibitor, and also inhibits the recruitment of dynamin II.</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5C4F59EE"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-80% inhibition of BODIPY-</w:t>
            </w:r>
            <w:proofErr w:type="spellStart"/>
            <w:r w:rsidRPr="00403195">
              <w:rPr>
                <w:rStyle w:val="normaltextrun"/>
                <w:rFonts w:ascii="Arial" w:hAnsi="Arial" w:cs="Arial"/>
                <w:sz w:val="20"/>
                <w:szCs w:val="20"/>
              </w:rPr>
              <w:t>LacCer</w:t>
            </w:r>
            <w:proofErr w:type="spellEnd"/>
            <w:r w:rsidRPr="00403195">
              <w:rPr>
                <w:rStyle w:val="normaltextrun"/>
                <w:rFonts w:ascii="Arial" w:hAnsi="Arial" w:cs="Arial"/>
                <w:sz w:val="20"/>
                <w:szCs w:val="20"/>
              </w:rPr>
              <w:t> in rat fibroblasts</w:t>
            </w:r>
            <w:r w:rsidRPr="00403195">
              <w:rPr>
                <w:rStyle w:val="eop"/>
                <w:rFonts w:ascii="Arial" w:eastAsia="MS Mincho" w:hAnsi="Arial" w:cs="Arial"/>
                <w:sz w:val="20"/>
                <w:szCs w:val="20"/>
              </w:rPr>
              <w:t> </w:t>
            </w:r>
          </w:p>
          <w:p w14:paraId="6B39ED61"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-15% inhibition of heparosan based micelles in B16 cells</w:t>
            </w:r>
            <w:r w:rsidRPr="00403195">
              <w:rPr>
                <w:rStyle w:val="eop"/>
                <w:rFonts w:ascii="Arial" w:eastAsia="MS Mincho" w:hAnsi="Arial" w:cs="Arial"/>
                <w:sz w:val="20"/>
                <w:szCs w:val="20"/>
              </w:rPr>
              <w:t> </w:t>
            </w:r>
          </w:p>
          <w:p w14:paraId="28548DF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-No significant inhibition of heparosan based micelles in A549 or MGC80-3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4ED7DE2E"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can also inhibit clathrin mediated endocytosis and clathrin and caveolae independent endocytosis pathways that are dependent on tyrosine kinase phosphorylation or dynamin II</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735830" w14:textId="0DA3CE1A"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{"citationItems":[{"id":"ITEM-1","itemData":{"DOI":"10.1038/mt.2009.281","ISSN":"15250016","abstract":"Nonviral gene complexes can enter mammalian cells through different endocytic pathways. For efficient optimization of the gene carrier it is important to profile its cellular uptake, because this largely determines its intracellular processing and subsequent transfection efficiency. Most of the current information on uptake of these gene-delivery vehicles is based on data following the use of chemical inhibitors of endocytic pathways. Here, we have performed a detailed characterization of four commonly used endocytosis inhibitors chlorpromazine, genistein, methyl-Β-cyclodextrin (MΒCD), and potassium depletion on cell viability and endocytosis in five well-described cell lines. We found that chlorpromazine and to a lesser extent MΒCD significantly decreased cell viability of some cell lines even after short incubation periods and at concentrations that are routinely used to inhibit endocytosis. Through analyzing the uptake and subcellular distribution of two fluorescent endocytic probes transferrin and lactosylceramide (LacCer) that are reported to enter cells via clathrin-dependent (CDE) and clathrin-independent (CIE) mechanisms, respectively, we showed poor specificity of these agents for inhibiting distinct endocytic pathways. Finally, we demonstrate that any inhibitory effects are highly cell line dependent. Overall, the data question the significance of performing endocytosis studies with these agents in the absence of very stringent controls. © The American Society of Gene  &amp;  Cell Therapy.","author":[{"dropping-particle":"","family":"Vercauteren","given":"Dries","non-dropping-particle":"","parse-names":false,"suffix":""},{"dropping-particle":"","family":"Vandenbroucke","given":"Roosmarijn E.","non-dropping-particle":"","parse-names":false,"suffix":""},{"dropping-particle":"","family":"Jones","given":"Arwyn T.","non-dropping-particle":"","parse-names":false,"suffix":""},{"dropping-particle":"","family":"Rejman","given":"Joanna","non-dropping-particle":"","parse-names":false,"suffix":""},{"dropping-particle":"","family":"Demeester","given":"Joseph","non-dropping-particle":"","parse-names":false,"suffix":""},{"dropping-particle":"","family":"Smedt","given":"Stefaan C.","non-dropping-particle":"De","parse-names":false,"suffix":""},{"dropping-particle":"","family":"Sanders","given":"Niek N.","non-dropping-particle":"","parse-names":false,"suffix":""},{"dropping-particle":"","family":"Braeckmans","given":"Kevin","non-dropping-particle":"","parse-names":false,"suffix":""}],"container-title":"Molecular Therapy","id":"ITEM-1","issue":"3","issued":{"date-parts":[["2010"]]},"page":"561-569","publisher":"Nature Publishing Group","title":"The use of inhibitors to study endocytic pathways of gene carriers: Optimization and pitfalls","type":"article-journal","volume":"18"},"uris":["http://www.mendeley.com/documents/?uuid=16eed04f-c93a-4957-bab5-0c1b477c3a70"]},{"id":"ITEM-2","itemData":{"DOI":"10.1091/mbc.e02-12-0809","ISSN":"1059-1524","abstract":"We studied the endocytosis of fluorescent glycosphingolipid (GSL) analogs in various cell types using pathway-specific inhibitors and colocalization studies with endocytic markers and DsRed caveolin-1 (cav-1). Based on inhibitor studies, all GSLs tested were internalized predominantly (&gt;80%) by a clathrin-independent, caveolar-related mechanism, regardless of cell type. In addition, fluorescent lactosylceramide (LacCer) colocalized with DsRed-cav-1 in vesicular structures upon endocytosis in rat fibroblasts. The internalization mechanism for GSLs was unaffected by varying the carbohydrate headgroup or sphingosine backbone chain length; however, a fluorescent phosphatidylcholine analog was not internalized via caveolae, suggesting that the GSL ceramide core may be important for caveolar uptake. Internalization of fluorescent LacCer was reduced 80–90% in cell types with low cav-1, but was dramatically stimulated by cav-1 overexpression. However, even in cells with low levels of cav-1, residual LacCer internalization was clathrin independent. In contrast, cholera toxin B subunit (CtxB), which binds endogenous GM 1 , was internalized via clathrin-independent endocytosis in cells with high cav-1 expression, whereas significant clathrin-dependent uptake occurred in cells with low cav-1. Fluorescent GM 1 , normally internalized by clathrin-independent endocytosis in HeLa cells with low cav-1, was induced to partially internalize via the clathrin pathway in the presence of CtxB. These results suggest that GSL analogs are selectively internalized via a caveolar-related mechanism in most cell types, whereas CtxB may undergo “pathway switching” when cav-1 levels are low.","author":[{"dropping-particle":"","family":"Singh","given":"Raman Deep","non-dropping-particle":"","parse-names":false,"suffix":""},{"dropping-particle":"","family":"Puri","given":"Vishwajeet","non-dropping-particle":"","parse-names":false,"suffix":""},{"dropping-particle":"","family":"Valiyaveettil","given":"Jacob T.","non-dropping-particle":"","parse-names":false,"suffix":""},{"dropping-particle":"","family":"Marks","given":"David L.","non-dropping-particle":"","parse-names":false,"suffix":""},{"dropping-particle":"","family":"Bittman","given":"Robert","non-dropping-particle":"","parse-names":false,"suffix":""},{"dropping-particle":"","family":"Pagano","given":"Richard E.","non-dropping-particle":"","parse-names":false,"suffix":""}],"container-title":"Molecular Biology of the Cell","id":"ITEM-2","issue":"8","issued":{"date-parts":[["2003","8"]]},"page":"3254-3265","title":"Selective Caveolin-1–dependent Endocytosis of Glycosphingolipids","type":"article-journal","volume":"14"},"uris":["http://www.mendeley.com/documents/?uuid=84d1d57f-6858-4183-a502-ff39df34950f"]},{"id":"ITEM-3","itemData":{"DOI":"10.1083/jcb.200102084","ISSN":"00219525","abstract":"Sphingolipids (SLs) are plasma membrane constituents in eukaryotic cells which play important roles in a wide variety of cellular functions. However, little is known about the mechanisms of their internalization from the plasma membrane or subsequent intracellular targeting. We have begun to study these issues in human skin fibroblasts using fluorescent SL analogues. Using selective endocytic inhibitors and dominant negative constructs of dynamin and epidermal growth factor receptor pathway substrate clone 15, we found that analogues of lactosylceramide and globoside were internalized almost exclusively by a clathrin-independent (\"caveolar-like\") mechanism, whereas an analogue of sphingomyelin was taken up approximately equally by clathrin-dependent and -independent pathways. We also showed that the Golgi targeting of SL analogues internalized via the caveolar-like pathway was selectively perturbed by elevated intracellular cholesterol, demonstrating the existence of two discrete Golgi targeting pathways. Studies using SL-binding toxins internalized via clathrin-dependent or -independent mechanisms confirmed that endogenous SLs follow the same two pathways. These findings (a) provide a direct demonstration of differential SLs sorting into early endosomes in living cells, (b) provide a \"vital marker\" for endosomes derived from caveolar-like endocytosis, and (c) identify two independent pathways for lipid transport from the plasma membrane to the Golgi apparatus in human skin fibroblasts.","author":[{"dropping-particle":"","family":"Puri","given":"Vishwajeet","non-dropping-particle":"","parse-names":false,"suffix":""},{"dropping-particle":"","family":"Watanabe","given":"Rikio","non-dropping-particle":"","parse-names":false,"suffix":""},{"dropping-particle":"","family":"Singh","given":"Raman Deep","non-dropping-particle":"","parse-names":false,"suffix":""},{"dropping-particle":"","family":"Dominguez","given":"Michel","non-dropping-particle":"","parse-names":false,"suffix":""},{"dropping-particle":"","family":"Brown","given":"Jennifer C.","non-dropping-particle":"","parse-names":false,"suffix":""},{"dropping-particle":"","family":"Wheatley","given":"Christine L.","non-dropping-particle":"","parse-names":false,"suffix":""},{"dropping-particle":"","family":"Marks","given":"David L.","non-dropping-particle":"","parse-names":false,"suffix":""},{"dropping-particle":"","family":"Pagano","given":"Richard E.","non-dropping-particle":"","parse-names":false,"suffix":""}],"container-title":"Journal of Cell Biology","id":"ITEM-3","issue":"3","issued":{"date-parts":[["2001"]]},"page":"535-547","title":"Clathrin-dependent and -independent internalization of plasma membrane sphingolipids initiates two Golgi targeting pathways","type":"article-journal","volume":"154"},"uris":["http://www.mendeley.com/documents/?uuid=185cc61e-159a-4863-a0a4-1749a416f492"]},{"id":"ITEM-4","itemData":{"DOI":"10.1016/j.ijbiomac.2019.02.133","ISSN":"18790003","abstract":"Heparosan polysaccharide, known as a heparin precursor, can be used in drug delivery systems due to its good biocompatibility and anti-cancer effect. But few studies on the cellular uptake mechanism of heparosan polysaccharide-based nanocarrier have been investigated. Therefore, the intracellular trafficking and the uptake mechanism of heparosan-based micelles by different tumor cells were investigated in this study. Heparosan-cholesterol amphipathic conjugates (KC) were constructed and doxorubicin (DOX) was loaded to prepare DOX/KC micelles. Different cancer cells were selected to find out the influence on DOX/KC uptake. There was an obvious difference in cytotoxicity and cellular uptake of DOX/KC in various cancer cells. Interestingly, DOX/KC micelles exhibited the strongest cytotoxicity against MGC80-3 cells and displayed highly cellular uptake by B16 cells. The results of the uptake mechanism showed that the internalization of DOX/KC micelles into MGC80-3 cells and A549 cells was mainly through clathrin-mediated endocytosis and macropinocytosis, while micropinocytosis, clathrin-mediated endocytosis and clathrin/caveolae -independent multi-pathways all contributed to the uptake of micelles in B16 cells. Furthermore, after being internalized by MGC80-3 cells, DOX/KC could escape from the lysosome and simultaneously be transported into the nucleus and mitochondria resulting in the greatest cytotoxicity. These results indicate that heparosan-based drug delivery systems may have different uptake and subcellular distribution behavior in tumor cells, and they will achieve the maximum efficacy only in specific kind of cancers.","author":[{"dropping-particle":"","family":"Qiu","given":"Lipeng","non-dropping-particle":"","parse-names":false,"suffix":""},{"dropping-particle":"","family":"Shan","given":"Xiaotian","non-dropping-particle":"","parse-names":false,"suffix":""},{"dropping-particle":"","family":"Long","given":"Miaomiao","non-dropping-particle":"","parse-names":false,"suffix":""},{"dropping-particle":"","family":"Ahmed","given":"Kamel S.","non-dropping-particle":"","parse-names":false,"suffix":""},{"dropping-particle":"","family":"Zhao","given":"Li","non-dropping-particle":"","parse-names":false,"suffix":""},{"dropping-particle":"","family":"Mao","given":"Jing","non-dropping-particle":"","parse-names":false,"suffix":""},{"dropping-particle":"","family":"Zhang","given":"Huijie","non-dropping-particle":"","parse-names":false,"suffix":""},{"dropping-particle":"","family":"Sun","given":"Changling","non-dropping-particle":"","parse-names":false,"suffix":""},{"dropping-particle":"","family":"You","given":"Chongzhao","non-dropping-particle":"","parse-names":false,"suffix":""},{"dropping-particle":"","family":"Lv","given":"Guozhong","non-dropping-particle":"","parse-names":false,"suffix":""},{"dropping-particle":"","family":"Chen","given":"Jinghua","non-dropping-particle":"","parse-names":false,"suffix":""}],"container-title":"International Journal of Biological Macromolecules","id":"ITEM-4","issued":{"date-parts":[["2019"]]},"page":"755-764","publisher":"Elsevier B.V.","title":"Elucidation of cellular uptake and intracellular trafficking of heparosan polysaccharide-based micelles in various cancer cells","type":"article-journal","volume":"130"},"uris":["http://www.mendeley.com/documents/?uuid=c1ff7d51-b986-4698-a331-58371d185be3"]},{"id":"ITEM-5","itemData":{"DOI":"10.1007/s00418-018-1678-5","ISBN":"0123456789","ISSN":"0948-6143","PMID":"29774430","abstract":"This article aims at providing an update on the complexity of clathrin-independent endocytosis. It is now almost 30 years since we first wrote a review about its existence; at that time many people believed that with the exception of macropinocytosis, which will only be briefly mentioned in this review, all uptake could be accounted for by clathrin-dependent endocytosis. Now it is generally accepted that there are different clathrin-independent mechanisms, some of them regulated by ligands and membrane lipid composition. They can be both dynamin-dependent and -independent, meaning that the uptake cannot be accounted for by caveolae and other dynamin-dependent processes such as tubular structures that can be induced by toxins, e.g. Shiga toxin, or the fast endophilin mediated endocytosis recently described. Caveolae seem to be mostly quite stable structures with other functions than endocytosis, but evidence suggests that they may have cell-type dependent functions. Although several groups have been working on endocytic mechanisms for years, and new advanced methods have improved our ability to study mechanistic details, there are still a number of important questions we need to address, such as: How many endocytic mechanisms does a cell have? How quantitatively important are they? What about the complexity in polarized cells where clathrin-independent endocytosis is differentially regulated on the apical and basolateral poles? These questions are not easy to answer since one and the same molecule may contribute to more than one process, and manipulating one mechanism can affect another. Also, several inhibitors of endocytic processes commonly used turn out to be less specific than originally thought. We will here describe the current view of clathrin-independent endocytic processes and the challenges in studying them.","author":[{"dropping-particle":"","family":"Sandvig","given":"Kirsten","non-dropping-particle":"","parse-names":false,"suffix":""},{"dropping-particle":"","family":"Kavaliauskiene","given":"Simona","non-dropping-particle":"","parse-names":false,"suffix":""},{"dropping-particle":"","family":"Skotland","given":"Tore","non-dropping-particle":"","parse-names":false,"suffix":""}],"container-title":"Histochemistry and Cell Biology","id":"ITEM-5","issue":"2","issued":{"date-parts":[["2018","8","17"]]},"page":"107-118","publisher":"Springer Berlin Heidelberg","title":"Clathrin-independent endocytosis: an increasing degree of complexity","type":"article-journal","volume":"150"},"uris":["http://www.mendeley.com/documents/?uuid=0a8158f9-c5b9-40c7-8c94-bcf99b038862"]},{"id":"ITEM-6","itemData":{"DOI":"10.4172/2153-0637.S2-003","ISSN":"21530637","abstract":"Sphingolipids (SLs) play important roles in membrane structure and cell function. Here, we examine the SL requirements of various endocytic mechanisms using a mutant cell line and pharmacological inhibitors to disrupt SL biosynthesis. First, we demonstrated that in Chinese hamster ovary cells we could distinguish three distinct mechanisms of clathrin-independent endocytosis (caveolar, RhoA, and Cdc42 dependent) which differed in cargo, sensitivity to pharmacological agents, and dominant negative proteins. General depletion of SLs inhibited endocytosis by each clathrin-independent mechanism, whereas clathrin-dependent uptake was unaffected. Depletion of glycosphingolipids (GSLs; a subgroup of SLs) selectively blocked caveolar endocytosis and decreased caveolin-1 and caveolae at the plasma membrane. Caveolar endocytosis and PM caveolae could be restored in GSL-depleted cells by acute addition of exogenous GSLs. Disruption of RhoA- and Cdc42-regulated endocytosis by SL depletion was shown to be related to decreased targeting of these Rho proteins to the plasma membrane and could be partially restored by exogenous sphingomyelin but not GSLs. Both the in vivo membrane targeting and in vitro binding to artificial lipid vesicles of RhoA and Cdc42 were shown to be dependent upon sphingomyelin. These results provide the first evidence that SLs are differentially required for distinct mechanisms of clathrin-independent endocytosis.","author":[{"dropping-particle":"","family":"Shu","given":"Liming","non-dropping-particle":"","parse-names":false,"suffix":""}],"container-title":"Journal of Glycomics &amp; Lipidomics","id":"ITEM-6","issue":"S1","issued":{"date-parts":[["2012","7"]]},"page":"3197-3210","title":"Glycosphingolipid Mediated Caveolin-1 Oligomerization","type":"article-journal","volume":"01"},"uris":["http://www.mendeley.com/documents/?uuid=023471c3-5b80-47bc-bd57-a5f87d4d36e3"]}],"mendeley":{"formattedCitation":"&lt;sup&gt;97,177,195,197–199&lt;/sup&gt;","plainTextFormattedCitation":"97,177,195,197–199","previouslyFormattedCitation":"&lt;sup&gt;97,177,195,197–199&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97,177,195,197–199</w:t>
            </w:r>
            <w:r w:rsidRPr="00403195">
              <w:rPr>
                <w:rFonts w:ascii="Arial" w:eastAsia="Times New Roman" w:hAnsi="Arial" w:cs="Arial"/>
                <w:sz w:val="20"/>
                <w:szCs w:val="20"/>
              </w:rPr>
              <w:fldChar w:fldCharType="end"/>
            </w:r>
          </w:p>
          <w:p w14:paraId="460AFC3C" w14:textId="77777777"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t> </w:t>
            </w:r>
          </w:p>
          <w:p w14:paraId="2E7B589F" w14:textId="77777777"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t> </w:t>
            </w:r>
          </w:p>
        </w:tc>
      </w:tr>
      <w:tr w:rsidR="00403195" w:rsidRPr="00403195" w14:paraId="6238ED8C"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07350EE" w14:textId="77777777" w:rsidR="00403195" w:rsidRPr="00403195" w:rsidRDefault="00403195">
            <w:pPr>
              <w:rPr>
                <w:rFonts w:ascii="Arial" w:eastAsia="Times New Roman" w:hAnsi="Arial" w:cs="Arial"/>
                <w:sz w:val="20"/>
                <w:szCs w:val="20"/>
              </w:rPr>
            </w:pPr>
            <w:proofErr w:type="spellStart"/>
            <w:r w:rsidRPr="00403195">
              <w:rPr>
                <w:rStyle w:val="normaltextrun"/>
                <w:rFonts w:ascii="Arial" w:hAnsi="Arial" w:cs="Arial"/>
                <w:sz w:val="20"/>
                <w:szCs w:val="20"/>
              </w:rPr>
              <w:t>Fumonisin</w:t>
            </w:r>
            <w:proofErr w:type="spellEnd"/>
            <w:r w:rsidRPr="00403195">
              <w:rPr>
                <w:rStyle w:val="normaltextrun"/>
                <w:rFonts w:ascii="Arial" w:hAnsi="Arial" w:cs="Arial"/>
                <w:sz w:val="20"/>
                <w:szCs w:val="20"/>
              </w:rPr>
              <w:t> B1 (FB1)</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2F477FB"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7AB9087"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Blocks glycosphingolipid formation by inhibiting the acetylation of sphingosine and </w:t>
            </w:r>
            <w:proofErr w:type="spellStart"/>
            <w:proofErr w:type="gramStart"/>
            <w:r w:rsidRPr="00403195">
              <w:rPr>
                <w:rStyle w:val="normaltextrun"/>
                <w:rFonts w:ascii="Arial" w:hAnsi="Arial" w:cs="Arial"/>
                <w:sz w:val="20"/>
                <w:szCs w:val="20"/>
              </w:rPr>
              <w:t>dihydrosphingosine</w:t>
            </w:r>
            <w:proofErr w:type="spellEnd"/>
            <w:r w:rsidRPr="00403195">
              <w:rPr>
                <w:rStyle w:val="normaltextrun"/>
                <w:rFonts w:ascii="Arial" w:hAnsi="Arial" w:cs="Arial"/>
                <w:sz w:val="20"/>
                <w:szCs w:val="20"/>
              </w:rPr>
              <w:t>,.</w:t>
            </w:r>
            <w:proofErr w:type="gramEnd"/>
            <w:r w:rsidRPr="00403195">
              <w:rPr>
                <w:rStyle w:val="normaltextrun"/>
                <w:rFonts w:ascii="Arial" w:hAnsi="Arial" w:cs="Arial"/>
                <w:sz w:val="20"/>
                <w:szCs w:val="20"/>
              </w:rPr>
              <w:t>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0BD47BAB"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-60-80% inhibition of BODIPY-</w:t>
            </w:r>
            <w:proofErr w:type="spellStart"/>
            <w:r w:rsidRPr="00403195">
              <w:rPr>
                <w:rStyle w:val="normaltextrun"/>
                <w:rFonts w:ascii="Arial" w:hAnsi="Arial" w:cs="Arial"/>
                <w:sz w:val="20"/>
                <w:szCs w:val="20"/>
              </w:rPr>
              <w:t>LacCer</w:t>
            </w:r>
            <w:proofErr w:type="spellEnd"/>
            <w:r w:rsidRPr="00403195">
              <w:rPr>
                <w:rStyle w:val="normaltextrun"/>
                <w:rFonts w:ascii="Arial" w:hAnsi="Arial" w:cs="Arial"/>
                <w:sz w:val="20"/>
                <w:szCs w:val="20"/>
              </w:rPr>
              <w:t> in CHO-K1 cells</w:t>
            </w:r>
            <w:r w:rsidRPr="00403195">
              <w:rPr>
                <w:rStyle w:val="eop"/>
                <w:rFonts w:ascii="Arial" w:eastAsia="MS Mincho" w:hAnsi="Arial" w:cs="Arial"/>
                <w:sz w:val="20"/>
                <w:szCs w:val="20"/>
              </w:rPr>
              <w:t> </w:t>
            </w:r>
          </w:p>
          <w:p w14:paraId="7198F375" w14:textId="77777777" w:rsidR="00403195" w:rsidRPr="00403195" w:rsidRDefault="00403195">
            <w:pPr>
              <w:rPr>
                <w:rFonts w:ascii="Arial" w:eastAsia="Times New Roman" w:hAnsi="Arial" w:cs="Arial"/>
                <w:sz w:val="20"/>
                <w:szCs w:val="20"/>
              </w:rPr>
            </w:pP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13C0D361"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Sterols and sphingolipids likely play a role in clathrin mediated endocytosis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779FE16" w14:textId="2F83E0BB"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{"citationItems":[{"id":"ITEM-1","itemData":{"DOI":"10.4172/2153-0637.S2-003","ISSN":"21530637","abstract":"Sphingolipids (SLs) play important roles in membrane structure and cell function. Here, we examine the SL requirements of various endocytic mechanisms using a mutant cell line and pharmacological inhibitors to disrupt SL biosynthesis. First, we demonstrated that in Chinese hamster ovary cells we could distinguish three distinct mechanisms of clathrin-independent endocytosis (caveolar, RhoA, and Cdc42 dependent) which differed in cargo, sensitivity to pharmacological agents, and dominant negative proteins. General depletion of SLs inhibited endocytosis by each clathrin-independent mechanism, whereas clathrin-dependent uptake was unaffected. Depletion of glycosphingolipids (GSLs; a subgroup of SLs) selectively blocked caveolar endocytosis and decreased caveolin-1 and caveolae at the plasma membrane. Caveolar endocytosis and PM caveolae could be restored in GSL-depleted cells by acute addition of exogenous GSLs. Disruption of RhoA- and Cdc42-regulated endocytosis by SL depletion was shown to be related to decreased targeting of these Rho proteins to the plasma membrane and could be partially restored by exogenous sphingomyelin but not GSLs. Both the in vivo membrane targeting and in vitro binding to artificial lipid vesicles of RhoA and Cdc42 were shown to be dependent upon sphingomyelin. These results provide the first evidence that SLs are differentially required for distinct mechanisms of clathrin-independent endocytosis.","author":[{"dropping-particle":"","family":"Shu","given":"Liming","non-dropping-particle":"","parse-names":false,"suffix":""}],"container-title":"Journal of Glycomics &amp; Lipidomics","id":"ITEM-1","issue":"S1","issued":{"date-parts":[["2012","7"]]},"page":"3197-3210","title":"Glycosphingolipid Mediated Caveolin-1 Oligomerization","type":"article-journal","volume":"01"},"uris":["http://www.mendeley.com/documents/?uuid=023471c3-5b80-47bc-bd57-a5f87d4d36e3"]},{"id":"ITEM-2","itemData":{"DOI":"10.1091/mbc.e05-12-1101","ISSN":"1059-1524","abstract":"Sphingolipids (SLs) play important roles in membrane structure and cell function. Here, we examine the SL requirements of various endocytic mechanisms using a mutant cell line and pharmacological inhibitors to disrupt SL biosynthesis. First, we demonstrated that in Chinese hamster ovary cells we could distinguish three distinct mechanisms of clathrin-independent endocytosis (caveolar, RhoA, and Cdc42 dependent) which differed in cargo, sensitivity to pharmacological agents, and dominant negative proteins. General depletion of SLs inhibited endocytosis by each clathrin-independent mechanism, whereas clathrin-dependent uptake was unaffected. Depletion of glycosphingolipids (GSLs; a subgroup of SLs) selectively blocked caveolar endocytosis and decreased caveolin-1 and caveolae at the plasma membrane. Caveolar endocytosis and PM caveolae could be restored in GSL-depleted cells by acute addition of exogenous GSLs. Disruption of RhoA- and Cdc42-regulated endocytosis by SL depletion was shown to be related to decreased targeting of these Rho proteins to the plasma membrane and could be partially restored by exogenous sphingomyelin but not GSLs. Both the in vivo membrane targeting and in vitro binding to artificial lipid vesicles of RhoA and Cdc42 were shown to be dependent upon sphingomyelin. These results provide the first evidence that SLs are differentially required for distinct mechanisms of clathrin-independent endocytosis.","author":[{"dropping-particle":"","family":"Cheng","given":"Zhi-Jie","non-dropping-particle":"","parse-names":false,"suffix":""},{"dropping-particle":"","family":"Singh","given":"Raman Deep","non-dropping-particle":"","parse-names":false,"suffix":""},{"dropping-particle":"","family":"Sharma","given":"Deepak K.","non-dropping-particle":"","parse-names":false,"suffix":""},{"dropping-particle":"","family":"Holicky","given":"Eileen L.","non-dropping-particle":"","parse-names":false,"suffix":""},{"dropping-particle":"","family":"Hanada","given":"Kentaro","non-dropping-particle":"","parse-names":false,"suffix":""},{"dropping-particle":"","family":"Marks","given":"David L.","non-dropping-particle":"","parse-names":false,"suffix":""},{"dropping-particle":"","family":"Pagano","given":"Richard E.","non-dropping-particle":"","parse-names":false,"suffix":""}],"container-title":"Molecular Biology of the Cell","id":"ITEM-2","issue":"7","issued":{"date-parts":[["2006","7"]]},"page":"3197-3210","title":"Distinct Mechanisms of Clathrin-independent Endocytosis Have Unique Sphingolipid Requirements","type":"article-journal","volume":"17"},"uris":["http://www.mendeley.com/documents/?uuid=2596f2fa-5721-4570-9ff1-ba8f3b1b09f9"]},{"id":"ITEM-3","itemData":{"DOI":"10.1002/anie.201105432","ISSN":"14337851","abstract":"On the right path: The mechanisms of endocytosis of cetuximab (C225) and its nanoconjugates have been elucidated in a pancreatic cancer cell line. By using gold nanoparticles as a scaffold, it is possible to switch the pathway for endocytosis from a Dyn-2-dependent caveolar mechanism to Cdc42-dependent pinocytosis/phagocytosis. Tailoring endocytotic mechanisms may enable specific intracellular pathways to be targeted. Copyright © 2012 WILEY-VCH Verlag GmbH &amp; Co. KGaA, Weinheim.","author":[{"dropping-particle":"","family":"Bhattacharyya","given":"Sanjib","non-dropping-particle":"","parse-names":false,"suffix":""},{"dropping-particle":"","family":"Singh","given":"Raman Deep","non-dropping-particle":"","parse-names":false,"suffix":""},{"dropping-particle":"","family":"Pagano","given":"Richard","non-dropping-particle":"","parse-names":false,"suffix":""},{"dropping-particle":"","family":"Robertson","given":"J. David","non-dropping-particle":"","parse-names":false,"suffix":""},{"dropping-particle":"","family":"Bhattacharya","given":"Resham","non-dropping-particle":"","parse-names":false,"suffix":""},{"dropping-particle":"","family":"Mukherjee","given":"Priyabrata","non-dropping-particle":"","parse-names":false,"suffix":""}],"container-title":"Angewandte Chemie - International Edition","id":"ITEM-3","issue":"7","issued":{"date-parts":[["2012"]]},"page":"1563-1567","title":"Switching the targeting pathways of a therapeutic antibody by nanodesign","type":"article-journal","volume":"51"},"uris":["http://www.mendeley.com/documents/?uuid=7ac738f0-865e-4510-becd-c459ebf941db"]},{"id":"ITEM-4","itemData":{"DOI":"10.1242/jcs.201731","ISSN":"0021-9533","PMID":"28655854","abstract":"Ordered lipid domains (rafts) in plasma membranes have been hypothesized to participate in endocytosis based on inhibition of endocytosis by removal or sequestration of cholesterol. To more carefully investigate the role of the sterol in endocytosis, we used a substitution strategy to replace cholesterol with sterols that showvarious raft-forming abilities and chemical structures. Both clathrin-mediated endocytosis of transferrin and clathrin-independent endocytosis of clustered placental alkaline phosphatase were measured. A subset of sterols reversibly inhibited both clathrin-dependent and clathrinindependent endocytosis. The ability of a sterol to support lipid raft formationwas necessary forendocytosis.However, itwas not sufficient, because a sterol lacking a 3β-OH group did not support endocytosis even though it had the ability to support ordered domain formation. Double bonds in the sterol rings and an aliphatic tail structure identical to that of cholesterol were neither necessary nor sufficient to support endocytosis. This study shows that substitution using a large number of sterols can define the role of sterol structure in cellular functions. Hypotheses for how sterol structure can similarly alter clathrindependent and clathrin-independent endocytosis are discussed.","author":[{"dropping-particle":"","family":"Kim","given":"Ji Hyun","non-dropping-particle":"","parse-names":false,"suffix":""},{"dropping-particle":"","family":"Singh","given":"Ashutosh","non-dropping-particle":"","parse-names":false,"suffix":""},{"dropping-particle":"","family":"Poeta","given":"Maurizio","non-dropping-particle":"Del","parse-names":false,"suffix":""},{"dropping-particle":"","family":"Brown","given":"Deborah A","non-dropping-particle":"","parse-names":false,"suffix":""},{"dropping-particle":"","family":"London","given":"Erwin","non-dropping-particle":"","parse-names":false,"suffix":""}],"container-title":"Journal of Cell Science","id":"ITEM-4","issue":"16","issued":{"date-parts":[["2017","8","15"]]},"page":"2682-2695","title":"The effect of sterol structure upon clathrin-mediated and clathrin-independent endocytosis","type":"article-journal","volume":"130"},"uris":["http://www.mendeley.com/documents/?uuid=a88f3a64-1fd3-4e6a-80aa-2d722277e0c6"]}],"mendeley":{"formattedCitation":"&lt;sup&gt;193,199–201&lt;/sup&gt;","plainTextFormattedCitation":"193,199–201","previouslyFormattedCitation":"&lt;sup&gt;193,199–201&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193,199–201</w:t>
            </w:r>
            <w:r w:rsidRPr="00403195">
              <w:rPr>
                <w:rFonts w:ascii="Arial" w:eastAsia="Times New Roman" w:hAnsi="Arial" w:cs="Arial"/>
                <w:sz w:val="20"/>
                <w:szCs w:val="20"/>
              </w:rPr>
              <w:fldChar w:fldCharType="end"/>
            </w:r>
          </w:p>
          <w:p w14:paraId="4E1587A1" w14:textId="77777777" w:rsidR="00403195" w:rsidRPr="00403195" w:rsidRDefault="00403195">
            <w:pPr>
              <w:rPr>
                <w:rFonts w:ascii="Arial" w:eastAsia="Times New Roman" w:hAnsi="Arial" w:cs="Arial"/>
                <w:sz w:val="20"/>
                <w:szCs w:val="20"/>
              </w:rPr>
            </w:pPr>
          </w:p>
          <w:p w14:paraId="2B010C13" w14:textId="77777777" w:rsidR="00403195" w:rsidRPr="00403195" w:rsidRDefault="00403195">
            <w:pPr>
              <w:rPr>
                <w:rFonts w:ascii="Arial" w:eastAsia="Times New Roman" w:hAnsi="Arial" w:cs="Arial"/>
                <w:sz w:val="20"/>
                <w:szCs w:val="20"/>
              </w:rPr>
            </w:pPr>
          </w:p>
        </w:tc>
      </w:tr>
      <w:tr w:rsidR="00403195" w:rsidRPr="00403195" w14:paraId="3E70C3D3"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CFDF9F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Indomethacin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66C287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E5A2B7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Increases the amount of arachidonate in the cell, preventing plasmalemmal vesicles from being formed, while also causing existing vesicles to resurface.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5443196D"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-50% inhibition of [</w:t>
            </w:r>
            <w:r w:rsidRPr="00403195">
              <w:rPr>
                <w:rStyle w:val="normaltextrun"/>
                <w:rFonts w:ascii="Arial" w:hAnsi="Arial" w:cs="Arial"/>
                <w:sz w:val="20"/>
                <w:szCs w:val="20"/>
                <w:vertAlign w:val="superscript"/>
              </w:rPr>
              <w:t>3</w:t>
            </w:r>
            <w:r w:rsidRPr="00403195">
              <w:rPr>
                <w:rStyle w:val="normaltextrun"/>
                <w:rFonts w:ascii="Arial" w:hAnsi="Arial" w:cs="Arial"/>
                <w:sz w:val="20"/>
                <w:szCs w:val="20"/>
              </w:rPr>
              <w:t>H] folic acid in monkey kidney epithelial cells</w:t>
            </w:r>
            <w:r w:rsidRPr="00403195">
              <w:rPr>
                <w:rStyle w:val="eop"/>
                <w:rFonts w:ascii="Arial" w:eastAsia="MS Mincho" w:hAnsi="Arial" w:cs="Arial"/>
                <w:sz w:val="20"/>
                <w:szCs w:val="20"/>
              </w:rPr>
              <w:t> </w:t>
            </w:r>
          </w:p>
          <w:p w14:paraId="2D333B39"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-No significant inhibition of heparosan based micelles in A549, MGC80-3, or B16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2173BE45"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may stimulate the caveolae independent endocytosis in certain cell types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0571842" w14:textId="1DC2B73A"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{"citationItems":[{"id":"ITEM-1","itemData":{"DOI":"10.1083/jcb.131.4.929","ISSN":"00219525","abstract":"Caveolae undergo a cyclic transition from a flat segment of membrane to a vesicle that then returns to the cell surface. Here we present evidence that this cycle depends on a population of protein kinase C-α (PKC-α) molecules that reside in the caveolae membrane where they phosphorylate a 90-kD protein. This cycle can be interrupted by treatment of the cells with phorbol-12,13-dibutyrate or agents that raise the concentration of diacylglycerol in the cull. Each of these conditions displaces PKC-α from caveolae, inhibits the phosphorylation of the 90-kD protein, and prevents internalization. Caveolae also contain a protein phosphatase that dephosphorylates the 90-kD once PKC-α is gone. A similar dissociation of PKC-α from caveolae and inhibition of invagination was observed when cells were treated with histamine. This effect was blocked by pyrilamine but not cimetidine, indicating the involvement of histamine H1 receptors. These findings suggest that the caveolae internalization cycle is hormonally regulated.","author":[{"dropping-particle":"","family":"Smart","given":"Eric J.","non-dropping-particle":"","parse-names":false,"suffix":""},{"dropping-particle":"","family":"Ying","given":"Yun Shu","non-dropping-particle":"","parse-names":false,"suffix":""},{"dropping-particle":"","family":"Anderson","given":"Richard G.W.","non-dropping-particle":"","parse-names":false,"suffix":""}],"container-title":"Journal of Cell Biology","id":"ITEM-1","issue":"4","issued":{"date-parts":[["1995"]]},"page":"929-938","title":"Hormonal regulation of caveolae internalization","type":"article-journal","volume":"131"},"uris":["http://www.mendeley.com/documents/?uuid=dedd5788-a58a-43e8-a44f-9568821c5e19"]},{"id":"ITEM-2","itemData":{"DOI":"10.1101/SQB.1995.060.01.028","ISBN":"0879690690","ISSN":"00917451","PMID":"8824397","author":[{"dropping-particle":"","family":"Smart","given":"E. J.","non-dropping-particle":"","parse-names":false,"suffix":""},{"dropping-particle":"","family":"Estes","given":"K.","non-dropping-particle":"","parse-names":false,"suffix":""},{"dropping-particle":"","family":"Anderson","given":"R. G.W.","non-dropping-particle":"","parse-names":false,"suffix":""}],"container-title":"Cold Spring Harbor Symposia on Quantitative Biology","id":"ITEM-2","issue":"Anderson 1993","issued":{"date-parts":[["1995"]]},"page":"243-248","title":"Inhibitors that block both the internalization of caveolae and the return of plasmalemmal vesicles","type":"article-journal","volume":"60"},"uris":["http://www.mendeley.com/documents/?uuid=4d393c91-0867-4acf-8822-2a64a6d24f0e"]},{"id":"ITEM-3","itemData":{"DOI":"10.1172/JCI114310","ISSN":"00219738","abstract":"To better understand how the folate receptor (also known as the membrane folate binder) is able to deliver 5-methyltetrahydrofolic acid to the cytoplasm of folate-depleted MA104 cells, we have examined the kinetics of movement from the cell surface into the cytoplasm. Bound 5-methyltetrahydrofolic acid was transferred into an acid-resistant membrane compartment at the rate of 0.9-1.0 pmol/10 6 cells per h. This folate appeared in the cytoplasm at the same rate. Furthermore, cytoplasmic 5-methyltetrahydrofolic acid became polyglutamated at the rate of 0.6-0.7 pmol/10 6 cells per h. As soon as intracellular 5-methyltetrahydrofolate reached 5-7 pmol/10 6 cells, however, cytoplasmic accumulation was markedly inhibited even though the folate receptor remained functional. Therefore, the acute regulation of 5-methyltetrahydrofolic acid accumulation appears to be achieved by controlling the movement of the vitamin from the receptor into the cytoplasm of the cell.","author":[{"dropping-particle":"","family":"Kamen","given":"B. A.","non-dropping-particle":"","parse-names":false,"suffix":""},{"dropping-particle":"","family":"Johnson","given":"C. A.","non-dropping-particle":"","parse-names":false,"suffix":""},{"dropping-particle":"","family":"Wang","given":"M. T.","non-dropping-particle":"","parse-names":false,"suffix":""},{"dropping-particle":"","family":"Anderson","given":"R. G.W.","non-dropping-particle":"","parse-names":false,"suffix":""}],"container-title":"Journal of Clinical Investigation","id":"ITEM-3","issue":"5","issued":{"date-parts":[["1989"]]},"page":"1379-1386","title":"Regulation of the cytoplasmic accumulation of 5-methyltetrahydrofolate in MA104 cells is independent of folate receptor regulation","type":"article-journal","volume":"84"},"uris":["http://www.mendeley.com/documents/?uuid=cb4af08f-2d98-45a3-84a4-5d74301455f3"]},{"id":"ITEM-4","itemData":{"DOI":"10.1016/j.ijbiomac.2019.02.133","ISSN":"18790003","abstract":"Heparosan polysaccharide, known as a heparin precursor, can be used in drug delivery systems due to its good biocompatibility and anti-cancer effect. But few studies on the cellular uptake mechanism of heparosan polysaccharide-based nanocarrier have been investigated. Therefore, the intracellular trafficking and the uptake mechanism of heparosan-based micelles by different tumor cells were investigated in this study. Heparosan-cholesterol amphipathic conjugates (KC) were constructed and doxorubicin (DOX) was loaded to prepare DOX/KC micelles. Different cancer cells were selected to find out the influence on DOX/KC uptake. There was an obvious difference in cytotoxicity and cellular uptake of DOX/KC in various cancer cells. Interestingly, DOX/KC micelles exhibited the strongest cytotoxicity against MGC80-3 cells and displayed highly cellular uptake by B16 cells. The results of the uptake mechanism showed that the internalization of DOX/KC micelles into MGC80-3 cells and A549 cells was mainly through clathrin-mediated endocytosis and macropinocytosis, while micropinocytosis, clathrin-mediated endocytosis and clathrin/caveolae -independent multi-pathways all contributed to the uptake of micelles in B16 cells. Furthermore, after being internalized by MGC80-3 cells, DOX/KC could escape from the lysosome and simultaneously be transported into the nucleus and mitochondria resulting in the greatest cytotoxicity. These results indicate that heparosan-based drug delivery systems may have different uptake and subcellular distribution behavior in tumor cells, and they will achieve the maximum efficacy only in specific kind of cancers.","author":[{"dropping-particle":"","family":"Qiu","given":"Lipeng","non-dropping-particle":"","parse-names":false,"suffix":""},{"dropping-particle":"","family":"Shan","given":"Xiaotian","non-dropping-particle":"","parse-names":false,"suffix":""},{"dropping-particle":"","family":"Long","given":"Miaomiao","non-dropping-particle":"","parse-names":false,"suffix":""},{"dropping-particle":"","family":"Ahmed","given":"Kamel S.","non-dropping-particle":"","parse-names":false,"suffix":""},{"dropping-particle":"","family":"Zhao","given":"Li","non-dropping-particle":"","parse-names":false,"suffix":""},{"dropping-particle":"","family":"Mao","given":"Jing","non-dropping-particle":"","parse-names":false,"suffix":""},{"dropping-particle":"","family":"Zhang","given":"Huijie","non-dropping-particle":"","parse-names":false,"suffix":""},{"dropping-particle":"","family":"Sun","given":"Changling","non-dropping-particle":"","parse-names":false,"suffix":""},{"dropping-particle":"","family":"You","given":"Chongzhao","non-dropping-particle":"","parse-names":false,"suffix":""},{"dropping-particle":"","family":"Lv","given":"Guozhong","non-dropping-particle":"","parse-names":false,"suffix":""},{"dropping-particle":"","family":"Chen","given":"Jinghua","non-dropping-particle":"","parse-names":false,"suffix":""}],"container-title":"International Journal of Biological Macromolecules","id":"ITEM-4","issued":{"date-parts":[["2019"]]},"page":"755-764","publisher":"Elsevier B.V.","title":"Elucidation of cellular uptake and intracellular trafficking of heparosan polysaccharide-based micelles in various cancer cells","type":"article-journal","volume":"130"},"uris":["http://www.mendeley.com/documents/?uuid=c1ff7d51-b986-4698-a331-58371d185be3"]},{"id":"ITEM-5","itemData":{"DOI":"10.1152/ajplung.00173.2005","ISSN":"1040-0605","PMID":"16361359","abstract":"We examined mechanisms of FITC-albumin uptake by alveolar type II epithelial cells using cultured RLE-6TN cells. Alkaline phosphatase activity and the expression of cytokeratin 19 mRNA, which are characteristic features of alveolar type II epithelial cells, were detected in RLE-6TN cells. The uptake of FITC-albumin by the cells was time and temperature dependent and showed the saturation kinetics of high- and low-affinity transport systems. FITC-albumin uptake was inhibited by native albumin, by chemically modified albumin, and by metabolic inhibitors and bafilomycin A 1 , an inhibitor of vacuolar H + -ATPase. Confocal laser scanning microscopic analysis after FITC-albumin uptake showed punctate localization of fluorescence in the cells, which was partly localized in lysosomes. FITC-albumin taken up by the cells gradually degraded over time, as shown by fluoroimage analyzer after SDS-PAGE. The uptake of FITC-albumin by RLE-6TN cells was not inhibited by nystatin, indomethacin, or methyl-β-cyclodextrin (inhibitors of caveolae-mediated endocytosis) but was inhibited by phenylarsine oxide and chlorpromazine (inhibitors of clathrin-mediated endocytosis) in a concentration-dependent manner. Uptake was also inhibited by potassium depletion and hypertonicity, conditions known to inhibit clathrin-mediated endocytosis. These results indicate that the uptake of FITC-albumin in cultured alveolar type II epithelial cells, RLE-6TN, is mediated by clathrin-mediated but not by caveolae-mediated endocytosis, and intracellular FITC-albumin is gradually degraded in lysosomes. Possible receptors involved in this endocytic system are discussed.","author":[{"dropping-particle":"","family":"Yumoto","given":"Ryoko","non-dropping-particle":"","parse-names":false,"suffix":""},{"dropping-particle":"","family":"Nishikawa","given":"Hiromi","non-dropping-particle":"","parse-names":false,"suffix":""},{"dropping-particle":"","family":"Okamoto","given":"Miho","non-dropping-particle":"","parse-names":false,"suffix":""},{"dropping-particle":"","family":"Katayama","given":"Hirokazu","non-dropping-particle":"","parse-names":false,"suffix":""},{"dropping-particle":"","family":"Nagai","given":"Junya","non-dropping-particle":"","parse-names":false,"suffix":""},{"dropping-particle":"","family":"Takano","given":"Mikihisa","non-dropping-particle":"","parse-names":false,"suffix":""}],"container-title":"American Journal of Physiology-Lung Cellular and Molecular Physiology","id":"ITEM-5","issue":"5","issued":{"date-parts":[["2006","5"]]},"page":"L946-L955","title":"Clathrin-mediated endocytosis of FITC-albumin in alveolar type II epithelial cell line RLE-6TN","type":"article-journal","volume":"290"},"uris":["http://www.mendeley.com/documents/?uuid=7be08abd-cb92-4f5e-9b5f-72d8b5c0c210"]}],"mendeley":{"formattedCitation":"&lt;sup&gt;97,202–205&lt;/sup&gt;","plainTextFormattedCitation":"97,202–205","previouslyFormattedCitation":"&lt;sup&gt;97,202–205&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97,202–205</w:t>
            </w:r>
            <w:r w:rsidRPr="00403195">
              <w:rPr>
                <w:rFonts w:ascii="Arial" w:eastAsia="Times New Roman" w:hAnsi="Arial" w:cs="Arial"/>
                <w:sz w:val="20"/>
                <w:szCs w:val="20"/>
              </w:rPr>
              <w:fldChar w:fldCharType="end"/>
            </w:r>
          </w:p>
          <w:p w14:paraId="584A88D9" w14:textId="77777777"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t xml:space="preserve"> </w:t>
            </w:r>
          </w:p>
        </w:tc>
      </w:tr>
      <w:tr w:rsidR="00403195" w:rsidRPr="00403195" w14:paraId="29B19A2C"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7154B1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Chlorpromazine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6EDCE1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Clathrin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C079540" w14:textId="77777777" w:rsidR="00403195" w:rsidRPr="00403195" w:rsidRDefault="00403195">
            <w:pPr>
              <w:rPr>
                <w:rFonts w:ascii="Arial" w:eastAsia="Times New Roman" w:hAnsi="Arial" w:cs="Arial"/>
                <w:sz w:val="20"/>
                <w:szCs w:val="20"/>
              </w:rPr>
            </w:pPr>
            <w:proofErr w:type="spellStart"/>
            <w:r w:rsidRPr="00403195">
              <w:rPr>
                <w:rStyle w:val="normaltextrun"/>
                <w:rFonts w:ascii="Arial" w:hAnsi="Arial" w:cs="Arial"/>
                <w:sz w:val="20"/>
                <w:szCs w:val="20"/>
              </w:rPr>
              <w:t>Translocates</w:t>
            </w:r>
            <w:proofErr w:type="spellEnd"/>
            <w:r w:rsidRPr="00403195">
              <w:rPr>
                <w:rStyle w:val="normaltextrun"/>
                <w:rFonts w:ascii="Arial" w:hAnsi="Arial" w:cs="Arial"/>
                <w:sz w:val="20"/>
                <w:szCs w:val="20"/>
              </w:rPr>
              <w:t> clathrin and AP-2 </w:t>
            </w:r>
            <w:proofErr w:type="gramStart"/>
            <w:r w:rsidRPr="00403195">
              <w:rPr>
                <w:rStyle w:val="normaltextrun"/>
                <w:rFonts w:ascii="Arial" w:hAnsi="Arial" w:cs="Arial"/>
                <w:sz w:val="20"/>
                <w:szCs w:val="20"/>
              </w:rPr>
              <w:t>in to</w:t>
            </w:r>
            <w:proofErr w:type="gramEnd"/>
            <w:r w:rsidRPr="00403195">
              <w:rPr>
                <w:rStyle w:val="normaltextrun"/>
                <w:rFonts w:ascii="Arial" w:hAnsi="Arial" w:cs="Arial"/>
                <w:sz w:val="20"/>
                <w:szCs w:val="20"/>
              </w:rPr>
              <w:t xml:space="preserve"> intracellular vesicles from the plasma membrane.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49F5BD19"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-80% inhibition of transferrin in rat fibroblasts</w:t>
            </w:r>
            <w:r w:rsidRPr="00403195">
              <w:rPr>
                <w:rStyle w:val="eop"/>
                <w:rFonts w:ascii="Arial" w:eastAsia="MS Mincho" w:hAnsi="Arial" w:cs="Arial"/>
                <w:sz w:val="20"/>
                <w:szCs w:val="20"/>
              </w:rPr>
              <w:t> </w:t>
            </w:r>
          </w:p>
          <w:p w14:paraId="736443DE"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-20% inhibition of heparosan based micelles in A549 cells</w:t>
            </w:r>
            <w:r w:rsidRPr="00403195">
              <w:rPr>
                <w:rStyle w:val="eop"/>
                <w:rFonts w:ascii="Arial" w:eastAsia="MS Mincho" w:hAnsi="Arial" w:cs="Arial"/>
                <w:sz w:val="20"/>
                <w:szCs w:val="20"/>
              </w:rPr>
              <w:t> </w:t>
            </w:r>
          </w:p>
          <w:p w14:paraId="688C890B"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-25% inhibition of heparosan based micelles in MGC80-3 cells</w:t>
            </w:r>
            <w:r w:rsidRPr="00403195">
              <w:rPr>
                <w:rStyle w:val="eop"/>
                <w:rFonts w:ascii="Arial" w:eastAsia="MS Mincho" w:hAnsi="Arial" w:cs="Arial"/>
                <w:sz w:val="20"/>
                <w:szCs w:val="20"/>
              </w:rPr>
              <w:t> </w:t>
            </w:r>
          </w:p>
          <w:p w14:paraId="72724C5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 xml:space="preserve">-20% inhibition of heparosan based </w:t>
            </w:r>
            <w:r w:rsidRPr="00403195">
              <w:rPr>
                <w:rStyle w:val="normaltextrun"/>
                <w:rFonts w:ascii="Arial" w:hAnsi="Arial" w:cs="Arial"/>
                <w:sz w:val="20"/>
                <w:szCs w:val="20"/>
              </w:rPr>
              <w:lastRenderedPageBreak/>
              <w:t>micelles in B16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25E70A7C"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lastRenderedPageBreak/>
              <w:t>Cells can possibly quickly adapt to chlorpromazine in the presence of transferrin to use alternative uptake pathways, limiting the inhibitory effect </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89F41D" w14:textId="3FC08824"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{"citationItems":[{"id":"ITEM-1","itemData":{"DOI":"10.1074/jbc.M110.145888","ISSN":"00219258","abstract":"SR-A (class A macrophage scavenger receptor) is a transmembrane receptor that can bind many different ligands, including modified lipoproteins that are relevant to the development of vascular diseases. However, the precise endocytic pathways of SR-A/mediated ligands internalization are not fully characterized. In this study, we show that the SR-A/ligand complex can be endocytosed by both clathrin- and caveolae-dependent pathways. Internalizations of SR-A-lipoprotein (such as acLDL) complexes primarily go through clathrin-dependent endocytosis. In contrast, macrophage apoptosis triggered by SR-A-fucoidan internalization requires caveolae-dependent endocytosis. The caveolae-dependent process activates p38 kinase and JNK signaling, whereas the clathrin-mediated endocytosis elicits ERK signaling. Our results suggest that different SR-A endocytic pathways have distinct functional consequences due to the activation of different signaling cascades in macrophages. © 2011 by The American Society for Biochemistry and Molecular Biology, Inc.","author":[{"dropping-particle":"","family":"Zhu","given":"Xu-Dong","non-dropping-particle":"","parse-names":false,"suffix":""},{"dropping-particle":"","family":"Zhuang","given":"Yan","non-dropping-particle":"","parse-names":false,"suffix":""},{"dropping-particle":"","family":"Ben","given":"Jing-Jing","non-dropping-particle":"","parse-names":false,"suffix":""},{"dropping-particle":"","family":"Qian","given":"Ling-Ling","non-dropping-particle":"","parse-names":false,"suffix":""},{"dropping-particle":"","family":"Huang","given":"Han-Peng","non-dropping-particle":"","parse-names":false,"suffix":""},{"dropping-particle":"","family":"Bai","given":"Hui","non-dropping-particle":"","parse-names":false,"suffix":""},{"dropping-particle":"","family":"Sha","given":"Jia-Hao","non-dropping-particle":"","parse-names":false,"suffix":""},{"dropping-particle":"","family":"He","given":"Zhi-Gang","non-dropping-particle":"","parse-names":false,"suffix":""},{"dropping-particle":"","family":"Chen","given":"Qi","non-dropping-particle":"","parse-names":false,"suffix":""}],"container-title":"Journal of Biological Chemistry","id":"ITEM-1","issue":"10","issued":{"date-parts":[["2011","3"]]},"page":"8231-8239","title":"Caveolae-dependent Endocytosis Is Required for Class A Macrophage Scavenger Receptor-mediated Apoptosis in Macrophages","type":"article-journal","volume":"286"},"uris":["http://www.mendeley.com/documents/?uuid=1516cc8a-e495-4397-8141-5f8297e7c691"]},{"id":"ITEM-2","itemData":{"DOI":"10.1091/mbc.e02-12-0809","ISSN":"1059-1524","abstract":"We studied the endocytosis of fluorescent glycosphingolipid (GSL) analogs in various cell types using pathway-specific inhibitors and colocalization studies with endocytic markers and DsRed caveolin-1 (cav-1). Based on inhibitor studies, all GSLs tested were internalized predominantly (&gt;80%) by a clathrin-independent, caveolar-related mechanism, regardless of cell type. In addition, fluorescent lactosylceramide (LacCer) colocalized with DsRed-cav-1 in vesicular structures upon endocytosis in rat fibroblasts. The internalization mechanism for GSLs was unaffected by varying the carbohydrate headgroup or sphingosine backbone chain length; however, a fluorescent phosphatidylcholine analog was not internalized via caveolae, suggesting that the GSL ceramide core may be important for caveolar uptake. Internalization of fluorescent LacCer was reduced 80–90% in cell types with low cav-1, but was dramatically stimulated by cav-1 overexpression. However, even in cells with low levels of cav-1, residual LacCer internalization was clathrin independent. In contrast, cholera toxin B subunit (CtxB), which binds endogenous GM 1 , was internalized via clathrin-independent endocytosis in cells with high cav-1 expression, whereas significant clathrin-dependent uptake occurred in cells with low cav-1. Fluorescent GM 1 , normally internalized by clathrin-independent endocytosis in HeLa cells with low cav-1, was induced to partially internalize via the clathrin pathway in the presence of CtxB. These results suggest that GSL analogs are selectively internalized via a caveolar-related mechanism in most cell types, whereas CtxB may undergo “pathway switching” when cav-1 levels are low.","author":[{"dropping-particle":"","family":"Singh","given":"Raman Deep","non-dropping-particle":"","parse-names":false,"suffix":""},{"dropping-particle":"","family":"Puri","given":"Vishwajeet","non-dropping-particle":"","parse-names":false,"suffix":""},{"dropping-particle":"","family":"Valiyaveettil","given":"Jacob T.","non-dropping-particle":"","parse-names":false,"suffix":""},{"dropping-particle":"","family":"Marks","given":"David L.","non-dropping-particle":"","parse-names":false,"suffix":""},{"dropping-particle":"","family":"Bittman","given":"Robert","non-dropping-particle":"","parse-names":false,"suffix":""},{"dropping-particle":"","family":"Pagano","given":"Richard E.","non-dropping-particle":"","parse-names":false,"suffix":""}],"container-title":"Molecular Biology of the Cell","id":"ITEM-2","issue":"8","issued":{"date-parts":[["2003","8"]]},"page":"3254-3265","title":"Selective Caveolin-1–dependent Endocytosis of Glycosphingolipids","type":"article-journal","volume":"14"},"uris":["http://www.mendeley.com/documents/?uuid=84d1d57f-6858-4183-a502-ff39df34950f"]},{"id":"ITEM-3","itemData":{"DOI":"10.1016/j.ijbiomac.2019.02.133","ISSN":"18790003","abstract":"Heparosan polysaccharide, known as a heparin precursor, can be used in drug delivery systems due to its good biocompatibility and anti-cancer effect. But few studies on the cellular uptake mechanism of heparosan polysaccharide-based nanocarrier have been investigated. Therefore, the intracellular trafficking and the uptake mechanism of heparosan-based micelles by different tumor cells were investigated in this study. Heparosan-cholesterol amphipathic conjugates (KC) were constructed and doxorubicin (DOX) was loaded to prepare DOX/KC micelles. Different cancer cells were selected to find out the influence on DOX/KC uptake. There was an obvious difference in cytotoxicity and cellular uptake of DOX/KC in various cancer cells. Interestingly, DOX/KC micelles exhibited the strongest cytotoxicity against MGC80-3 cells and displayed highly cellular uptake by B16 cells. The results of the uptake mechanism showed that the internalization of DOX/KC micelles into MGC80-3 cells and A549 cells was mainly through clathrin-mediated endocytosis and macropinocytosis, while micropinocytosis, clathrin-mediated endocytosis and clathrin/caveolae -independent multi-pathways all contributed to the uptake of micelles in B16 cells. Furthermore, after being internalized by MGC80-3 cells, DOX/KC could escape from the lysosome and simultaneously be transported into the nucleus and mitochondria resulting in the greatest cytotoxicity. These results indicate that heparosan-based drug delivery systems may have different uptake and subcellular distribution behavior in tumor cells, and they will achieve the maximum efficacy only in specific kind of cancers.","author":[{"dropping-particle":"","family":"Qiu","given":"Lipeng","non-dropping-particle":"","parse-names":false,"suffix":""},{"dropping-particle":"","family":"Shan","given":"Xiaotian","non-dropping-particle":"","parse-names":false,"suffix":""},{"dropping-particle":"","family":"Long","given":"Miaomiao","non-dropping-particle":"","parse-names":false,"suffix":""},{"dropping-particle":"","family":"Ahmed","given":"Kamel S.","non-dropping-particle":"","parse-names":false,"suffix":""},{"dropping-particle":"","family":"Zhao","given":"Li","non-dropping-particle":"","parse-names":false,"suffix":""},{"dropping-particle":"","family":"Mao","given":"Jing","non-dropping-particle":"","parse-names":false,"suffix":""},{"dropping-particle":"","family":"Zhang","given":"Huijie","non-dropping-particle":"","parse-names":false,"suffix":""},{"dropping-particle":"","family":"Sun","given":"Changling","non-dropping-particle":"","parse-names":false,"suffix":""},{"dropping-particle":"","family":"You","given":"Chongzhao","non-dropping-particle":"","parse-names":false,"suffix":""},{"dropping-particle":"","family":"Lv","given":"Guozhong","non-dropping-particle":"","parse-names":false,"suffix":""},{"dropping-particle":"","family":"Chen","given":"Jinghua","non-dropping-particle":"","parse-names":false,"suffix":""}],"container-title":"International Journal of Biological Macromolecules","id":"ITEM-3","issued":{"date-parts":[["2019"]]},"page":"755-764","publisher":"Elsevier B.V.","title":"Elucidation of cellular uptake and intracellular trafficking of heparosan polysaccharide-based micelles in various cancer cells","type":"article-journal","volume":"130"},"uris":["http://www.mendeley.com/documents/?uuid=c1ff7d51-b986-4698-a331-58371d185be3"]},{"id":"ITEM-4","itemData":{"DOI":"10.2217/nnm-2018-0446","ISSN":"1743-5889","author":[{"dropping-particle":"","family":"Francia","given":"Valentina","non-dropping-particle":"","parse-names":false,"suffix":""},{"dropping-particle":"","family":"Reker-Smit","given":"Catharina","non-dropping-particle":"","parse-names":false,"suffix":""},{"dropping-particle":"","family":"Boel","given":"Guido","non-dropping-particle":"","parse-names":false,"suffix":""},{"dropping-particle":"","family":"Salvati","given":"Anna","non-dropping-particle":"","parse-names":false,"suffix":""}],"container-title":"Nanomedicine","id":"ITEM-4","issue":"12","issued":{"date-parts":[["2019","6"]]},"page":"1533-1549","title":"Limits and challenges in using transport inhibitors to characterize how nano-sized drug carriers enter cells","type":"article-journal","volume":"14"},"uris":["http://www.mendeley.com/documents/?uuid=566621ad-4d06-4357-b263-8ce11d4a1548"]}],"mendeley":{"formattedCitation":"&lt;sup&gt;97,177,194,206&lt;/sup&gt;","plainTextFormattedCitation":"97,177,194,206","previouslyFormattedCitation":"&lt;sup&gt;97,177,194,206&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97,177,194,206</w:t>
            </w:r>
            <w:r w:rsidRPr="00403195">
              <w:rPr>
                <w:rFonts w:ascii="Arial" w:eastAsia="Times New Roman" w:hAnsi="Arial" w:cs="Arial"/>
                <w:sz w:val="20"/>
                <w:szCs w:val="20"/>
              </w:rPr>
              <w:fldChar w:fldCharType="end"/>
            </w:r>
          </w:p>
          <w:p w14:paraId="6666D7CC" w14:textId="77777777" w:rsidR="00403195" w:rsidRPr="00403195" w:rsidRDefault="00403195">
            <w:pPr>
              <w:rPr>
                <w:rFonts w:ascii="Arial" w:eastAsia="Times New Roman" w:hAnsi="Arial" w:cs="Arial"/>
                <w:sz w:val="20"/>
                <w:szCs w:val="20"/>
              </w:rPr>
            </w:pPr>
          </w:p>
          <w:p w14:paraId="12719018" w14:textId="77777777" w:rsidR="00403195" w:rsidRPr="00403195" w:rsidRDefault="00403195">
            <w:pPr>
              <w:rPr>
                <w:rFonts w:ascii="Arial" w:eastAsia="Times New Roman" w:hAnsi="Arial" w:cs="Arial"/>
                <w:sz w:val="20"/>
                <w:szCs w:val="20"/>
              </w:rPr>
            </w:pPr>
          </w:p>
        </w:tc>
      </w:tr>
      <w:tr w:rsidR="00403195" w:rsidRPr="00403195" w14:paraId="67056E2D"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D745F55"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Potassium Depletion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479EF1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Clathrin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4D5E31B"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Dissociates clathrin lattices on the plasma membrane.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3C763A8E"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-80% inhibition of transferrin in rat fibroblasts</w:t>
            </w:r>
            <w:r w:rsidRPr="00403195">
              <w:rPr>
                <w:rStyle w:val="eop"/>
                <w:rFonts w:ascii="Arial" w:eastAsia="MS Mincho" w:hAnsi="Arial" w:cs="Arial"/>
                <w:sz w:val="20"/>
                <w:szCs w:val="20"/>
              </w:rPr>
              <w:t> </w:t>
            </w:r>
          </w:p>
          <w:p w14:paraId="1EB138D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-50% inhibition of chitosan nanoparticles in A549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0FDDA4F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has been suggested to slightly inhibit clathrin independent pathways, though the mechanism by which it might is unknown</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0E2E95" w14:textId="1F1774A2"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{"citationItems":[{"id":"ITEM-1","itemData":{"DOI":"10.1038/mt.2009.281","ISSN":"15250016","abstract":"Nonviral gene complexes can enter mammalian cells through different endocytic pathways. For efficient optimization of the gene carrier it is important to profile its cellular uptake, because this largely determines its intracellular processing and subsequent transfection efficiency. Most of the current information on uptake of these gene-delivery vehicles is based on data following the use of chemical inhibitors of endocytic pathways. Here, we have performed a detailed characterization of four commonly used endocytosis inhibitors chlorpromazine, genistein, methyl-Β-cyclodextrin (MΒCD), and potassium depletion on cell viability and endocytosis in five well-described cell lines. We found that chlorpromazine and to a lesser extent MΒCD significantly decreased cell viability of some cell lines even after short incubation periods and at concentrations that are routinely used to inhibit endocytosis. Through analyzing the uptake and subcellular distribution of two fluorescent endocytic probes transferrin and lactosylceramide (LacCer) that are reported to enter cells via clathrin-dependent (CDE) and clathrin-independent (CIE) mechanisms, respectively, we showed poor specificity of these agents for inhibiting distinct endocytic pathways. Finally, we demonstrate that any inhibitory effects are highly cell line dependent. Overall, the data question the significance of performing endocytosis studies with these agents in the absence of very stringent controls. © The American Society of Gene  &amp;  Cell Therapy.","author":[{"dropping-particle":"","family":"Vercauteren","given":"Dries","non-dropping-particle":"","parse-names":false,"suffix":""},{"dropping-particle":"","family":"Vandenbroucke","given":"Roosmarijn E.","non-dropping-particle":"","parse-names":false,"suffix":""},{"dropping-particle":"","family":"Jones","given":"Arwyn T.","non-dropping-particle":"","parse-names":false,"suffix":""},{"dropping-particle":"","family":"Rejman","given":"Joanna","non-dropping-particle":"","parse-names":false,"suffix":""},{"dropping-particle":"","family":"Demeester","given":"Joseph","non-dropping-particle":"","parse-names":false,"suffix":""},{"dropping-particle":"","family":"Smedt","given":"Stefaan C.","non-dropping-particle":"De","parse-names":false,"suffix":""},{"dropping-particle":"","family":"Sanders","given":"Niek N.","non-dropping-particle":"","parse-names":false,"suffix":""},{"dropping-particle":"","family":"Braeckmans","given":"Kevin","non-dropping-particle":"","parse-names":false,"suffix":""}],"container-title":"Molecular Therapy","id":"ITEM-1","issue":"3","issued":{"date-parts":[["2010"]]},"page":"561-569","publisher":"Nature Publishing Group","title":"The use of inhibitors to study endocytic pathways of gene carriers: Optimization and pitfalls","type":"article-journal","volume":"18"},"uris":["http://www.mendeley.com/documents/?uuid=16eed04f-c93a-4957-bab5-0c1b477c3a70"]},{"id":"ITEM-2","itemData":{"DOI":"10.1091/mbc.e02-12-0809","ISSN":"1059-1524","abstract":"We studied the endocytosis of fluorescent glycosphingolipid (GSL) analogs in various cell types using pathway-specific inhibitors and colocalization studies with endocytic markers and DsRed caveolin-1 (cav-1). Based on inhibitor studies, all GSLs tested were internalized predominantly (&gt;80%) by a clathrin-independent, caveolar-related mechanism, regardless of cell type. In addition, fluorescent lactosylceramide (LacCer) colocalized with DsRed-cav-1 in vesicular structures upon endocytosis in rat fibroblasts. The internalization mechanism for GSLs was unaffected by varying the carbohydrate headgroup or sphingosine backbone chain length; however, a fluorescent phosphatidylcholine analog was not internalized via caveolae, suggesting that the GSL ceramide core may be important for caveolar uptake. Internalization of fluorescent LacCer was reduced 80–90% in cell types with low cav-1, but was dramatically stimulated by cav-1 overexpression. However, even in cells with low levels of cav-1, residual LacCer internalization was clathrin independent. In contrast, cholera toxin B subunit (CtxB), which binds endogenous GM 1 , was internalized via clathrin-independent endocytosis in cells with high cav-1 expression, whereas significant clathrin-dependent uptake occurred in cells with low cav-1. Fluorescent GM 1 , normally internalized by clathrin-independent endocytosis in HeLa cells with low cav-1, was induced to partially internalize via the clathrin pathway in the presence of CtxB. These results suggest that GSL analogs are selectively internalized via a caveolar-related mechanism in most cell types, whereas CtxB may undergo “pathway switching” when cav-1 levels are low.","author":[{"dropping-particle":"","family":"Singh","given":"Raman Deep","non-dropping-particle":"","parse-names":false,"suffix":""},{"dropping-particle":"","family":"Puri","given":"Vishwajeet","non-dropping-particle":"","parse-names":false,"suffix":""},{"dropping-particle":"","family":"Valiyaveettil","given":"Jacob T.","non-dropping-particle":"","parse-names":false,"suffix":""},{"dropping-particle":"","family":"Marks","given":"David L.","non-dropping-particle":"","parse-names":false,"suffix":""},{"dropping-particle":"","family":"Bittman","given":"Robert","non-dropping-particle":"","parse-names":false,"suffix":""},{"dropping-particle":"","family":"Pagano","given":"Richard E.","non-dropping-particle":"","parse-names":false,"suffix":""}],"container-title":"Molecular Biology of the Cell","id":"ITEM-2","issue":"8","issued":{"date-parts":[["2003","8"]]},"page":"3254-3265","title":"Selective Caveolin-1–dependent Endocytosis of Glycosphingolipids","type":"article-journal","volume":"14"},"uris":["http://www.mendeley.com/documents/?uuid=84d1d57f-6858-4183-a502-ff39df34950f"]},{"id":"ITEM-3","itemData":{"DOI":"10.1023/A:1020404615898","ISSN":"07248741","PMID":"12425466","abstract":"Purpose. The objective of this study was to evaluate the extent and mechanism of uptake of fluorescent chitosan nanoparticles by the A549 cells, a human cell line derived from the respiratory epithelium. Methods. Covalent conjugation with fluorescein-5-isothiocyanate yielded stably labeled chitosan molecules, which were successfully formulated into nanoparticles by ionotropic gelation. Uptake of fluorescein-5-isothiocyanate-chitosan nanoparticles and chitosan molecules by confluent A549 cells was quantified by fluorometry. Results. Cellular uptake of chitosan nanoparticles was concentration and temperature dependent, having Km and Vmax of 3.84 μM and 58.14 μg/mg protein/h, respectively. Uptake of chitosan nanoparticles was up to 1.8-fold higher than that of chitosan molecules alone and was not inhibited by excess unlabeled chitosan molecules. Hyperosmolarity, chlorpromazine and K+ depletion inhibited by 65, 34, and 54%, respectively, the uptake of chitosan nanoparticles at 37°C, but filipin had no influence on the uptake. Confocal imaging confirmed the internalization of the chitosan nanoparticles by the A549 cells at 37°C. Conclusions. Formulation of chitosan into nanoparticles significantly improved its uptake by the A549 cells. Internalization of chitosan nanoparticles by the cells seems to occur predominantly by adsorptive endocytosis initiated by nonspecific interactions between nanoparticles and cell membranes, and was in part mediated by clathrin-mediated process.","author":[{"dropping-particle":"","family":"Huang","given":"Min","non-dropping-particle":"","parse-names":false,"suffix":""},{"dropping-particle":"","family":"Ma","given":"Zengshuan","non-dropping-particle":"","parse-names":false,"suffix":""},{"dropping-particle":"","family":"Khor","given":"Eugene","non-dropping-particle":"","parse-names":false,"suffix":""},{"dropping-particle":"","family":"Lim","given":"Lee Yong","non-dropping-particle":"","parse-names":false,"suffix":""}],"container-title":"Pharmaceutical Research","id":"ITEM-3","issue":"10","issued":{"date-parts":[["2002"]]},"page":"1488-1494","title":"Uptake of FITC-chitosan nanoparticles by A549 cells","type":"article-journal","volume":"19"},"uris":["http://www.mendeley.com/documents/?uuid=8de9e2e5-3c44-4e5a-9897-c8852f120479"]}],"mendeley":{"formattedCitation":"&lt;sup&gt;177,197,207&lt;/sup&gt;","plainTextFormattedCitation":"177,197,207","previouslyFormattedCitation":"&lt;sup&gt;177,197,207&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177,197,207</w:t>
            </w:r>
            <w:r w:rsidRPr="00403195">
              <w:rPr>
                <w:rFonts w:ascii="Arial" w:eastAsia="Times New Roman" w:hAnsi="Arial" w:cs="Arial"/>
                <w:sz w:val="20"/>
                <w:szCs w:val="20"/>
              </w:rPr>
              <w:fldChar w:fldCharType="end"/>
            </w:r>
          </w:p>
          <w:p w14:paraId="4C1DF354" w14:textId="77777777" w:rsidR="00403195" w:rsidRPr="00403195" w:rsidRDefault="00403195">
            <w:pPr>
              <w:rPr>
                <w:rFonts w:ascii="Arial" w:eastAsia="Times New Roman" w:hAnsi="Arial" w:cs="Arial"/>
                <w:sz w:val="20"/>
                <w:szCs w:val="20"/>
              </w:rPr>
            </w:pPr>
          </w:p>
          <w:p w14:paraId="340CB841" w14:textId="77777777" w:rsidR="00403195" w:rsidRPr="00403195" w:rsidRDefault="00403195">
            <w:pPr>
              <w:rPr>
                <w:rFonts w:ascii="Arial" w:eastAsia="Times New Roman" w:hAnsi="Arial" w:cs="Arial"/>
                <w:sz w:val="20"/>
                <w:szCs w:val="20"/>
              </w:rPr>
            </w:pPr>
          </w:p>
        </w:tc>
      </w:tr>
      <w:tr w:rsidR="00403195" w:rsidRPr="00403195" w14:paraId="7F868497"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660A903" w14:textId="77777777" w:rsidR="00403195" w:rsidRPr="00403195" w:rsidRDefault="00403195">
            <w:pPr>
              <w:rPr>
                <w:rFonts w:ascii="Arial" w:eastAsia="Times New Roman" w:hAnsi="Arial" w:cs="Arial"/>
                <w:sz w:val="20"/>
                <w:szCs w:val="20"/>
              </w:rPr>
            </w:pPr>
            <w:proofErr w:type="spellStart"/>
            <w:r w:rsidRPr="00403195">
              <w:rPr>
                <w:rStyle w:val="normaltextrun"/>
                <w:rFonts w:ascii="Arial" w:hAnsi="Arial" w:cs="Arial"/>
                <w:sz w:val="20"/>
                <w:szCs w:val="20"/>
              </w:rPr>
              <w:t>Dynasore</w:t>
            </w:r>
            <w:proofErr w:type="spellEnd"/>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540AACF"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Clathrin Mediated Endocytosis and Caveolae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CE5B56C"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Inhibits the GTPase activity of dynamin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036DAB22"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-&lt;75% inhibition of transferrin in HeLa cells</w:t>
            </w:r>
            <w:r w:rsidRPr="00403195">
              <w:rPr>
                <w:rStyle w:val="eop"/>
                <w:rFonts w:ascii="Arial" w:eastAsia="MS Mincho" w:hAnsi="Arial" w:cs="Arial"/>
                <w:sz w:val="20"/>
                <w:szCs w:val="20"/>
              </w:rPr>
              <w:t> </w:t>
            </w:r>
          </w:p>
          <w:p w14:paraId="214AE1F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-&lt;60% inhibition of carboxylate-modified polystyrene beads in HeLa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50CC67F2"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This has been shown to affect multiple pathways </w:t>
            </w:r>
            <w:r w:rsidRPr="00403195">
              <w:rPr>
                <w:rStyle w:val="eop"/>
                <w:rFonts w:ascii="Arial" w:eastAsia="MS Mincho" w:hAnsi="Arial" w:cs="Arial"/>
                <w:sz w:val="20"/>
                <w:szCs w:val="20"/>
              </w:rPr>
              <w:t> </w:t>
            </w:r>
          </w:p>
          <w:p w14:paraId="4CBCA23A"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eop"/>
                <w:rFonts w:ascii="Arial" w:eastAsia="MS Mincho" w:hAnsi="Arial" w:cs="Arial"/>
                <w:sz w:val="20"/>
                <w:szCs w:val="20"/>
              </w:rPr>
              <w:t> </w:t>
            </w:r>
          </w:p>
          <w:p w14:paraId="7BA879D0"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has been shown to enhance TGFβ signaling, which could have off-target effects in certain studies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60C3D" w14:textId="16FF800B"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 xml:space="preserve">ADDIN CSL_CITATION {"citationItems":[{"id":"ITEM-1","itemData":{"DOI":"10.1016/j.devcel.2006.04.002","ISSN":"15345807","abstract":"Dynamin is essential for clathrin-dependent coated vesicle formation. It is required for membrane budding at a late stage during the transition from a fully formed pit to a pinched-off vesicle. Dynamin may also fulfill other roles during earlier stages of vesicle formation. We have screened about 16,000 small molecules and have identified 1, named here dynasore, that interferes in vitro with the GTPase activity of dynamin1, dynamin2, and Drp1, the mitochondrial dynamin, but not of other small GTPases. Dynasore acts as a potent inhibitor of endocytic pathways known to depend on dynamin by rapidly blocking coated vesicle formation within seconds of dynasore addition. Two types of coated pit intermediates accumulate during dynasore treatment, </w:instrText>
            </w:r>
            <w:r w:rsidR="008C387C">
              <w:rPr>
                <w:rFonts w:ascii="Cambria Math" w:eastAsia="Times New Roman" w:hAnsi="Cambria Math" w:cs="Cambria Math"/>
                <w:sz w:val="20"/>
                <w:szCs w:val="20"/>
              </w:rPr>
              <w:instrText>∪</w:instrText>
            </w:r>
            <w:r w:rsidR="008C387C">
              <w:rPr>
                <w:rFonts w:ascii="Arial" w:eastAsia="Times New Roman" w:hAnsi="Arial" w:cs="Arial"/>
                <w:sz w:val="20"/>
                <w:szCs w:val="20"/>
              </w:rPr>
              <w:instrText>-shaped, half formed pits and O-shaped, fully formed pits, captured while pinching off. Thus, dynamin acts at two steps during clathrin coat formation; GTP hydrolysis is probably needed at both steps. © 2006 Elsevier Inc. All rights reserved.","author":[{"dropping-particle":"","family":"Macia","given":"Eric","non-dropping-particle":"","parse-names":false,"suffix":""},{"dropping-particle":"","family":"Ehrlich","given":"Marcelo","non-dropping-particle":"","parse-names":false,"suffix":""},{"dropping-particle":"","family":"Massol","given":"Ramiro","non-dropping-particle":"","parse-names":false,"suffix":""},{"dropping-particle":"","family":"Boucrot","given":"Emmanuel","non-dropping-particle":"","parse-names":false,"suffix":""},{"dropping-particle":"","family":"Brunner","given":"Christian","non-dropping-particle":"","parse-names":false,"suffix":""},{"dropping-particle":"","family":"Kirchhausen","given":"Tomas","non-dropping-particle":"","parse-names":false,"suffix":""}],"container-title":"Developmental Cell","id":"ITEM-1","issue":"6","issued":{"date-parts":[["2006"]]},"page":"839-850","title":"Dynasore, a Cell-Permeable Inhibitor of Dynamin","type":"article-journal","volume":"10"},"uris":["http://www.mendeley.com/documents/?uuid=9f07aedf-c028-4a19-8582-ecce9adaaf8b"]},{"id":"ITEM-2","itemData":{"DOI":"10.1083/jcb.141.1.85","ISSN":"00219525","abstract":"The dynamins comprise an expanding family of ubiquitously expressed 100-kD GTPases that have been implicated in severing clathrin-coated pits during receptor-mediated endocytosis. Currently, it is unclear whether the different dynamin isoforms perform redundant functions or participate in distinct endocytic processes. To define the function of dynamin II in mammalian epithelial cells, we have generated and characterized peptide-specific antibodies to domains that either are unique to this isoform or conserved within the dynamin family. When microinjected into cultured hepatocytes these affinity-purified antibodies inhibited clathrin-mediated endocytosis and induced the formation of long plasmalemmal invaginations with attached clathrin-coated pits. In addition, clusters of distinct, nonclathrin-coated, flask-shaped invaginations resembling caveolae accumulated at the plasma membrane of antibody-injected cells. In support of this, caveola-mediated endocytosis of labeled cholera toxin B was inhibited in antibody-injected hepatocytes. Using immunoisolation techniques an anti-dynamin antibody isolated caveolar membranes directly from a hepatocyte postnuclear membrane fraction. Finally, double label immunofluorescence microscopy revealed a striking colocalization between dynamin and the caveolar coat protein caveolin. Thus, functional in vivo studies as well as ultrastructural and biochemical analyses indicate that dynamin mediates both clathrin-dependent endocytosis and the internalization of caveolae in mammalian cells.","author":[{"dropping-particle":"","family":"Henley","given":"John R.","non-dropping-particle":"","parse-names":false,"suffix":""},{"dropping-particle":"","family":"Krueger","given":"Eugene W.A.","non-dropping-particle":"","parse-names":false,"suffix":""},{"dropping-particle":"","family":"Oswald","given":"Barbara J.","non-dropping-particle":"","parse-names":false,"suffix":""},{"dropping-particle":"","family":"McNiven","given":"Mark A.","non-dropping-particle":"","parse-names":false,"suffix":""}],"container-title":"Journal of Cell Biology","id":"ITEM-2","issue":"1","issued":{"date-parts":[["1998"]]},"page":"85-99","title":"Dynamin-mediated internalization of caveolae","type":"article-journal","volume":"141"},"uris":["http://www.mendeley.com/documents/?uuid=0bf3dc1f-171a-49b6-9367-e73d2b6423f1"]},{"id":"ITEM-3","itemData":{"DOI":"10.2147/IJN.S29334","ISSN":"11769114","abstract":"Increasing production and application of nanomaterials raises significant questions regarding the potential for cellular entry and toxicity of nanoparticles. It was observed that the presence of serum reduces the cellular association of 20 nm carboxylate-modified fluorescent polystyrene beads up to 20-fold, relative to cells incubated in serum-free media. Analysis by confocal microscopy demonstrated that the presence of serum greatly reduces the cell surface association of nanoparticles, as well as the potential for internalization. However, both in the presence and absence of serum, nanoparticle entry depends upon clathrin-mediated endocytosis. Finally, experiments performed with cells cooled to 4°C suggest that a proportion of the accumulation of nanoparticles in cells was likely due to direct permeabilization of the plasma membrane. © 2012 Smith et al, publisher and licensee Dove Medical Press Ltd.","author":[{"dropping-particle":"","family":"Smith","given":"Philip J.","non-dropping-particle":"","parse-names":false,"suffix":""},{"dropping-particle":"","family":"Giroud","given":"Maude","non-dropping-particle":"","parse-names":false,"suffix":""},{"dropping-particle":"","family":"Wiggins","given":"Helen L.","non-dropping-particle":"","parse-names":false,"suffix":""},{"dropping-particle":"","family":"Gower","given":"Florence","non-dropping-particle":"","parse-names":false,"suffix":""},{"dropping-particle":"","family":"Thorley","given":"Jennifer A.","non-dropping-particle":"","parse-names":false,"suffix":""},{"dropping-particle":"","family":"Stolpe","given":"Bjorn","non-dropping-particle":"","parse-names":false,"suffix":""},{"dropping-particle":"","family":"Mazzolini","given":"Julie","non-dropping-particle":"","parse-names":false,"suffix":""},{"dropping-particle":"","family":"Dyson","given":"Rosemary J.","non-dropping-particle":"","parse-names":false,"suffix":""},{"dropping-particle":"","family":"Rappoport","given":"Joshua Z.","non-dropping-particle":"","parse-names":false,"suffix":""}],"container-title":"International Journal of Nanomedicine","id":"ITEM-3","issued":{"date-parts":[["2012"]]},"page":"2045-2055","title":"Cellular entry of nanoparticles via serum sensitive clathrin-mediated endocytosis, and plasma membrane permeabilization","type":"article-journal","volume":"7"},"uris":["http://www.mendeley.com/documents/?uuid=6e43b045-ccea-47fd-8506-9d814037fd2a"]},{"id":"ITEM-4","itemData":{"DOI":"10.1242/jcs.038729","ISSN":"00219533","abstract":"Clathrin-dependent endocytosis is believed to be involved in TGFβ-stimulated cellular responses, but the subcellular locus at which TGFβ induces signaling remains unclear. Here, we demonstrate that inhibitors of clathrin-dependent endocytosis, which are known to arrest the progression of endocytosis at coated-pit stages, inhibit internalization of cell-surface-bound TGFβ and promote colocalization and accumulation of TβR-I and SARA at the plasma membrane. These inhibitors enhance TGFβ-induced signaling and cellular responses (Smad2 phosphorylation/nuclear localization and expression of PAI-1). Dynasore, a newly identified inhibitor of dynamin GTPase activity, is one of the most potent inhibitors among those tested and, furthermore, is a potent enhancer of TGFβ. Dynasore ameliorates atherosclerosis in the aortic endothelium of hypercholesterolemic ApoE-null mice by counteracting the suppressed TGFβ responsiveness caused by the hypercholesterolemia, presumably acting through its effect on TGFβ endocytosis and signaling in vascular cells.","author":[{"dropping-particle":"","family":"Chen","given":"Chun Lin","non-dropping-particle":"","parse-names":false,"suffix":""},{"dropping-particle":"","family":"Hou","given":"Wei Hsien","non-dropping-particle":"","parse-names":false,"suffix":""},{"dropping-particle":"","family":"Liu","given":"I. Hua","non-dropping-particle":"","parse-names":false,"suffix":""},{"dropping-particle":"","family":"Hsiao","given":"George","non-dropping-particle":"","parse-names":false,"suffix":""},{"dropping-particle":"","family":"Huang","given":"Shuan Shian","non-dropping-particle":"","parse-names":false,"suffix":""},{"dropping-particle":"","family":"Huang","given":"Jung San","non-dropping-particle":"","parse-names":false,"suffix":""}],"container-title":"Journal of Cell Science","id":"ITEM-4","issue":"11","issued":{"date-parts":[["2009"]]},"page":"1863-1871","title":"Inhibitors of clathrin-dependent endocytosis enhance TGFβ signaling and responses","type":"article-journal","volume":"122"},"uris":["http://www.mendeley.com/documents/?uuid=a72eb462-599a-4247-85e8-61972ae186c4"]}],"mendeley":{"formattedCitation":"&lt;sup&gt;123,208–210&lt;/sup&gt;","plainTextFormattedCitation":"123,208–210","previouslyFormattedCitation":"&lt;sup&gt;123,208–210&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123,208–210</w:t>
            </w:r>
            <w:r w:rsidRPr="00403195">
              <w:rPr>
                <w:rFonts w:ascii="Arial" w:eastAsia="Times New Roman" w:hAnsi="Arial" w:cs="Arial"/>
                <w:sz w:val="20"/>
                <w:szCs w:val="20"/>
              </w:rPr>
              <w:fldChar w:fldCharType="end"/>
            </w:r>
          </w:p>
          <w:p w14:paraId="45203463" w14:textId="77777777" w:rsidR="00403195" w:rsidRPr="00403195" w:rsidRDefault="00403195">
            <w:pPr>
              <w:rPr>
                <w:rFonts w:ascii="Arial" w:eastAsia="Times New Roman" w:hAnsi="Arial" w:cs="Arial"/>
                <w:sz w:val="20"/>
                <w:szCs w:val="20"/>
              </w:rPr>
            </w:pPr>
          </w:p>
        </w:tc>
      </w:tr>
      <w:tr w:rsidR="00403195" w:rsidRPr="00403195" w14:paraId="48B558C0"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69991C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Chloroquine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C79B7E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Clathrin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4905555"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Prevents the transition of type 2 clathrin coated pits to type 3 clathrin coated pits, preventing the formation of clathrin coated vesicles.</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40267DDD"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-85% inhibition of TGFβ1 in Mv1Lu cells</w:t>
            </w:r>
            <w:r w:rsidRPr="00403195">
              <w:rPr>
                <w:rStyle w:val="eop"/>
                <w:rFonts w:ascii="Arial" w:eastAsia="MS Mincho" w:hAnsi="Arial" w:cs="Arial"/>
                <w:sz w:val="20"/>
                <w:szCs w:val="20"/>
              </w:rPr>
              <w:t> </w:t>
            </w:r>
          </w:p>
          <w:p w14:paraId="1FB754EA"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-&lt;80% inhibition of cationic liposomes in Cos-7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57414F60"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has been shown to enhance TGFβ signaling, which could have off-target effects in certain studies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8F02D1" w14:textId="6587A130"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{"citationItems":[{"id":"ITEM-1","itemData":{"DOI":"10.1242/jcs.038729","ISSN":"00219533","abstract":"Clathrin-dependent endocytosis is believed to be involved in TGFβ-stimulated cellular responses, but the subcellular locus at which TGFβ induces signaling remains unclear. Here, we demonstrate that inhibitors of clathrin-dependent endocytosis, which are known to arrest the progression of endocytosis at coated-pit stages, inhibit internalization of cell-surface-bound TGFβ and promote colocalization and accumulation of TβR-I and SARA at the plasma membrane. These inhibitors enhance TGFβ-induced signaling and cellular responses (Smad2 phosphorylation/nuclear localization and expression of PAI-1). Dynasore, a newly identified inhibitor of dynamin GTPase activity, is one of the most potent inhibitors among those tested and, furthermore, is a potent enhancer of TGFβ. Dynasore ameliorates atherosclerosis in the aortic endothelium of hypercholesterolemic ApoE-null mice by counteracting the suppressed TGFβ responsiveness caused by the hypercholesterolemia, presumably acting through its effect on TGFβ endocytosis and signaling in vascular cells.","author":[{"dropping-particle":"","family":"Chen","given":"Chun Lin","non-dropping-particle":"","parse-names":false,"suffix":""},{"dropping-particle":"","family":"Hou","given":"Wei Hsien","non-dropping-particle":"","parse-names":false,"suffix":""},{"dropping-particle":"","family":"Liu","given":"I. Hua","non-dropping-particle":"","parse-names":false,"suffix":""},{"dropping-particle":"","family":"Hsiao","given":"George","non-dropping-particle":"","parse-names":false,"suffix":""},{"dropping-particle":"","family":"Huang","given":"Shuan Shian","non-dropping-particle":"","parse-names":false,"suffix":""},{"dropping-particle":"","family":"Huang","given":"Jung San","non-dropping-particle":"","parse-names":false,"suffix":""}],"container-title":"Journal of Cell Science","id":"ITEM-1","issue":"11","issued":{"date-parts":[["2009"]]},"page":"1863-1871","title":"Inhibitors of clathrin-dependent endocytosis enhance TGFβ signaling and responses","type":"article-journal","volume":"122"},"uris":["http://www.mendeley.com/documents/?uuid=a72eb462-599a-4247-85e8-61972ae186c4"]},{"id":"ITEM-2","itemData":{"DOI":"10.1016/j.colsurfb.2006.03.014","ISSN":"09277765","abstract":"A defined change in formulation components affects the physical and chemical characteristics of cationic liposomes (CLs) carriers in many ways. Therefore, a great degree of control can be exercised over the structure by modifying the CLs with various materials, leading to new innovations for carrier improvement. In the present study, surface modifications of cationic liposomes with non-ionic surfactants-sorbitan monoesters serials (Span 85, 80, 40 and 20) were carried out for developing a new gene transfer carrier. Span modified cationic liposomes (Sp-CLs) were prepared by reverse phase evaporation method (RPV) and self-assemble complexes of antisense oligonucleotides/surfactant modifying cationic liposomes were prepared by auto-coacervation through electrostatic effect. Characterization of Sp-CLs and the self-assembled complex was performed by electron microscope, particle size, zeta potential, turbidity and agarose electrophoresis. Furthermore, in vitro cellular uptake experiment showed that Span plays a role in enhancing the cellular uptake of encapsulated oligonucleotides mediated by Sp-CLs by the endocytosis-dependent route. CLs modified with Span 40 significantly facilitated the cellular uptake by COS-7 cells and HeLa cells; also showed some positive effect on gene expression. That suggests it is a potential non-viral carrier for efficient gene transfer. © 2006 Elsevier B.V. All rights reserved.","author":[{"dropping-particle":"","family":"Huang","given":"Yong Zhuo","non-dropping-particle":"","parse-names":false,"suffix":""},{"dropping-particle":"","family":"Gao","given":"Jian Qing","non-dropping-particle":"","parse-names":false,"suffix":""},{"dropping-particle":"","family":"Chen","given":"Jin Liang","non-dropping-particle":"","parse-names":false,"suffix":""},{"dropping-particle":"","family":"Liang","given":"Wen Quan","non-dropping-particle":"","parse-names":false,"suffix":""}],"container-title":"Colloids and Surfaces B: Biointerfaces","id":"ITEM-2","issue":"2","issued":{"date-parts":[["2006"]]},"page":"158-164","title":"Cationic liposomes modified with non-ionic surfactants as effective non-viral carrier for gene transfer","type":"article-journal","volume":"49"},"uris":["http://www.mendeley.com/documents/?uuid=77310236-bfd6-4d99-9750-6ea46c225b6e"]}],"mendeley":{"formattedCitation":"&lt;sup&gt;189,210&lt;/sup&gt;","plainTextFormattedCitation":"189,210","previouslyFormattedCitation":"&lt;sup&gt;189,210&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189,210</w:t>
            </w:r>
            <w:r w:rsidRPr="00403195">
              <w:rPr>
                <w:rFonts w:ascii="Arial" w:eastAsia="Times New Roman" w:hAnsi="Arial" w:cs="Arial"/>
                <w:sz w:val="20"/>
                <w:szCs w:val="20"/>
              </w:rPr>
              <w:fldChar w:fldCharType="end"/>
            </w:r>
          </w:p>
          <w:p w14:paraId="2C6C102D" w14:textId="77777777" w:rsidR="00403195" w:rsidRPr="00403195" w:rsidRDefault="00403195">
            <w:pPr>
              <w:rPr>
                <w:rFonts w:ascii="Arial" w:eastAsia="Times New Roman" w:hAnsi="Arial" w:cs="Arial"/>
                <w:sz w:val="20"/>
                <w:szCs w:val="20"/>
              </w:rPr>
            </w:pPr>
          </w:p>
        </w:tc>
      </w:tr>
      <w:tr w:rsidR="00403195" w:rsidRPr="00403195" w14:paraId="60169912"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01AA5BF"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Cytochalasin D</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955951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Macropinocytosis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3453AD7"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Binds to actin filaments, preventing the association and disassociation of subunits at the binding sites.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41EF3FBE"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-&lt;60 inhibition of FITC-dextran in monocyte derived dendritic cells</w:t>
            </w:r>
            <w:r w:rsidRPr="00403195">
              <w:rPr>
                <w:rStyle w:val="eop"/>
                <w:rFonts w:ascii="Arial" w:eastAsia="MS Mincho" w:hAnsi="Arial" w:cs="Arial"/>
                <w:sz w:val="20"/>
                <w:szCs w:val="20"/>
              </w:rPr>
              <w:t> </w:t>
            </w:r>
          </w:p>
          <w:p w14:paraId="126D3CC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-50% inhibition of 50-50 PLGA NPs in rabbit conjunctival epithelial cells </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03C0A510"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also inhibits phagocytosis and other actin polymerization dependent processes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890E56" w14:textId="3E6BD90C"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{"citationItems":[{"id":"ITEM-1","itemData":{"DOI":"10.1111/j.1365-2567.2005.02253.x","ISSN":"00192805","abstract":"We present here the analysis of fluid-phase endocytosis (FPE) in human blood monocytes and monocyte-derived dendritic cells (MDDC) facilitated by our serendipitous identification of rottlerin as an efficient inhibitor of dendritic cell FPE (IC50 of 0.4 μM). Rottlerin was found to be an excellent tool for FPE analysis: rapid-acting, irreversible and selective for FPE (as opposed to receptor-mediated endocytosis) at concentrations of 3 μM and below. The inhibitory effect was not due to toxicity or visible change in membrane ruffles, but affects on cytoskeletal reorganization were evident in MDDC treated with relevant rottlerin concentrations during adhesion. A marked increase in FPE was observed in 1 hr interleukin (IL)-4 and granulocyte macrophage-colony stimulating factor (GM-CSF)-stimulated monocytes. Moreover, rottlerin inhibited the augmented FPE of 1-day cytokine treated monocytes and their augmented ability to induce T cell proliferative responses to tetanus toxoid. We conclude that rottlerin is a useful tool for investigating FPE and its functional importance. © 2005 Blackwell Publishing Ltd.","author":[{"dropping-particle":"","family":"Sarkar","given":"Kakali","non-dropping-particle":"","parse-names":false,"suffix":""},{"dropping-particle":"","family":"Kruhlak","given":"Michael J.","non-dropping-particle":"","parse-names":false,"suffix":""},{"dropping-particle":"","family":"Erlandsen","given":"Stanley L.","non-dropping-particle":"","parse-names":false,"suffix":""},{"dropping-particle":"","family":"Shaw","given":"Stephen","non-dropping-particle":"","parse-names":false,"suffix":""}],"container-title":"Immunology","id":"ITEM-1","issue":"4","issued":{"date-parts":[["2005"]]},"page":"513-524","title":"Selective inhibition by rottlerin of macropinocytosis in monocyte-derived dendritic cells","type":"article-journal","volume":"116"},"uris":["http://www.mendeley.com/documents/?uuid=6ff666a9-ea17-44f7-aafb-fb30fb07cdd2"]},{"id":"ITEM-2","itemData":{"DOI":"10.1083/jcb.105.4.1473","ISSN":"00219525","PMID":"3312229","author":[{"dropping-particle":"","family":"Cooper","given":"J. A.","non-dropping-particle":"","parse-names":false,"suffix":""}],"container-title":"The Journal of cell biology","id":"ITEM-2","issue":"4","issued":{"date-parts":[["1987"]]},"page":"1473-1478","title":"Effects of cytochalasin and phalloidin on actin.","type":"article-journal","volume":"105"},"uris":["http://www.mendeley.com/documents/?uuid=773f31df-f3d9-4fb6-be63-a99579d9f26d"]},{"id":"ITEM-3","itemData":{"DOI":"10.1023/B:PHAM.0000022411.47059.76","ISSN":"07248741","PMID":"15139521","abstract":"Purpose. To delineate the characteristics and mechanisms of uptake of biodegradable poly(D,L-lactide-co-glycolide) (PLGA) nanoparticles in primary cultured rabbit conjunctival epithelial cells (RCECs). Methods. Poly(D,L-lactide-co-glycolide) nanoparticles (PLGA 50:50, 100 nm in diameter) containing 6-coumarin (as a fluorescent marker) were used. The effect of size was studied using various particle sizes (100 nm, 800 nm, and 10 μm). The effect of cytochalasin D, nocodazole, and metabolic inhibitors on nanoparticle uptake was investigated. The capability of nanoparticles to enhance the uptake of an encapsulated protein, BSA bound to Texas red (TR-BSA), was evaluated. Results. Maximal uptake of nanoparticles at 37°C occurred at 2 h, and 100-nm particles had the highest uptake in RCECs in comparison with 800-nm and 10-μm particles. Nanoparticle uptake was saturable over the 0.1-4 mg/ml concentration range. Nanoparticle uptake was confirmed by confocal microscopy and was inhibited significantly by coumarin-free nanoparticles (of similar size), by lower incubation temperature, and by the presence of metabolic inhibitors and cytochalasin D. The uptake of encapsulated TR-BSA in RCECs at 4 h was 28% higher than free BSA application. Conclusion. Our findings suggest that PLGA nanoparticle uptake in primary cultured rabbit conjunctival epithelial cells occurs most likely by adsorptive-type endocytosis.","author":[{"dropping-particle":"","family":"Qaddoumi","given":"Mohamed G.","non-dropping-particle":"","parse-names":false,"suffix":""},{"dropping-particle":"","family":"Ueda","given":"Hideo","non-dropping-particle":"","parse-names":false,"suffix":""},{"dropping-particle":"","family":"Yang","given":"Johnny","non-dropping-particle":"","parse-names":false,"suffix":""},{"dropping-particle":"","family":"Davda","given":"Jasmine","non-dropping-particle":"","parse-names":false,"suffix":""},{"dropping-particle":"","family":"Labhasetwar","given":"Vinod","non-dropping-particle":"","parse-names":false,"suffix":""},{"dropping-particle":"","family":"Lee","given":"Vincent H.L.","non-dropping-particle":"","parse-names":false,"suffix":""}],"container-title":"Pharmaceutical Research","id":"ITEM-3","issue":"4","issued":{"date-parts":[["2004"]]},"page":"641-648","title":"The characteristics and mechanisms of uptake of PLGA nanoparticles in rabbit conjunctival epithelial cell layers","type":"article-journal","volume":"21"},"uris":["http://www.mendeley.com/documents/?uuid=ee679069-5947-45c6-b62a-d558fa857b69"]},{"id":"ITEM-4","itemData":{"DOI":"10.1111/bph.14429","ISSN":"14765381","abstract":"Background and Purpose: Macropinocytosis is involved in many pathologies, including cardiovascular disorders, cancer, allergic diseases, viral and bacterial infections. Unfortunately, the currently available pharmacological inhibitors of macropinocytosis interrupt other endocytic processes and have non-specific endocytosis-independent effects. Here we have sought to identify new, clinically relevant inhibitors of macropinocytosis, using an FDA-approved drug library. Experimental Approach: In the present study, 640 FDA-approved compounds were tested for their ability to inhibit macropinocytosis. A series of secondary assays were performed to confirm inhibitory activity, determine IC50 values and investigate cell toxicity. The ability of identified hits to inhibit phagocytosis and clathrin-mediated and caveolin-mediated endocytosis was also investigated. Scanning electron microscopy and molecular biology techniques were utilized to examine the mechanisms by which selected compounds inhibit macropinocytosis. Key Results: The primary screen identified 14 compounds that at ~10 μM concentration inhibit &gt;95% of macropinocytotic solute internalization. Three compounds - imipramine, phenoxybenzamine and vinblastine - potently inhibited (IC50 ≤ 131 nM) macropinocytosis without exerting cytotoxic effects or inhibiting other endocytic pathways. Scanning electron microscopy imaging indicated that imipramine inhibits membrane ruffle formation, a critical early step leading to initiation of macropinocytosis. Finally, imipramine has been shown to inhibit macropinocytosis in several cell types, including cancer cells, dendritic cells and macrophages. Conclusions and Implications: Our results identify imipramine as a new pharmacological tool to study macropinocytosis in cellular and biological systems. This study also suggests that imipramine could be a good candidate for repurposing as a therapeutic agent in pathological processes involving macropinocytosis.","author":[{"dropping-particle":"","family":"Lin","given":"Hui Ping","non-dropping-particle":"","parse-names":false,"suffix":""},{"dropping-particle":"","family":"Singla","given":"Bhupesh","non-dropping-particle":"","parse-names":false,"suffix":""},{"dropping-particle":"","family":"Ghoshal","given":"Pushpankur","non-dropping-particle":"","parse-names":false,"suffix":""},{"dropping-particle":"","family":"Faulkner","given":"Jessica L.","non-dropping-particle":"","parse-names":false,"suffix":""},{"dropping-particle":"","family":"Cherian-Shaw","given":"Mary","non-dropping-particle":"","parse-names":false,"suffix":""},{"dropping-particle":"","family":"O'Connor","given":"Paul M.","non-dropping-particle":"","parse-names":false,"suffix":""},{"dropping-particle":"","family":"She","given":"Jin Xiong","non-dropping-particle":"","parse-names":false,"suffix":""},{"dropping-particle":"","family":"Belin de Chantemele","given":"Eric J.","non-dropping-particle":"","parse-names":false,"suffix":""},{"dropping-particle":"","family":"Csányi","given":"Gábor","non-dropping-particle":"","parse-names":false,"suffix":""}],"container-title":"British Journal of Pharmacology","id":"ITEM-4","issue":"18","issued":{"date-parts":[["2018"]]},"page":"3640-3655","title":"Identification of novel macropinocytosis inhibitors using a rational screen of Food and Drug Administration-approved drugs","type":"article-journal","volume":"175"},"uris":["http://www.mendeley.com/documents/?uuid=591f4bd2-8b4e-4229-a6e6-26da952623a0"]}],"mendeley":{"formattedCitation":"&lt;sup&gt;178,211–213&lt;/sup&gt;","plainTextFormattedCitation":"178,211–213","previouslyFormattedCitation":"&lt;sup&gt;178,211–213&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178,211–213</w:t>
            </w:r>
            <w:r w:rsidRPr="00403195">
              <w:rPr>
                <w:rFonts w:ascii="Arial" w:eastAsia="Times New Roman" w:hAnsi="Arial" w:cs="Arial"/>
                <w:sz w:val="20"/>
                <w:szCs w:val="20"/>
              </w:rPr>
              <w:fldChar w:fldCharType="end"/>
            </w:r>
          </w:p>
          <w:p w14:paraId="74F7C391" w14:textId="77777777" w:rsidR="00403195" w:rsidRPr="00403195" w:rsidRDefault="00403195">
            <w:pPr>
              <w:rPr>
                <w:rFonts w:ascii="Arial" w:eastAsia="Times New Roman" w:hAnsi="Arial" w:cs="Arial"/>
                <w:sz w:val="20"/>
                <w:szCs w:val="20"/>
              </w:rPr>
            </w:pPr>
          </w:p>
        </w:tc>
      </w:tr>
      <w:tr w:rsidR="00403195" w:rsidRPr="00403195" w14:paraId="7D95A63D"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DFB2A11"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lastRenderedPageBreak/>
              <w:t>5-(N-Ethyl-N-Isopropyl)</w:t>
            </w:r>
            <w:r w:rsidRPr="00403195">
              <w:rPr>
                <w:rStyle w:val="eop"/>
                <w:rFonts w:ascii="Arial" w:eastAsia="MS Mincho" w:hAnsi="Arial" w:cs="Arial"/>
                <w:sz w:val="20"/>
                <w:szCs w:val="20"/>
              </w:rPr>
              <w:t> </w:t>
            </w:r>
          </w:p>
          <w:p w14:paraId="0789C8E9"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Amiloride (EIPA)</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BED5A5A"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Macropinocytosis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BB0020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Inhibits Na</w:t>
            </w:r>
            <w:r w:rsidRPr="00403195">
              <w:rPr>
                <w:rStyle w:val="normaltextrun"/>
                <w:rFonts w:ascii="Arial" w:hAnsi="Arial" w:cs="Arial"/>
                <w:sz w:val="20"/>
                <w:szCs w:val="20"/>
                <w:vertAlign w:val="superscript"/>
              </w:rPr>
              <w:t>+</w:t>
            </w:r>
            <w:r w:rsidRPr="00403195">
              <w:rPr>
                <w:rStyle w:val="normaltextrun"/>
                <w:rFonts w:ascii="Arial" w:hAnsi="Arial" w:cs="Arial"/>
                <w:sz w:val="20"/>
                <w:szCs w:val="20"/>
              </w:rPr>
              <w:t>/H</w:t>
            </w:r>
            <w:r w:rsidRPr="00403195">
              <w:rPr>
                <w:rStyle w:val="normaltextrun"/>
                <w:rFonts w:ascii="Arial" w:hAnsi="Arial" w:cs="Arial"/>
                <w:sz w:val="20"/>
                <w:szCs w:val="20"/>
                <w:vertAlign w:val="superscript"/>
              </w:rPr>
              <w:t>+</w:t>
            </w:r>
            <w:r w:rsidRPr="00403195">
              <w:rPr>
                <w:rStyle w:val="normaltextrun"/>
                <w:rFonts w:ascii="Arial" w:hAnsi="Arial" w:cs="Arial"/>
                <w:sz w:val="20"/>
                <w:szCs w:val="20"/>
              </w:rPr>
              <w:t> exchange to disrupt actin polymerization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5A4A2CB1"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-90% inhibition of TMR-dextran in T24 cells</w:t>
            </w:r>
            <w:r w:rsidRPr="00403195">
              <w:rPr>
                <w:rStyle w:val="eop"/>
                <w:rFonts w:ascii="Arial" w:eastAsia="MS Mincho" w:hAnsi="Arial" w:cs="Arial"/>
                <w:sz w:val="20"/>
                <w:szCs w:val="20"/>
              </w:rPr>
              <w:t> </w:t>
            </w:r>
          </w:p>
          <w:p w14:paraId="6AA1690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-60% inhibition of positively charged polystyrene NPs in HeLa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4D470C81"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also inhibits phagocytosis and other actin polymerization dependent processes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B79E56" w14:textId="2BCB8120"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{"citationItems":[{"id":"ITEM-1","itemData":{"DOI":"10.1083/jcb.200908086","ISSN":"00219525","abstract":"Macropinocytosis is differentiated from other types of endocytosis by its unique susceptibility to inhibitors of Na+/H+ exchange. Yet, the functional relationship between Na+/H+ exchange and macropinosome formation remains obscure. In A431 cells, stimulation by EGF simultaneously activated macropinocytosis and Na+/H+ exchange, elevating cytosolic pH and stimulating Na+ influx. Remarkably, although inhibition of Na+/H+ exchange by amiloride or HOE-694 obliterated macropinocytosis, neither cytosolic alkalinization nor Na+ influx were required. Instead, using novel probes of submembranous pH, we detected the accumulation of metabolically generated acid at sites of macropinocytosis, an effect counteracted by Na+/H + exchange and greatly magnified when amiloride or HOE-694 were present. The acidification observed in the presence of the inhibitors did not alter receptor engagement or phosphorylation, nor did it significantly depress phosphatidylinositol-3-kinase stimulation. However, activation of the GTPases that promote actin remodelling was found to be exquisitely sensitive to the submembranous pH. This sensitivity confers to macropinocytosis its unique susceptibility to inhibitors of Na+/H+ exchange. © 2010 Koivusalo et al.","author":[{"dropping-particle":"","family":"Koivusalo","given":"Mirkka","non-dropping-particle":"","parse-names":false,"suffix":""},{"dropping-particle":"","family":"Welch","given":"Christopher","non-dropping-particle":"","parse-names":false,"suffix":""},{"dropping-particle":"","family":"Hayashi","given":"Hisayoshi","non-dropping-particle":"","parse-names":false,"suffix":""},{"dropping-particle":"","family":"Scott","given":"Cameron C.","non-dropping-particle":"","parse-names":false,"suffix":""},{"dropping-particle":"","family":"Kim","given":"Moshe","non-dropping-particle":"","parse-names":false,"suffix":""},{"dropping-particle":"","family":"Alexander","given":"Todd","non-dropping-particle":"","parse-names":false,"suffix":""},{"dropping-particle":"","family":"Touret","given":"Nicolas","non-dropping-particle":"","parse-names":false,"suffix":""},{"dropping-particle":"","family":"Hahn","given":"Klaus M.","non-dropping-particle":"","parse-names":false,"suffix":""},{"dropping-particle":"","family":"Grinstein","given":"Sergio","non-dropping-particle":"","parse-names":false,"suffix":""}],"container-title":"Journal of Cell Biology","id":"ITEM-1","issue":"4","issued":{"date-parts":[["2010"]]},"page":"547-563","title":"Amiloride inhibits macropinocytosis by lowering submembranous pH and preventing Rac1 and Cdc42 signaling","type":"article-journal","volume":"188"},"uris":["http://www.mendeley.com/documents/?uuid=1a1ba17a-5553-4dbc-b162-f3fedcf2c2e0"]},{"id":"ITEM-2","itemData":{"DOI":"10.1038/nature12138","ISSN":"00280836","abstract":"Macropinocytosis is a highly conserved endocytic process by which extracellular fluid and its contents are internalized into cells through large, heterogeneous vesicles known as macropinosomes. Oncogenic Ras proteins have been shown to stimulate macropinocytosis but the functional contribution of this uptake mechanism to the transformed phenotype remains unknown. Here we show that Ras-transformed cells use macropinocytosis to transport extracellular protein into the cell. The internalized protein undergoes proteolytic degradation, yielding amino acids including glutamine that can enter central carbon metabolism. Accordingly, the dependence of Ras-transformed cells on free extracellular glutamine for growth can be suppressed by the macropinocytic uptake of protein. Consistent with macropinocytosis representing an important route of nutrient uptake in tumours, its pharmacological inhibition compromises the growth of Ras-transformed pancreatic tumour xenografts. These results identify macropinocytosis as a mechanism by which cancer cells support their unique metabolic needs and point to the possible exploitation of this process in the design of anticancer therapies. © 2013 Macmillan Publishers Limited. All rights reserved.","author":[{"dropping-particle":"","family":"Commisso","given":"Cosimo","non-dropping-particle":"","parse-names":false,"suffix":""},{"dropping-particle":"","family":"Davidson","given":"Shawn M.","non-dropping-particle":"","parse-names":false,"suffix":""},{"dropping-particle":"","family":"Soydaner-Azeloglu","given":"Rengin G.","non-dropping-particle":"","parse-names":false,"suffix":""},{"dropping-particle":"","family":"Parker","given":"Seth J.","non-dropping-particle":"","parse-names":false,"suffix":""},{"dropping-particle":"","family":"Kamphorst","given":"Jurre J.","non-dropping-particle":"","parse-names":false,"suffix":""},{"dropping-particle":"","family":"Hackett","given":"Sean","non-dropping-particle":"","parse-names":false,"suffix":""},{"dropping-particle":"","family":"Grabocka","given":"Elda","non-dropping-particle":"","parse-names":false,"suffix":""},{"dropping-particle":"","family":"Nofal","given":"Michel","non-dropping-particle":"","parse-names":false,"suffix":""},{"dropping-particle":"","family":"Drebin","given":"Jeffrey A.","non-dropping-particle":"","parse-names":false,"suffix":""},{"dropping-particle":"","family":"Thompson","given":"Craig B.","non-dropping-particle":"","parse-names":false,"suffix":""},{"dropping-particle":"","family":"Rabinowitz","given":"Joshua D.","non-dropping-particle":"","parse-names":false,"suffix":""},{"dropping-particle":"","family":"Metallo","given":"Christian M.","non-dropping-particle":"","parse-names":false,"suffix":""},{"dropping-particle":"","family":"Heiden","given":"Matthew G.","non-dropping-particle":"Vander","parse-names":false,"suffix":""},{"dropping-particle":"","family":"Bar-Sagi","given":"Dafna","non-dropping-particle":"","parse-names":false,"suffix":""}],"container-title":"Nature","id":"ITEM-2","issue":"7451","issued":{"date-parts":[["2013"]]},"page":"633-637","publisher":"Nature Publishing Group","title":"Macropinocytosis of protein is an amino acid supply route in Ras-transformed cells","type":"article-journal","volume":"497"},"uris":["http://www.mendeley.com/documents/?uuid=551fa0e9-c487-4b9a-bb7e-656887e1bbd9"]},{"id":"ITEM-3","itemData":{"DOI":"10.1002/mabi.200800123","ISSN":"16165187","abstract":"The endocytotic mechanisms involved in the uptake of charged polystyrene nanoparticles into HeLa cells were investigated. Uptake experiments were done in the presence of absence of drugs known to inhibit various factors in endocytosis. Independent of the particle charge, endocytosis is highly dependent on dynamin, F-actin, and tyrosine-specific protein kinases, which suggests a dynamin-dependent and lipid raft-dependent mechanism. However, cholesterol depletion did not hinder particle uptake. Regarding positively charged particles, macropinocytosis, the microtubule network, and cyclooxygenases are also involved. The clathrin-dependent pathway plays a minor role. A figure is presented. © 2008 Wiley-VCH Verlag GmbH &amp; Co. KGaA, Weinheim.","author":[{"dropping-particle":"","family":"Dausend","given":"Julia","non-dropping-particle":"","parse-names":false,"suffix":""},{"dropping-particle":"","family":"Musyanovych","given":"Anna","non-dropping-particle":"","parse-names":false,"suffix":""},{"dropping-particle":"","family":"Dass","given":"Martin","non-dropping-particle":"","parse-names":false,"suffix":""},{"dropping-particle":"","family":"Walther","given":"Paul","non-dropping-particle":"","parse-names":false,"suffix":""},{"dropping-particle":"","family":"Schrezenmeier","given":"Hubert","non-dropping-particle":"","parse-names":false,"suffix":""},{"dropping-particle":"","family":"Landfester","given":"Katharina","non-dropping-particle":"","parse-names":false,"suffix":""},{"dropping-particle":"","family":"Mailänder","given":"Volker","non-dropping-particle":"","parse-names":false,"suffix":""}],"container-title":"Macromolecular Bioscience","id":"ITEM-3","issue":"12","issued":{"date-parts":[["2008"]]},"page":"1135-1143","title":"Uptake mechanism of oppositely charged fluorescent nanoparticles in Hela cells","type":"article-journal","volume":"8"},"uris":["http://www.mendeley.com/documents/?uuid=4a25f965-cd69-4bed-a126-89a911e84709"]},{"id":"ITEM-4","itemData":{"DOI":"10.1111/bph.14429","ISSN":"14765381","abstract":"Background and Purpose: Macropinocytosis is involved in many pathologies, including cardiovascular disorders, cancer, allergic diseases, viral and bacterial infections. Unfortunately, the currently available pharmacological inhibitors of macropinocytosis interrupt other endocytic processes and have non-specific endocytosis-independent effects. Here we have sought to identify new, clinically relevant inhibitors of macropinocytosis, using an FDA-approved drug library. Experimental Approach: In the present study, 640 FDA-approved compounds were tested for their ability to inhibit macropinocytosis. A series of secondary assays were performed to confirm inhibitory activity, determine IC50 values and investigate cell toxicity. The ability of identified hits to inhibit phagocytosis and clathrin-mediated and caveolin-mediated endocytosis was also investigated. Scanning electron microscopy and molecular biology techniques were utilized to examine the mechanisms by which selected compounds inhibit macropinocytosis. Key Results: The primary screen identified 14 compounds that at ~10 μM concentration inhibit &gt;95% of macropinocytotic solute internalization. Three compounds - imipramine, phenoxybenzamine and vinblastine - potently inhibited (IC50 ≤ 131 nM) macropinocytosis without exerting cytotoxic effects or inhibiting other endocytic pathways. Scanning electron microscopy imaging indicated that imipramine inhibits membrane ruffle formation, a critical early step leading to initiation of macropinocytosis. Finally, imipramine has been shown to inhibit macropinocytosis in several cell types, including cancer cells, dendritic cells and macrophages. Conclusions and Implications: Our results identify imipramine as a new pharmacological tool to study macropinocytosis in cellular and biological systems. This study also suggests that imipramine could be a good candidate for repurposing as a therapeutic agent in pathological processes involving macropinocytosis.","author":[{"dropping-particle":"","family":"Lin","given":"Hui Ping","non-dropping-particle":"","parse-names":false,"suffix":""},{"dropping-particle":"","family":"Singla","given":"Bhupesh","non-dropping-particle":"","parse-names":false,"suffix":""},{"dropping-particle":"","family":"Ghoshal","given":"Pushpankur","non-dropping-particle":"","parse-names":false,"suffix":""},{"dropping-particle":"","family":"Faulkner","given":"Jessica L.","non-dropping-particle":"","parse-names":false,"suffix":""},{"dropping-particle":"","family":"Cherian-Shaw","given":"Mary","non-dropping-particle":"","parse-names":false,"suffix":""},{"dropping-particle":"","family":"O'Connor","given":"Paul M.","non-dropping-particle":"","parse-names":false,"suffix":""},{"dropping-particle":"","family":"She","given":"Jin Xiong","non-dropping-particle":"","parse-names":false,"suffix":""},{"dropping-particle":"","family":"Belin de Chantemele","given":"Eric J.","non-dropping-particle":"","parse-names":false,"suffix":""},{"dropping-particle":"","family":"Csányi","given":"Gábor","non-dropping-particle":"","parse-names":false,"suffix":""}],"container-title":"British Journal of Pharmacology","id":"ITEM-4","issue":"18","issued":{"date-parts":[["2018"]]},"page":"3640-3655","title":"Identification of novel macropinocytosis inhibitors using a rational screen of Food and Drug Administration-approved drugs","type":"article-journal","volume":"175"},"uris":["http://www.mendeley.com/documents/?uuid=591f4bd2-8b4e-4229-a6e6-26da952623a0"]}],"mendeley":{"formattedCitation":"&lt;sup&gt;142,178,214,215&lt;/sup&gt;","plainTextFormattedCitation":"142,178,214,215","previouslyFormattedCitation":"&lt;sup&gt;142,178,214,215&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142,178,214,215</w:t>
            </w:r>
            <w:r w:rsidRPr="00403195">
              <w:rPr>
                <w:rFonts w:ascii="Arial" w:eastAsia="Times New Roman" w:hAnsi="Arial" w:cs="Arial"/>
                <w:sz w:val="20"/>
                <w:szCs w:val="20"/>
              </w:rPr>
              <w:fldChar w:fldCharType="end"/>
            </w:r>
          </w:p>
          <w:p w14:paraId="54420B2E" w14:textId="77777777"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t> </w:t>
            </w:r>
          </w:p>
          <w:p w14:paraId="04B3B78F" w14:textId="77777777"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t> </w:t>
            </w:r>
          </w:p>
        </w:tc>
      </w:tr>
      <w:tr w:rsidR="00403195" w:rsidRPr="00403195" w14:paraId="6798538C"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117625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Wortmannin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924073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Macropinocytosis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6355C3C"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Blocks the activity of the phosphoinositide 3-kinase (PI3), which prevents membrane ruffling</w:t>
            </w:r>
            <w:r w:rsidRPr="00403195">
              <w:rPr>
                <w:rStyle w:val="eop"/>
                <w:rFonts w:ascii="Arial" w:eastAsia="MS Mincho" w:hAnsi="Arial" w:cs="Arial"/>
                <w:sz w:val="20"/>
                <w:szCs w:val="20"/>
              </w:rPr>
              <w:t> </w:t>
            </w:r>
          </w:p>
          <w:p w14:paraId="28205DCA"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 </w:t>
            </w:r>
            <w:r w:rsidRPr="00403195">
              <w:rPr>
                <w:rStyle w:val="eop"/>
                <w:rFonts w:ascii="Arial" w:eastAsia="MS Mincho" w:hAnsi="Arial" w:cs="Arial"/>
                <w:sz w:val="20"/>
                <w:szCs w:val="20"/>
              </w:rPr>
              <w:t> </w:t>
            </w:r>
          </w:p>
          <w:p w14:paraId="7CBAC8C0"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24B45AB3"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-&lt;90% inhibition of fluorescein dextran in murine bone marrow-derived macrophages</w:t>
            </w:r>
            <w:r w:rsidRPr="00403195">
              <w:rPr>
                <w:rStyle w:val="eop"/>
                <w:rFonts w:ascii="Arial" w:eastAsia="MS Mincho" w:hAnsi="Arial" w:cs="Arial"/>
                <w:sz w:val="20"/>
                <w:szCs w:val="20"/>
              </w:rPr>
              <w:t> </w:t>
            </w:r>
          </w:p>
          <w:p w14:paraId="36083CB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-60% inhibition of PFBT NPs in J774A.1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750D774A"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also inhibits phagocytosis, and possibly also clathrin </w:t>
            </w:r>
            <w:proofErr w:type="spellStart"/>
            <w:r w:rsidRPr="00403195">
              <w:rPr>
                <w:rStyle w:val="normaltextrun"/>
                <w:rFonts w:ascii="Arial" w:hAnsi="Arial" w:cs="Arial"/>
                <w:sz w:val="20"/>
                <w:szCs w:val="20"/>
              </w:rPr>
              <w:t>mediataed</w:t>
            </w:r>
            <w:proofErr w:type="spellEnd"/>
            <w:r w:rsidRPr="00403195">
              <w:rPr>
                <w:rStyle w:val="normaltextrun"/>
                <w:rFonts w:ascii="Arial" w:hAnsi="Arial" w:cs="Arial"/>
                <w:sz w:val="20"/>
                <w:szCs w:val="20"/>
              </w:rPr>
              <w:t> endocytosis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A6510A" w14:textId="74A0C9FB"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{"citationItems":[{"id":"ITEM-1","itemData":{"DOI":"10.1083/jcb.135.5.1249","ISSN":"00219525","PMID":"8947549","abstract":"Phosphoinositide 3-kinase (PI 3-kinase) has been implicated in growth factor signal transduction and vesicular membrane traffic. It is thought to mediate the earliest steps leading from ligation of cell surface receptors to increased cell surface ruffling. We show here that inhibitors of PI 3-kinase inhibit endocytosis in macrophages, not by interfering with the initiation of the process but rather by preventing its completion. Consistent with earlier studies, the inhibitors wortmannin and LY294002 inhibited fluid-phase pinocytosis and Fc receptor-mediated phagocytosis, but they had little effect on the receptor-mediated endocytosis of dillabeled, acetylated, low density lipoprotein. Large solute probes of endocytosis reported greater inhibition by wortmannin than smaller probes did, indicating that macropinocytosis was affected more than micropinocytosis. Since macropinocytosis and phagocytosis are actin-mediated processes, we expected that their inhibition by wortmannin resulted from deficient signaling from macrophage colony-stimulating factor (M-CSF) receptors or Fc receptors to the actin cytoskeleton. However, video microscopy showed cell surface ruffling in wortmannin-treated cells, and increased ruffling after addition of M-CSF or phorbol myristate acetate. Quantitative measurements of video data reported slightly diminished ruffling in wortmannin-treated cells. Remarkably, the ruffles that formed in wortmannin-treated macrophages all receded into the cytoplasm without closing into macropinosomes. Similarly, wortmannin and LY294002 did not inhibit the extension of actin-rich pseudopodia along IgG-opsonized sheep erythrocytes, but instead prevented them from closing into phagosomes. These findings indicate that PI 3-kinase is not necessary for receptor-mediated stimulation of pseudopod extension, but rather functions in the closure of macropinosomes and phagosomes into intracellular organelles.","author":[{"dropping-particle":"","family":"Araki","given":"Nobukazu","non-dropping-particle":"","parse-names":false,"suffix":""},{"dropping-particle":"","family":"Johnson","given":"Melissa T.","non-dropping-particle":"","parse-names":false,"suffix":""},{"dropping-particle":"","family":"Swanson","given":"Joel A.","non-dropping-particle":"","parse-names":false,"suffix":""}],"container-title":"Journal of Cell Biology","id":"ITEM-1","issue":"5","issued":{"date-parts":[["1996"]]},"page":"1249-1260","title":"A role for phosphoinositide 3-kinase in the completion of macropinocytosis and phagocytosis by macrophages","type":"article-journal","volume":"135"},"uris":["http://www.mendeley.com/documents/?uuid=0646137d-5b88-4d94-a4ae-6cd064d8d863"]},{"id":"ITEM-2","itemData":{"DOI":"10.1021/bm1007103","ISBN":"6176321972","ISSN":"1525-7797","PMID":"1000000221","abstract":"We provide our detailed, standardized in vitro protocol for culture and differentiation of human retinal pigment epithelial (RPE) cells into a highly polarized, functional monolayer. Disruption of polarized RPE function plays an important role in the pathogenesis of common blinding disorders of the retina. The availability of this polarized RPE monolayer allows for reproducible evaluation of RPE function, modeling of RPE dysfunction in retinal disease, and in vitro evaluation of novel therapies. The protocol, which takes approximately 6 weeks, describes the culture of RPE from human fetal donor eyes, and the differentiation of these cells into a polarized monolayer with high transepithelial resistance, and morphologic characteristics that mimic the RPE monolayer in vivo. By modifying the procedure for initial isolation of pure RPE cells, and culture conditions used in existing protocols, we have established a standardized protocol that provides highly reproducible RPE monolayers from the same donor eye.","author":[{"dropping-particle":"","family":"Fernando","given":"Lawrence P.","non-dropping-particle":"","parse-names":false,"suffix":""},{"dropping-particle":"","family":"Kandel","given":"Prakash K.","non-dropping-particle":"","parse-names":false,"suffix":""},{"dropping-particle":"","family":"Yu","given":"Jiangbo","non-dropping-particle":"","parse-names":false,"suffix":""},{"dropping-particle":"","family":"McNeill","given":"Jason","non-dropping-particle":"","parse-names":false,"suffix":""},{"dropping-particle":"","family":"Ackroyd","given":"P. Christine","non-dropping-particle":"","parse-names":false,"suffix":""},{"dropping-particle":"","family":"Christensen","given":"Kenneth A.","non-dropping-particle":"","parse-names":false,"suffix":""}],"container-title":"Biomacromolecules","id":"ITEM-2","issue":"10","issued":{"date-parts":[["2010","10","11"]]},"page":"2675-2682","title":"Mechanism of Cellular Uptake of Highly Fluorescent Conjugated Polymer Nanoparticles","type":"article-journal","volume":"11"},"uris":["http://www.mendeley.com/documents/?uuid=58b9f60a-2482-40f2-b7f1-1f9095dd0125"]},{"id":"ITEM-3","itemData":{"DOI":"10.1111/bph.14429","ISSN":"14765381","abstract":"Background and Purpose: Macropinocytosis is involved in many pathologies, including cardiovascular disorders, cancer, allergic diseases, viral and bacterial infections. Unfortunately, the currently available pharmacological inhibitors of macropinocytosis interrupt other endocytic processes and have non-specific endocytosis-independent effects. Here we have sought to identify new, clinically relevant inhibitors of macropinocytosis, using an FDA-approved drug library. Experimental Approach: In the present study, 640 FDA-approved compounds were tested for their ability to inhibit macropinocytosis. A series of secondary assays were performed to confirm inhibitory activity, determine IC50 values and investigate cell toxicity. The ability of identified hits to inhibit phagocytosis and clathrin-mediated and caveolin-mediated endocytosis was also investigated. Scanning electron microscopy and molecular biology techniques were utilized to examine the mechanisms by which selected compounds inhibit macropinocytosis. Key Results: The primary screen identified 14 compounds that at ~10 μM concentration inhibit &gt;95% of macropinocytotic solute internalization. Three compounds - imipramine, phenoxybenzamine and vinblastine - potently inhibited (IC50 ≤ 131 nM) macropinocytosis without exerting cytotoxic effects or inhibiting other endocytic pathways. Scanning electron microscopy imaging indicated that imipramine inhibits membrane ruffle formation, a critical early step leading to initiation of macropinocytosis. Finally, imipramine has been shown to inhibit macropinocytosis in several cell types, including cancer cells, dendritic cells and macrophages. Conclusions and Implications: Our results identify imipramine as a new pharmacological tool to study macropinocytosis in cellular and biological systems. This study also suggests that imipramine could be a good candidate for repurposing as a therapeutic agent in pathological processes involving macropinocytosis.","author":[{"dropping-particle":"","family":"Lin","given":"Hui Ping","non-dropping-particle":"","parse-names":false,"suffix":""},{"dropping-particle":"","family":"Singla","given":"Bhupesh","non-dropping-particle":"","parse-names":false,"suffix":""},{"dropping-particle":"","family":"Ghoshal","given":"Pushpankur","non-dropping-particle":"","parse-names":false,"suffix":""},{"dropping-particle":"","family":"Faulkner","given":"Jessica L.","non-dropping-particle":"","parse-names":false,"suffix":""},{"dropping-particle":"","family":"Cherian-Shaw","given":"Mary","non-dropping-particle":"","parse-names":false,"suffix":""},{"dropping-particle":"","family":"O'Connor","given":"Paul M.","non-dropping-particle":"","parse-names":false,"suffix":""},{"dropping-particle":"","family":"She","given":"Jin Xiong","non-dropping-particle":"","parse-names":false,"suffix":""},{"dropping-particle":"","family":"Belin de Chantemele","given":"Eric J.","non-dropping-particle":"","parse-names":false,"suffix":""},{"dropping-particle":"","family":"Csányi","given":"Gábor","non-dropping-particle":"","parse-names":false,"suffix":""}],"container-title":"British Journal of Pharmacology","id":"ITEM-3","issue":"18","issued":{"date-parts":[["2018"]]},"page":"3640-3655","title":"Identification of novel macropinocytosis inhibitors using a rational screen of Food and Drug Administration-approved drugs","type":"article-journal","volume":"175"},"uris":["http://www.mendeley.com/documents/?uuid=591f4bd2-8b4e-4229-a6e6-26da952623a0"]},{"id":"ITEM-4","itemData":{"DOI":"10.1042/0264-6021:3570497","ISSN":"02646021","abstract":"Liver endothelial cells (LECs) play an important homoeostatic role by removing potentially harmful macromolecules from blood. The extremely efficient endocytosis in LECs makes these cells an interesting model for the study of the involvement of phosphoinositides in the different steps of the endocytic process. In the present investigation we have studied the effect of wortmannin, an inhibitor of phosphatidylinositol kinases, on uptake, recycling and intracellular transport of 125I-labelled ovalbumin, which is taken up in LECs via mannose-receptor-mediated endocytosis. Wortmannin was found to inhibit both uptake and degradation of ovalbumin. Further studies indicated that the reduced uptake via the mannose receptor was due both to a reduction of the number of surface receptors and a reduction in the rate of receptor-ligand internalization. Transport of ligand from endosomes to lysosomes was prevented, leading to increased recycling of internalized ligand. Wortmannin treatment released the Rab5 effector EEA1 from the endosomes and caused reduced size of early endosomes.","author":[{"dropping-particle":"","family":"Kjeken","given":"Rune","non-dropping-particle":"","parse-names":false,"suffix":""},{"dropping-particle":"","family":"Mousavi","given":"Seyed A.","non-dropping-particle":"","parse-names":false,"suffix":""},{"dropping-particle":"","family":"Brech","given":"Andreas","non-dropping-particle":"","parse-names":false,"suffix":""},{"dropping-particle":"","family":"Griffiths","given":"Gareth","non-dropping-particle":"","parse-names":false,"suffix":""},{"dropping-particle":"","family":"Berg","given":"Trond","non-dropping-particle":"","parse-names":false,"suffix":""}],"container-title":"Biochemical Journal","id":"ITEM-4","issue":"2","issued":{"date-parts":[["2001","7","15"]]},"page":"497","title":"Wortmannin-sensitive trafficking steps in the endocytic pathway in rat liver endothelial cells","type":"article-journal","volume":"357"},"uris":["http://www.mendeley.com/documents/?uuid=31e7430a-1f2c-4a10-848d-5ceef41bcd2f"]}],"mendeley":{"formattedCitation":"&lt;sup&gt;134,178,216,217&lt;/sup&gt;","plainTextFormattedCitation":"134,178,216,217","previouslyFormattedCitation":"&lt;sup&gt;134,178,216,217&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134,178,216,217</w:t>
            </w:r>
            <w:r w:rsidRPr="00403195">
              <w:rPr>
                <w:rFonts w:ascii="Arial" w:eastAsia="Times New Roman" w:hAnsi="Arial" w:cs="Arial"/>
                <w:sz w:val="20"/>
                <w:szCs w:val="20"/>
              </w:rPr>
              <w:fldChar w:fldCharType="end"/>
            </w:r>
          </w:p>
          <w:p w14:paraId="277FA98D" w14:textId="77777777" w:rsidR="00403195" w:rsidRPr="00403195" w:rsidRDefault="00403195">
            <w:pPr>
              <w:rPr>
                <w:rFonts w:ascii="Arial" w:eastAsia="Times New Roman" w:hAnsi="Arial" w:cs="Arial"/>
                <w:sz w:val="20"/>
                <w:szCs w:val="20"/>
              </w:rPr>
            </w:pPr>
          </w:p>
        </w:tc>
      </w:tr>
      <w:tr w:rsidR="00403195" w:rsidRPr="00403195" w14:paraId="14DF390B"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9CA0D15"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Imipramine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764B5B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Macropinocytosis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D9B4A0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Inhibits the ruffling of plasma membranes, and potentially inhibits redox signaling. </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3974AD24"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-95% inhibition of FITC-dextran in RAW 264.7 macrophages</w:t>
            </w:r>
            <w:r w:rsidRPr="00403195">
              <w:rPr>
                <w:rStyle w:val="eop"/>
                <w:rFonts w:ascii="Arial" w:eastAsia="MS Mincho" w:hAnsi="Arial" w:cs="Arial"/>
                <w:sz w:val="20"/>
                <w:szCs w:val="20"/>
              </w:rPr>
              <w:t> </w:t>
            </w:r>
          </w:p>
          <w:p w14:paraId="4C22FE71"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-50% inhibition of AuNPs in Madin Darby canine kidney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7588100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The mechanism of inhibition for this inhibitor is not yet fully understood</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DB308E" w14:textId="70054841"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{"citationItems":[{"id":"ITEM-1","itemData":{"DOI":"10.1111/bph.14429","ISSN":"14765381","abstract":"Background and Purpose: Macropinocytosis is involved in many pathologies, including cardiovascular disorders, cancer, allergic diseases, viral and bacterial infections. Unfortunately, the currently available pharmacological inhibitors of macropinocytosis interrupt other endocytic processes and have non-specific endocytosis-independent effects. Here we have sought to identify new, clinically relevant inhibitors of macropinocytosis, using an FDA-approved drug library. Experimental Approach: In the present study, 640 FDA-approved compounds were tested for their ability to inhibit macropinocytosis. A series of secondary assays were performed to confirm inhibitory activity, determine IC50 values and investigate cell toxicity. The ability of identified hits to inhibit phagocytosis and clathrin-mediated and caveolin-mediated endocytosis was also investigated. Scanning electron microscopy and molecular biology techniques were utilized to examine the mechanisms by which selected compounds inhibit macropinocytosis. Key Results: The primary screen identified 14 compounds that at ~10 μM concentration inhibit &gt;95% of macropinocytotic solute internalization. Three compounds - imipramine, phenoxybenzamine and vinblastine - potently inhibited (IC50 ≤ 131 nM) macropinocytosis without exerting cytotoxic effects or inhibiting other endocytic pathways. Scanning electron microscopy imaging indicated that imipramine inhibits membrane ruffle formation, a critical early step leading to initiation of macropinocytosis. Finally, imipramine has been shown to inhibit macropinocytosis in several cell types, including cancer cells, dendritic cells and macrophages. Conclusions and Implications: Our results identify imipramine as a new pharmacological tool to study macropinocytosis in cellular and biological systems. This study also suggests that imipramine could be a good candidate for repurposing as a therapeutic agent in pathological processes involving macropinocytosis.","author":[{"dropping-particle":"","family":"Lin","given":"Hui Ping","non-dropping-particle":"","parse-names":false,"suffix":""},{"dropping-particle":"","family":"Singla","given":"Bhupesh","non-dropping-particle":"","parse-names":false,"suffix":""},{"dropping-particle":"","family":"Ghoshal","given":"Pushpankur","non-dropping-particle":"","parse-names":false,"suffix":""},{"dropping-particle":"","family":"Faulkner","given":"Jessica L.","non-dropping-particle":"","parse-names":false,"suffix":""},{"dropping-particle":"","family":"Cherian-Shaw","given":"Mary","non-dropping-particle":"","parse-names":false,"suffix":""},{"dropping-particle":"","family":"O'Connor","given":"Paul M.","non-dropping-particle":"","parse-names":false,"suffix":""},{"dropping-particle":"","family":"She","given":"Jin Xiong","non-dropping-particle":"","parse-names":false,"suffix":""},{"dropping-particle":"","family":"Belin de Chantemele","given":"Eric J.","non-dropping-particle":"","parse-names":false,"suffix":""},{"dropping-particle":"","family":"Csányi","given":"Gábor","non-dropping-particle":"","parse-names":false,"suffix":""}],"container-title":"British Journal of Pharmacology","id":"ITEM-1","issue":"18","issued":{"date-parts":[["2018"]]},"page":"3640-3655","title":"Identification of novel macropinocytosis inhibitors using a rational screen of Food and Drug Administration-approved drugs","type":"article-journal","volume":"175"},"uris":["http://www.mendeley.com/documents/?uuid=591f4bd2-8b4e-4229-a6e6-26da952623a0"]},{"id":"ITEM-2","itemData":{"DOI":"10.1128/mcb.00373-17","ISSN":"0270-7306","abstract":" K-Ras must localize to the plasma membrane (PM) for biological activity. We show here that multiple acid sphingomyelinase (ASM) inhibitors, including tricyclic antidepressants, mislocalized phosphatidylserine (PtdSer) and K-RasG12V from the PM, resulting in abrogation of K-RasG12V signaling and potent, selective growth inhibition of mutant K-Ras-transformed cancer cells. Concordantly, in nude mice, the ASM inhibitor fendiline decreased the rate of growth of oncogenic K-Ras-expressing MiaPaCa-2 tumors but had no effect on the growth of the wild-type K-Ras-expressing BxPC-3 tumors. ASM inhibitors also inhibited activated LET-60 (a K-Ras ortholog) signaling in Caenorhabditis elegans , as evidenced by suppression of the induced multivulva phenotype. Using RNA interference against C. elegans genes encoding other enzymes in the sphingomyelin (SM) biosynthetic pathway, we identified 14 enzymes whose knockdown strongly or moderately suppressed the LET-60 multivulva phenotype. In mammalian cells, pharmacological agents that target these enzymes all depleted PtdSer from the PM and caused K-RasG12V mislocalization. These effects correlated with changes in SM levels or subcellular distribution. Selected compounds, including sphingosine kinase inhibitors, potently inhibited the proliferation of oncogenic K-Ras-expressing pancreatic cancer cells. In conclusion, these results show that normal SM metabolism is critical for K-Ras function, which may present therapeutic options for the treatment of K-Ras-driven cancers. ","author":[{"dropping-particle":"","family":"Hoeven","given":"Dharini","non-dropping-particle":"van der","parse-names":false,"suffix":""},{"dropping-particle":"","family":"Cho","given":"Kwang-jin","non-dropping-particle":"","parse-names":false,"suffix":""},{"dropping-particle":"","family":"Zhou","given":"Yong","non-dropping-particle":"","parse-names":false,"suffix":""},{"dropping-particle":"","family":"Ma","given":"Xiaoping","non-dropping-particle":"","parse-names":false,"suffix":""},{"dropping-particle":"","family":"Chen","given":"Wei","non-dropping-particle":"","parse-names":false,"suffix":""},{"dropping-particle":"","family":"Naji","given":"Ali","non-dropping-particle":"","parse-names":false,"suffix":""},{"dropping-particle":"","family":"Montufar-Solis","given":"Dina","non-dropping-particle":"","parse-names":false,"suffix":""},{"dropping-particle":"","family":"Zuo","given":"Yan","non-dropping-particle":"","parse-names":false,"suffix":""},{"dropping-particle":"","family":"Kovar","given":"Sarah E.","non-dropping-particle":"","parse-names":false,"suffix":""},{"dropping-particle":"","family":"Levental","given":"Kandice R.","non-dropping-particle":"","parse-names":false,"suffix":""},{"dropping-particle":"","family":"Frost","given":"Jeffrey A.","non-dropping-particle":"","parse-names":false,"suffix":""},{"dropping-particle":"","family":"Hoeven","given":"Ransome","non-dropping-particle":"van der","parse-names":false,"suffix":""},{"dropping-particle":"","family":"Hancock","given":"John F.","non-dropping-particle":"","parse-names":false,"suffix":""}],"container-title":"Molecular and Cellular Biology","id":"ITEM-2","issue":"3","issued":{"date-parts":[["2017"]]},"page":"1-17","title":"Sphingomyelin Metabolism Is a Regulator of K-Ras Function","type":"article-journal","volume":"38"},"uris":["http://www.mendeley.com/documents/?uuid=b5c078e5-bb4b-48cf-b1c0-964812db830d"]}],"mendeley":{"formattedCitation":"&lt;sup&gt;178,218&lt;/sup&gt;","plainTextFormattedCitation":"178,218","previouslyFormattedCitation":"&lt;sup&gt;178,218&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178,218</w:t>
            </w:r>
            <w:r w:rsidRPr="00403195">
              <w:rPr>
                <w:rFonts w:ascii="Arial" w:eastAsia="Times New Roman" w:hAnsi="Arial" w:cs="Arial"/>
                <w:sz w:val="20"/>
                <w:szCs w:val="20"/>
              </w:rPr>
              <w:fldChar w:fldCharType="end"/>
            </w:r>
          </w:p>
          <w:p w14:paraId="16E2C654" w14:textId="77777777" w:rsidR="00403195" w:rsidRPr="00403195" w:rsidRDefault="00403195">
            <w:pPr>
              <w:rPr>
                <w:rFonts w:ascii="Arial" w:eastAsia="Times New Roman" w:hAnsi="Arial" w:cs="Arial"/>
                <w:sz w:val="20"/>
                <w:szCs w:val="20"/>
              </w:rPr>
            </w:pPr>
          </w:p>
        </w:tc>
      </w:tr>
      <w:tr w:rsidR="00403195" w:rsidRPr="00403195" w14:paraId="589B4475"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29C1B2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Colchicine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9C9D3C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Macropinocytosis and Macrophage Endocytosis </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ECE266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Decreases cell motility by preventing tubulin polymerization to block microtubule formation.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25A3FE3C"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-37% inhibition of intratracheally delivered gold colloids in macrophages of Syrian golden hamsters</w:t>
            </w:r>
            <w:r w:rsidRPr="00403195">
              <w:rPr>
                <w:rStyle w:val="eop"/>
                <w:rFonts w:ascii="Arial" w:eastAsia="MS Mincho" w:hAnsi="Arial" w:cs="Arial"/>
                <w:sz w:val="20"/>
                <w:szCs w:val="20"/>
              </w:rPr>
              <w:t> </w:t>
            </w:r>
          </w:p>
          <w:p w14:paraId="1F5CFBD8"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-15% inhibition of heparosan based micelles in A549 cells</w:t>
            </w:r>
            <w:r w:rsidRPr="00403195">
              <w:rPr>
                <w:rStyle w:val="eop"/>
                <w:rFonts w:ascii="Arial" w:eastAsia="MS Mincho" w:hAnsi="Arial" w:cs="Arial"/>
                <w:sz w:val="20"/>
                <w:szCs w:val="20"/>
              </w:rPr>
              <w:t> </w:t>
            </w:r>
          </w:p>
          <w:p w14:paraId="4D366236"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-15% inhibition of heparosan based micelles in MGC80-3 cells</w:t>
            </w:r>
            <w:r w:rsidRPr="00403195">
              <w:rPr>
                <w:rStyle w:val="eop"/>
                <w:rFonts w:ascii="Arial" w:eastAsia="MS Mincho" w:hAnsi="Arial" w:cs="Arial"/>
                <w:sz w:val="20"/>
                <w:szCs w:val="20"/>
              </w:rPr>
              <w:t> </w:t>
            </w:r>
          </w:p>
          <w:p w14:paraId="3A629C2A"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-11% inhibition of heparosan based micelles in B16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740DDC55"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This has been shown to affect multiple pathways </w:t>
            </w:r>
            <w:r w:rsidRPr="00403195">
              <w:rPr>
                <w:rStyle w:val="eop"/>
                <w:rFonts w:ascii="Arial" w:eastAsia="MS Mincho" w:hAnsi="Arial" w:cs="Arial"/>
                <w:sz w:val="20"/>
                <w:szCs w:val="20"/>
              </w:rPr>
              <w:t> </w:t>
            </w:r>
          </w:p>
          <w:p w14:paraId="52CAAA5B" w14:textId="77777777" w:rsidR="00403195" w:rsidRPr="00403195" w:rsidRDefault="00403195">
            <w:pPr>
              <w:rPr>
                <w:rFonts w:ascii="Arial" w:eastAsia="Times New Roman" w:hAnsi="Arial" w:cs="Arial"/>
                <w:sz w:val="20"/>
                <w:szCs w:val="20"/>
              </w:rPr>
            </w:pP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F63A1A" w14:textId="59CD2D44"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{"citationItems":[{"id":"ITEM-1","itemData":{"DOI":"10.1152/jappl.1981.50.3.621","ISSN":"01617567","abstract":"Pulmonary macrophages defend lung surfaces by ingesting deposited particles. We investigated to what extent this uptake of particles can be modulated in vivo by two drugs, colchicine and cytochalasin B (CytB). 198Au colloidal gold, in isotonic saline carrier fluid, was intratracheally instilled into male Syrian golden hamsters. The uptake of these particles by pulmonary macrophages was measured when the carrier fluid contained only colloidal gold and when this test particle was combined with graded doses of either drug. We found that macrophage uptake of the particles 1 h after installation was depressed 37% when colchicine was added to the instillate (150 μg/100 g BW). Depression of particle uptake was also seen with CytB at 15 μg/100g BW. Experiments with tritiated colchicine and CytB showed that both drugs were rapidly cleared from the lungs early in the 1 h phagocytic period. The effect of intravenous colchicine and CytB on the clearance of intravenously injected gold colloid by the liver and spleen reticuloendothelial system was negligible. The results of these experiments, in conjunction with in vitro effects of colchicine and CytB, provide insight into the components of cell function active in particle uptake in situ.","author":[{"dropping-particle":"","family":"Valberg","given":"P. A.","non-dropping-particle":"","parse-names":false,"suffix":""},{"dropping-particle":"","family":"Brain","given":"J. D.","non-dropping-particle":"","parse-names":false,"suffix":""},{"dropping-particle":"","family":"Kane","given":"D.","non-dropping-particle":"","parse-names":false,"suffix":""}],"container-title":"Journal of Applied Physiology Respiratory Environmental and Exercise Physiology","id":"ITEM-1","issue":"3","issued":{"date-parts":[["1981"]]},"page":"621-629","title":"Effects of colchicine or cytochalasin B on pulmonary macrophage endocytosis in vivo","type":"article-journal","volume":"50"},"uris":["http://www.mendeley.com/documents/?uuid=65dadb14-8164-4556-8b39-467fb7e0eb36"]},{"id":"ITEM-2","itemData":{"DOI":"10.1016/j.ijbiomac.2019.02.133","ISSN":"18790003","abstract":"Heparosan polysaccharide, known as a heparin precursor, can be used in drug delivery systems due to its good biocompatibility and anti-cancer effect. But few studies on the cellular uptake mechanism of heparosan polysaccharide-based nanocarrier have been investigated. Therefore, the intracellular trafficking and the uptake mechanism of heparosan-based micelles by different tumor cells were investigated in this study. Heparosan-cholesterol amphipathic conjugates (KC) were constructed and doxorubicin (DOX) was loaded to prepare DOX/KC micelles. Different cancer cells were selected to find out the influence on DOX/KC uptake. There was an obvious difference in cytotoxicity and cellular uptake of DOX/KC in various cancer cells. Interestingly, DOX/KC micelles exhibited the strongest cytotoxicity against MGC80-3 cells and displayed highly cellular uptake by B16 cells. The results of the uptake mechanism showed that the internalization of DOX/KC micelles into MGC80-3 cells and A549 cells was mainly through clathrin-mediated endocytosis and macropinocytosis, while micropinocytosis, clathrin-mediated endocytosis and clathrin/caveolae -independent multi-pathways all contributed to the uptake of micelles in B16 cells. Furthermore, after being internalized by MGC80-3 cells, DOX/KC could escape from the lysosome and simultaneously be transported into the nucleus and mitochondria resulting in the greatest cytotoxicity. These results indicate that heparosan-based drug delivery systems may have different uptake and subcellular distribution behavior in tumor cells, and they will achieve the maximum efficacy only in specific kind of cancers.","author":[{"dropping-particle":"","family":"Qiu","given":"Lipeng","non-dropping-particle":"","parse-names":false,"suffix":""},{"dropping-particle":"","family":"Shan","given":"Xiaotian","non-dropping-particle":"","parse-names":false,"suffix":""},{"dropping-particle":"","family":"Long","given":"Miaomiao","non-dropping-particle":"","parse-names":false,"suffix":""},{"dropping-particle":"","family":"Ahmed","given":"Kamel S.","non-dropping-particle":"","parse-names":false,"suffix":""},{"dropping-particle":"","family":"Zhao","given":"Li","non-dropping-particle":"","parse-names":false,"suffix":""},{"dropping-particle":"","family":"Mao","given":"Jing","non-dropping-particle":"","parse-names":false,"suffix":""},{"dropping-particle":"","family":"Zhang","given":"Huijie","non-dropping-particle":"","parse-names":false,"suffix":""},{"dropping-particle":"","family":"Sun","given":"Changling","non-dropping-particle":"","parse-names":false,"suffix":""},{"dropping-particle":"","family":"You","given":"Chongzhao","non-dropping-particle":"","parse-names":false,"suffix":""},{"dropping-particle":"","family":"Lv","given":"Guozhong","non-dropping-particle":"","parse-names":false,"suffix":""},{"dropping-particle":"","family":"Chen","given":"Jinghua","non-dropping-particle":"","parse-names":false,"suffix":""}],"container-title":"International Journal of Biological Macromolecules","id":"ITEM-2","issued":{"date-parts":[["2019"]]},"page":"755-764","publisher":"Elsevier B.V.","title":"Elucidation of cellular uptake and intracellular trafficking of heparosan polysaccharide-based micelles in various cancer cells","type":"article-journal","volume":"130"},"uris":["http://www.mendeley.com/documents/?uuid=c1ff7d51-b986-4698-a331-58371d185be3"]},{"id":"ITEM-3","itemData":{"DOI":"10.1002/jcb.25769","ISSN":"10974644","PMID":"27764887","abstract":"Polymers of guanidinylated disulfide containing poly(amido amine)s (Gua-SS-PAAs), have shown high transfection efficiency and low cytotoxicity. Previously, we synthesized two Gua-SS-PAA polymers, using guanidino containing monomers (i.e., arginine and agmatine, denoted as ARG and AGM, respectively) and N,N’-cystaminebisacrylamide (CBA). In this study, these two polymers, AGM-CBA and ARG-CBA were complexed with plasmid DNA, and their uptake pathway was investigated. Complexes distribution in MCF-7 cells, and changes on cell endosomes/lysosomes and membrane after the cells were exposed to complexes were tested. In addition, how the transfection efficiency changed with the cell cycle status as well as endocytosis inhibitors were studied. The polymers of AGM-CBA and ARG-CBA can avoid endosomal/lysosomal trap, therefore, greatly delivering plasmid DNA (pDNA) to the cell nucleoli. It is the guanidine groups in the polymers that enhanced complexes’ permeation through cell membrane with slight membrane damage, and targeting to the nucleoli. J. Cell. Biochem. 118: 903–913, 2017. © 2016 Wiley Periodicals, Inc.","author":[{"dropping-particle":"","family":"Zhang","given":"Jinmin","non-dropping-particle":"","parse-names":false,"suffix":""},{"dropping-particle":"","family":"Yu","given":"Jiankun","non-dropping-particle":"","parse-names":false,"suffix":""},{"dropping-particle":"","family":"Jiang","given":"Jingzheng","non-dropping-particle":"","parse-names":false,"suffix":""},{"dropping-particle":"","family":"Chen","given":"Xiao","non-dropping-particle":"","parse-names":false,"suffix":""},{"dropping-particle":"","family":"Sun","given":"Yanping","non-dropping-particle":"","parse-names":false,"suffix":""},{"dropping-particle":"","family":"Yang","given":"Zhen","non-dropping-particle":"","parse-names":false,"suffix":""},{"dropping-particle":"","family":"Yang","given":"Tianzhi","non-dropping-particle":"","parse-names":false,"suffix":""},{"dropping-particle":"","family":"Cai","given":"Cuifang","non-dropping-particle":"","parse-names":false,"suffix":""},{"dropping-particle":"","family":"Zhao","given":"Xiaoyun","non-dropping-particle":"","parse-names":false,"suffix":""},{"dropping-particle":"","family":"Ding","given":"Pingtian","non-dropping-particle":"","parse-names":false,"suffix":""}],"container-title":"Journal of Cellular Biochemistry","id":"ITEM-3","issue":"4","issued":{"date-parts":[["2017","4"]]},"page":"903-913","title":"Uptake Pathways of Guandinylated Disulfide Containing Polymers as Nonviral Gene Carrier Delivering DNA to Cells","type":"article-journal","volume":"118"},"uris":["http://www.mendeley.com/documents/?uuid=f166be26-02aa-49ef-bec9-5aa851aec6cb"]}],"mendeley":{"formattedCitation":"&lt;sup&gt;97,219,220&lt;/sup&gt;","plainTextFormattedCitation":"97,219,220","previouslyFormattedCitation":"&lt;sup&gt;97,219,220&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97,219,220</w:t>
            </w:r>
            <w:r w:rsidRPr="00403195">
              <w:rPr>
                <w:rFonts w:ascii="Arial" w:eastAsia="Times New Roman" w:hAnsi="Arial" w:cs="Arial"/>
                <w:sz w:val="20"/>
                <w:szCs w:val="20"/>
              </w:rPr>
              <w:fldChar w:fldCharType="end"/>
            </w:r>
          </w:p>
          <w:p w14:paraId="581FD781" w14:textId="77777777"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t xml:space="preserve"> </w:t>
            </w:r>
          </w:p>
        </w:tc>
      </w:tr>
      <w:tr w:rsidR="00403195" w:rsidRPr="00403195" w14:paraId="4B9CB22E"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79E191D"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Rottlerin</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67365ADA"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Macropinocytosis and Fluid Phase Endocytosis </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B485DEC"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 xml:space="preserve">Inhibits protein kinase C </w:t>
            </w:r>
            <w:r w:rsidRPr="00403195">
              <w:rPr>
                <w:rStyle w:val="normaltextrun"/>
                <w:rFonts w:ascii="Arial" w:hAnsi="Arial" w:cs="Arial"/>
                <w:sz w:val="20"/>
                <w:szCs w:val="20"/>
              </w:rPr>
              <w:lastRenderedPageBreak/>
              <w:t>delta (</w:t>
            </w:r>
            <w:proofErr w:type="spellStart"/>
            <w:r w:rsidRPr="00403195">
              <w:rPr>
                <w:rStyle w:val="normaltextrun"/>
                <w:rFonts w:ascii="Arial" w:hAnsi="Arial" w:cs="Arial"/>
                <w:sz w:val="20"/>
                <w:szCs w:val="20"/>
              </w:rPr>
              <w:t>PKCδ</w:t>
            </w:r>
            <w:proofErr w:type="spellEnd"/>
            <w:r w:rsidRPr="00403195">
              <w:rPr>
                <w:rStyle w:val="normaltextrun"/>
                <w:rFonts w:ascii="Arial" w:hAnsi="Arial" w:cs="Arial"/>
                <w:sz w:val="20"/>
                <w:szCs w:val="20"/>
              </w:rPr>
              <w:t>) activity</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124802D3"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lastRenderedPageBreak/>
              <w:t>-&lt;90 inhibition of lucifer yellow in monocyte derived dendritic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6FA11531"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This has been shown to affect multiple pathways </w:t>
            </w:r>
            <w:r w:rsidRPr="00403195">
              <w:rPr>
                <w:rStyle w:val="eop"/>
                <w:rFonts w:ascii="Arial" w:eastAsia="MS Mincho" w:hAnsi="Arial" w:cs="Arial"/>
                <w:sz w:val="20"/>
                <w:szCs w:val="20"/>
              </w:rPr>
              <w:t> </w:t>
            </w:r>
          </w:p>
          <w:p w14:paraId="11B6F004" w14:textId="77777777" w:rsidR="00403195" w:rsidRPr="00403195" w:rsidRDefault="00403195">
            <w:pPr>
              <w:rPr>
                <w:rFonts w:ascii="Arial" w:eastAsia="Times New Roman" w:hAnsi="Arial" w:cs="Arial"/>
                <w:sz w:val="20"/>
                <w:szCs w:val="20"/>
              </w:rPr>
            </w:pP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2227CA1" w14:textId="0D73B900"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{"citationItems":[{"id":"ITEM-1","itemData":{"DOI":"10.1111/j.1365-2567.2005.02253.x","ISSN":"00192805","abstract":"We present here the analysis of fluid-phase endocytosis (FPE) in human blood monocytes and monocyte-derived dendritic cells (MDDC) facilitated by our serendipitous identification of rottlerin as an efficient inhibitor of dendritic cell FPE (IC50 of 0.4 μM). Rottlerin was found to be an excellent tool for FPE analysis: rapid-acting, irreversible and selective for FPE (as opposed to receptor-mediated endocytosis) at concentrations of 3 μM and below. The inhibitory effect was not due to toxicity or visible change in membrane ruffles, but affects on cytoskeletal reorganization were evident in MDDC treated with relevant rottlerin concentrations during adhesion. A marked increase in FPE was observed in 1 hr interleukin (IL)-4 and granulocyte macrophage-colony stimulating factor (GM-CSF)-stimulated monocytes. Moreover, rottlerin inhibited the augmented FPE of 1-day cytokine treated monocytes and their augmented ability to induce T cell proliferative responses to tetanus toxoid. We conclude that rottlerin is a useful tool for investigating FPE and its functional importance. © 2005 Blackwell Publishing Ltd.","author":[{"dropping-particle":"","family":"Sarkar","given":"Kakali","non-dropping-particle":"","parse-names":false,"suffix":""},{"dropping-particle":"","family":"Kruhlak","given":"Michael J.","non-dropping-particle":"","parse-names":false,"suffix":""},{"dropping-particle":"","family":"Erlandsen","given":"Stanley L.","non-dropping-particle":"","parse-names":false,"suffix":""},{"dropping-particle":"","family":"Shaw","given":"Stephen","non-dropping-particle":"","parse-names":false,"suffix":""}],"container-title":"Immunology","id":"ITEM-1","issue":"4","issued":{"date-parts":[["2005"]]},"page":"513-524","title":"Selective inhibition by rottlerin of macropinocytosis in monocyte-derived dendritic cells","type":"article-journal","volume":"116"},"uris":["http://www.mendeley.com/documents/?uuid=6ff666a9-ea17-44f7-aafb-fb30fb07cdd2"]},{"id":"ITEM-2","itemData":{"DOI":"10.3389/fimmu.2018.00537","ISSN":"16643224","abstract":"Aims: Macropinocytosis is a major endocytic pathway by which dendritic cells (DCs) internalize antigens in the periphery. Despite the importance of DCs in the initiation and control of adaptive immune responses, the signaling mechanisms mediating DC macropinocytosis of antigens remain largely unknown. The goal of the present study was to investigate whether protein kinase C (PKC) is involved in stimulation of DC macropinocytosis and, if so, to identify the specific PKC isoform(s) and downstream signaling mechanisms involved. Methods: Various cellular, molecular and immunological techniques, pharmacological approaches and genetic knockout mice were utilized to investigate the signaling mechanisms mediating DC macropinocytosis. Results: Confocal laser scanning microscopy confirmed that DCs internalize fluorescent antigens (ovalbumin) using macropinocytosis. Pharmacological blockade of classical and novel PKC isoforms using calphostin C abolished both phorbol ester- and hepatocyte growth factor-induced antigen macropinocytosis in DCs. The qRT-PCR experiments identified PKCδ as the dominant PKC isoform in DCs. Genetic studies demonstrated the functional role of PKCδ in DC macropinocytosis of antigens, their subsequent maturation, and secretion of various T-cell stimulatory cytokines, including IL-1α, TNF-α and IFN-β. Additional mechanistic studies identified NADPH oxidase 2 (Nox2) and intracellular superoxide anion as important players in DC macropinocytosis of antigens downstream of PKCδ activation. Conclusion: The findings of the present study demonstrate a novel mechanism by which PKCδ activation via stimulation of Nox2 activity and downstream redox signaling promotes DC macropinocytosis of antigens. PKCδ/Nox2-mediated antigen macropinocytosis stimulates maturation of DCs and secretion of T-cell stimulatory cytokines. These findings may contribute to a better understanding of the regulatory mechanisms in DC macropinocytosis and downstream regulation of T-cell-mediated responses.","author":[{"dropping-particle":"","family":"Singla","given":"Bhupesh","non-dropping-particle":"","parse-names":false,"suffix":""},{"dropping-particle":"","family":"Ghoshal","given":"Pushpankur","non-dropping-particle":"","parse-names":false,"suffix":""},{"dropping-particle":"","family":"Lin","given":"Huiping","non-dropping-particle":"","parse-names":false,"suffix":""},{"dropping-particle":"","family":"Wei","given":"Qingqing","non-dropping-particle":"","parse-names":false,"suffix":""},{"dropping-particle":"","family":"Dong","given":"Zheng","non-dropping-particle":"","parse-names":false,"suffix":""},{"dropping-particle":"","family":"Csányi","given":"Gábor","non-dropping-particle":"","parse-names":false,"suffix":""}],"container-title":"Frontiers in Immunology","id":"ITEM-2","issue":"MAR","issued":{"date-parts":[["2018"]]},"title":"PKCδ-mediated Nox2 activation promotes fluid-phase pinocytosis of antigens by immature dendritic cells","type":"article-journal","volume":"9"},"uris":["http://www.mendeley.com/documents/?uuid=83ddf8b8-f96a-4429-8883-e68b4eec5b81"]}],"mendeley":{"formattedCitation":"&lt;sup&gt;211,221&lt;/sup&gt;","plainTextFormattedCitation":"211,221","previouslyFormattedCitation":"&lt;sup&gt;211,221&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211,221</w:t>
            </w:r>
            <w:r w:rsidRPr="00403195">
              <w:rPr>
                <w:rFonts w:ascii="Arial" w:eastAsia="Times New Roman" w:hAnsi="Arial" w:cs="Arial"/>
                <w:sz w:val="20"/>
                <w:szCs w:val="20"/>
              </w:rPr>
              <w:fldChar w:fldCharType="end"/>
            </w:r>
          </w:p>
          <w:p w14:paraId="701408A6" w14:textId="77777777" w:rsidR="00403195" w:rsidRPr="00403195" w:rsidRDefault="00403195">
            <w:pPr>
              <w:rPr>
                <w:rFonts w:ascii="Arial" w:eastAsia="Times New Roman" w:hAnsi="Arial" w:cs="Arial"/>
                <w:sz w:val="20"/>
                <w:szCs w:val="20"/>
              </w:rPr>
            </w:pPr>
          </w:p>
        </w:tc>
      </w:tr>
      <w:tr w:rsidR="00403195" w:rsidRPr="00403195" w14:paraId="2F8B1ECE"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56C5B83" w14:textId="77777777" w:rsidR="00403195" w:rsidRPr="00403195" w:rsidRDefault="00403195" w:rsidP="00403195">
            <w:pPr>
              <w:jc w:val="both"/>
              <w:rPr>
                <w:rFonts w:ascii="Arial" w:eastAsia="Times New Roman" w:hAnsi="Arial" w:cs="Arial"/>
                <w:sz w:val="20"/>
                <w:szCs w:val="20"/>
              </w:rPr>
            </w:pPr>
            <w:r w:rsidRPr="00403195">
              <w:rPr>
                <w:rStyle w:val="normaltextrun"/>
                <w:rFonts w:ascii="Arial" w:hAnsi="Arial" w:cs="Arial"/>
                <w:sz w:val="20"/>
                <w:szCs w:val="20"/>
              </w:rPr>
              <w:t>Brefeldin A</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8FF9166" w14:textId="77777777" w:rsidR="00403195" w:rsidRPr="00403195" w:rsidRDefault="00403195" w:rsidP="00403195">
            <w:pPr>
              <w:jc w:val="both"/>
              <w:rPr>
                <w:rFonts w:ascii="Arial" w:eastAsia="Times New Roman" w:hAnsi="Arial" w:cs="Arial"/>
                <w:sz w:val="20"/>
                <w:szCs w:val="20"/>
              </w:rPr>
            </w:pPr>
            <w:r w:rsidRPr="00403195">
              <w:rPr>
                <w:rStyle w:val="normaltextrun"/>
                <w:rFonts w:ascii="Arial" w:hAnsi="Arial" w:cs="Arial"/>
                <w:sz w:val="20"/>
                <w:szCs w:val="20"/>
              </w:rPr>
              <w:t>Vesicle Trafficking </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F79C39B" w14:textId="77777777" w:rsidR="00403195" w:rsidRPr="00403195" w:rsidRDefault="00403195" w:rsidP="00403195">
            <w:pPr>
              <w:pStyle w:val="paragraph"/>
              <w:spacing w:before="0" w:beforeAutospacing="0" w:after="0" w:afterAutospacing="0"/>
              <w:jc w:val="both"/>
              <w:textAlignment w:val="baseline"/>
              <w:rPr>
                <w:rFonts w:ascii="Arial" w:hAnsi="Arial" w:cs="Arial"/>
                <w:sz w:val="20"/>
                <w:szCs w:val="20"/>
              </w:rPr>
            </w:pPr>
            <w:r w:rsidRPr="00403195">
              <w:rPr>
                <w:rStyle w:val="normaltextrun"/>
                <w:rFonts w:ascii="Arial" w:hAnsi="Arial" w:cs="Arial"/>
                <w:sz w:val="20"/>
                <w:szCs w:val="20"/>
              </w:rPr>
              <w:t>Inhibits the formation of COP1 coats on vesicles to prevent ER-Golgi trafficking</w:t>
            </w:r>
            <w:r w:rsidRPr="00403195">
              <w:rPr>
                <w:rStyle w:val="eop"/>
                <w:rFonts w:ascii="Arial" w:eastAsia="MS Mincho" w:hAnsi="Arial" w:cs="Arial"/>
                <w:sz w:val="20"/>
                <w:szCs w:val="20"/>
              </w:rPr>
              <w:t> </w:t>
            </w:r>
          </w:p>
          <w:p w14:paraId="3D51EB13" w14:textId="77777777" w:rsidR="00403195" w:rsidRPr="00403195" w:rsidRDefault="00403195" w:rsidP="00403195">
            <w:pPr>
              <w:jc w:val="both"/>
              <w:rPr>
                <w:rFonts w:ascii="Arial" w:eastAsia="Times New Roman" w:hAnsi="Arial" w:cs="Arial"/>
                <w:sz w:val="20"/>
                <w:szCs w:val="20"/>
              </w:rPr>
            </w:pP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0AB4029C" w14:textId="77777777" w:rsidR="00403195" w:rsidRPr="00403195" w:rsidRDefault="00403195" w:rsidP="00403195">
            <w:pPr>
              <w:pStyle w:val="paragraph"/>
              <w:spacing w:before="0" w:beforeAutospacing="0" w:after="0" w:afterAutospacing="0"/>
              <w:jc w:val="both"/>
              <w:textAlignment w:val="baseline"/>
              <w:rPr>
                <w:rFonts w:ascii="Arial" w:hAnsi="Arial" w:cs="Arial"/>
                <w:sz w:val="20"/>
                <w:szCs w:val="20"/>
              </w:rPr>
            </w:pPr>
            <w:r w:rsidRPr="00403195">
              <w:rPr>
                <w:rStyle w:val="normaltextrun"/>
                <w:rFonts w:ascii="Arial" w:hAnsi="Arial" w:cs="Arial"/>
                <w:sz w:val="20"/>
                <w:szCs w:val="20"/>
              </w:rPr>
              <w:t>-99.6% inhibition of </w:t>
            </w:r>
            <w:proofErr w:type="spellStart"/>
            <w:r w:rsidRPr="00403195">
              <w:rPr>
                <w:rStyle w:val="normaltextrun"/>
                <w:rFonts w:ascii="Arial" w:hAnsi="Arial" w:cs="Arial"/>
                <w:sz w:val="20"/>
                <w:szCs w:val="20"/>
              </w:rPr>
              <w:t>lunasin</w:t>
            </w:r>
            <w:proofErr w:type="spellEnd"/>
            <w:r w:rsidRPr="00403195">
              <w:rPr>
                <w:rStyle w:val="normaltextrun"/>
                <w:rFonts w:ascii="Arial" w:hAnsi="Arial" w:cs="Arial"/>
                <w:sz w:val="20"/>
                <w:szCs w:val="20"/>
              </w:rPr>
              <w:t> in THP-1 macrophages</w:t>
            </w:r>
            <w:r w:rsidRPr="00403195">
              <w:rPr>
                <w:rStyle w:val="eop"/>
                <w:rFonts w:ascii="Arial" w:eastAsia="MS Mincho" w:hAnsi="Arial" w:cs="Arial"/>
                <w:sz w:val="20"/>
                <w:szCs w:val="20"/>
              </w:rPr>
              <w:t> </w:t>
            </w:r>
          </w:p>
          <w:p w14:paraId="36D4D1D2" w14:textId="77777777" w:rsidR="00403195" w:rsidRPr="00403195" w:rsidRDefault="00403195" w:rsidP="00403195">
            <w:pPr>
              <w:jc w:val="both"/>
              <w:rPr>
                <w:rFonts w:ascii="Arial" w:eastAsia="Times New Roman" w:hAnsi="Arial" w:cs="Arial"/>
                <w:sz w:val="20"/>
                <w:szCs w:val="20"/>
              </w:rPr>
            </w:pPr>
            <w:r w:rsidRPr="00403195">
              <w:rPr>
                <w:rStyle w:val="normaltextrun"/>
                <w:rFonts w:ascii="Arial" w:hAnsi="Arial" w:cs="Arial"/>
                <w:sz w:val="20"/>
                <w:szCs w:val="20"/>
              </w:rPr>
              <w:t>-40% inhibition in WGA-PEG-PLA NPs encapsulating </w:t>
            </w:r>
            <w:proofErr w:type="spellStart"/>
            <w:r w:rsidRPr="00403195">
              <w:rPr>
                <w:rStyle w:val="normaltextrun"/>
                <w:rFonts w:ascii="Arial" w:hAnsi="Arial" w:cs="Arial"/>
                <w:sz w:val="20"/>
                <w:szCs w:val="20"/>
              </w:rPr>
              <w:t>CdSe</w:t>
            </w:r>
            <w:proofErr w:type="spellEnd"/>
            <w:r w:rsidRPr="00403195">
              <w:rPr>
                <w:rStyle w:val="normaltextrun"/>
                <w:rFonts w:ascii="Arial" w:hAnsi="Arial" w:cs="Arial"/>
                <w:sz w:val="20"/>
                <w:szCs w:val="20"/>
              </w:rPr>
              <w:t>/ZnS quantum dots in CaCo-2 cells</w:t>
            </w: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1D823324" w14:textId="77777777" w:rsidR="00403195" w:rsidRPr="00403195" w:rsidRDefault="00403195" w:rsidP="00403195">
            <w:pPr>
              <w:jc w:val="both"/>
              <w:rPr>
                <w:rFonts w:ascii="Arial" w:eastAsia="Times New Roman" w:hAnsi="Arial" w:cs="Arial"/>
                <w:sz w:val="20"/>
                <w:szCs w:val="20"/>
              </w:rPr>
            </w:pPr>
            <w:r w:rsidRPr="00403195">
              <w:rPr>
                <w:rStyle w:val="normaltextrun"/>
                <w:rFonts w:ascii="Arial" w:hAnsi="Arial" w:cs="Arial"/>
                <w:sz w:val="20"/>
                <w:szCs w:val="20"/>
              </w:rPr>
              <w:t>This has been shown to inhibit transcytosis and has been suggested to also inhibit endocytosis</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F0BB5B" w14:textId="3274B705" w:rsidR="00403195" w:rsidRPr="00403195" w:rsidRDefault="00403195" w:rsidP="00403195">
            <w:pPr>
              <w:jc w:val="both"/>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{"citationItems":[{"id":"ITEM-1","itemData":{"DOI":"10.1016/S0171-9335(99)80002-8","ISSN":"01719335","abstract":"Previous inquiries into the effects of Brefeldin A (BFA) have largely concentrated on dynamics of ER-Golgi membrane traffic, predominantly after relatively short treatments with the drug. We have now analyzed the effects of long BFA treatment on overall cell morphology, behavior of resident and cycling Golgi proteins, and microtubular and actin cytoskeletons organization. Prolonged (15 h or 40 h) treatment of normal rat kidney (NRK) cells with BFA reused dramatic swelling of the Endoplasmic Reticulum (ER) and shifted its localization to the periphery of the cells. The Golgi complex was disassembled and Golgi proteins redistributed and persisted in partially distinct compartments. Prolonged BFA treatment resulted in marked disruption of the MT and actin cytoskeleton. Peripheral MT were absent and tubulin staining was concentrated in short astral MT emanating from the microtubule organizing center (MTOC). Actin stress fibers were largely absent and actin staining was concentrated within a perinuclear area. Within this region, actin localization overlapped that of the membran transport factor p115. BFA effects on Golgi structure and on MT and actin organization showed the same threshold - all could be partially reversed after 30 min and 15 h BFA treatment but were irreversible after 40 h incubation with the drug. The observed effects were not induced by signaling pathways involved in apoptotic phenomena or in ER stress response pathways. These results suggest that BFA inhibits the activity of key molecules that regulate MT and actin cytoskeleton dynamics. The findings can be used as the basis for elucidating the molecular mechanism of BFA action on the cytoskeleton.","author":[{"dropping-particle":"","family":"Alvarez","given":"Cecilia","non-dropping-particle":"","parse-names":false,"suffix":""},{"dropping-particle":"","family":"Sztul","given":"Elizabeth S.","non-dropping-particle":"","parse-names":false,"suffix":""}],"container-title":"European Journal of Cell Biology","id":"ITEM-1","issue":"1","issued":{"date-parts":[["1999"]]},"page":"1-14","publisher":"Urban &amp; Fischer Verlag GmbH, Stuttgart","title":"Brefeldin A (BFA) disrupts the organization of the micuotubule and the actin cytoskeletons","type":"article-journal","volume":"78"},"uris":["http://www.mendeley.com/documents/?uuid=3a7d57b6-3c7f-4c63-8993-414442b7f8da"]},{"id":"ITEM-2","itemData":{"DOI":"10.1371/journal.pone.0072115","ISBN":"2010346442097","ISSN":"19326203","abstract":"Cardiovascular disease (CVD) is the leading cause of death in the United States. Diet influences risk factors associated with CVD and atherosclerosis, a major vascular disease that arises from inflammation. Lunasin, a peptide derived from plant foods such as soybeans, contains a unique Arg-Gly-Asp cell-adhesion motif and inhibits the pathways involved in the inflammatory cascade. The objective was to determine the mechanism by which lunasin is internalized into human THP-1 macrophages, investigate the expression of endocytic membrane proteins in inflammatory conditions and to identify the pathways involved. While lipopolysaccharide (10 nM), vitronectin (130 nM) and a combination of these two molecules enhanced lunasin uptake and increased basal αVβ3 integrin expression, lunasin reduced αVβ3 expression by 25.5, 26.8 and 49.2%, respectively. The pretreatment of cells with brefeldin A (71 μM), an inhibitor of protein trafficking, inhibited lunasin internalization by up to 99.8%. Lunasin increased caveolin-1 expression by up to 204.8%, but did not modulate clathrin. The pretreatment of macrophages with nystatin (54 μM), an inhibitor of caveolae-dependent endocytosis, reduced lunasin internalization. The presence of amantadine (1 mM) and amiloride (1 mM), inhibitors of clathrin-mediated endocytosis and macropinocytosis, abolished lunasin cell entry. Lunasin elicited a transient reduction in intracellular levels of Ca2+ in LPS-induced macrophages. The results suggest that internalization of lunasin into macrophages is amplified in inflammatory conditions and is primarily mediated by endocytic mechanisms that involve integrin signaling, clathrin-coated structures and macropinosomes. Lunasin may be responsible for attenuation of CVD risk factors by interacting with pathways involved in endocytosis and inflammation. © 2013 Cam et al.","author":[{"dropping-particle":"","family":"Cam","given":"Anthony","non-dropping-particle":"","parse-names":false,"suffix":""},{"dropping-particle":"","family":"Sivaguru","given":"Mayandi","non-dropping-particle":"","parse-names":false,"suffix":""},{"dropping-particle":"","family":"Gonzalez de Mejia","given":"Elvira","non-dropping-particle":"","parse-names":false,"suffix":""}],"container-title":"PLoS ONE","id":"ITEM-2","issue":"9","issued":{"date-parts":[["2013"]]},"title":"Endocytic Mechanism of Internalization of Dietary Peptide Lunasin into Macrophages in Inflammatory Condition Associated with Cardiovascular Disease","type":"article-journal","volume":"8"},"uris":["http://www.mendeley.com/documents/?uuid=866eac1d-0d01-4b60-b49a-aa2811fd6bae"]},{"id":"ITEM-3","itemData":{"DOI":"10.1016/j.bbrc.2008.09.077","ISSN":"0006291X","abstract":"Successful drug delivery by functionalized nanocarriers largely depends on their efficient intracellular transport which has not yet been fully understood. We developed a new tracking technique by encapsulating quantum dots into the core of wheat germ agglutinin-conjugated nanoparticles (WGA-NP) to track cellular transport of functionalized nanocarriers. The resulting nanoparticles showed no changes in particle size, zeta potential or biobinding activity, and the loaded probe presented excellent photostability and tracking ability. Taking advantage of these properties, cellular transport profiles of WGA-NP in Caco-2 cells was demonstrated. The cellular uptake begins with binding of WGA to its receptor at the cell surface. The subsequent endocytosis happened in a cytoskeleton-dependent manner and by means of clathrin and caveolae-mediated mechanisms. After endosome creating, transport occurs to both trans-Golgi and lysosome. Our study provides new evidences for quantum dots as a cellular tracking probe of nanocarriers and helps understand intracellular transport profile of lectin-functionalized nanoparticles. © 2008 Elsevier Inc. All rights reserved.","author":[{"dropping-particle":"","family":"Gao","given":"Xiaoling","non-dropping-particle":"","parse-names":false,"suffix":""},{"dropping-particle":"","family":"Wang","given":"Tao","non-dropping-particle":"","parse-names":false,"suffix":""},{"dropping-particle":"","family":"Wu","given":"Bingxian","non-dropping-particle":"","parse-names":false,"suffix":""},{"dropping-particle":"","family":"Chen","given":"Jun","non-dropping-particle":"","parse-names":false,"suffix":""},{"dropping-particle":"","family":"Chen","given":"Jiyao","non-dropping-particle":"","parse-names":false,"suffix":""},{"dropping-particle":"","family":"Yue","given":"Yang","non-dropping-particle":"","parse-names":false,"suffix":""},{"dropping-particle":"","family":"Dai","given":"Ning","non-dropping-particle":"","parse-names":false,"suffix":""},{"dropping-particle":"","family":"Chen","given":"Hongzhuan","non-dropping-particle":"","parse-names":false,"suffix":""},{"dropping-particle":"","family":"Jiang","given":"Xinguo","non-dropping-particle":"","parse-names":false,"suffix":""}],"container-title":"Biochemical and Biophysical Research Communications","id":"ITEM-3","issue":"1","issued":{"date-parts":[["2008"]]},"page":"35-40","publisher":"Elsevier Inc.","title":"Quantum dots for tracking cellular transport of lectin-functionalized nanoparticles","type":"article-journal","volume":"377"},"uris":["http://www.mendeley.com/documents/?uuid=ce4c3ca2-c061-4ef0-9e1a-6e8dc30e53e8"]},{"id":"ITEM-4","itemData":{"DOI":"10.1016/0092-8674(91)90535-7","ISSN":"00928674","abstract":"Treatment of most cells with brefeldin A (BFA) leads to the retrieval of the Golgi complex to the endoplasmic reticulum, presumably reflecting an inhibition of cytoplasmic coat protein binding to Golgi membranes. Although BFA has been thought to act only on biosynthetic organelles, we now show that this drug also reversibly blocks polymeric immunoglobulin receptor-mediated transcytosis in MDCK cells. The action of BFA on transcytosis was selective, since internalization, recycling, and intracellular degradation were unaffected. The block occurred early on the transcytotic pathway, probably before the translocation of IgA-containing vesicles from the basal to the apical cytoplasm. Although BFA caused MDCK cell endosomes to become more tubular, the organization of the Golgi and binding of the 110 kd Golgi coat protein β-COP was surprisingly unaffected. These results suggest that in MDCK cells, endocytic organelles contain a BFA-sensitive coat that regulates their organization and function even though the Golgi coat is BFA resistant. © 1991.","author":[{"dropping-particle":"","family":"Hunziker","given":"Walter","non-dropping-particle":"","parse-names":false,"suffix":""},{"dropping-particle":"","family":"Andrew Whitney","given":"J.","non-dropping-particle":"","parse-names":false,"suffix":""},{"dropping-particle":"","family":"Mellman","given":"Ira","non-dropping-particle":"","parse-names":false,"suffix":""}],"container-title":"Cell","id":"ITEM-4","issue":"3","issued":{"date-parts":[["1991"]]},"page":"617-627","title":"Selective inhibition of transcytosis by brefeldin A in MDCK cells","type":"article-journal","volume":"67"},"uris":["http://www.mendeley.com/documents/?uuid=9de3edd8-ac9e-4580-be92-9704ad51a219"]}],"mendeley":{"formattedCitation":"&lt;sup&gt;98,222–224&lt;/sup&gt;","plainTextFormattedCitation":"98,222–224","previouslyFormattedCitation":"&lt;sup&gt;98,222–224&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98,222–224</w:t>
            </w:r>
            <w:r w:rsidRPr="00403195">
              <w:rPr>
                <w:rFonts w:ascii="Arial" w:eastAsia="Times New Roman" w:hAnsi="Arial" w:cs="Arial"/>
                <w:sz w:val="20"/>
                <w:szCs w:val="20"/>
              </w:rPr>
              <w:fldChar w:fldCharType="end"/>
            </w:r>
          </w:p>
          <w:p w14:paraId="7C504C46" w14:textId="77777777" w:rsidR="00403195" w:rsidRPr="00403195" w:rsidRDefault="00403195" w:rsidP="00403195">
            <w:pPr>
              <w:jc w:val="both"/>
              <w:rPr>
                <w:rFonts w:ascii="Arial" w:eastAsia="Times New Roman" w:hAnsi="Arial" w:cs="Arial"/>
                <w:sz w:val="20"/>
                <w:szCs w:val="20"/>
              </w:rPr>
            </w:pPr>
          </w:p>
        </w:tc>
      </w:tr>
      <w:tr w:rsidR="00403195" w:rsidRPr="00403195" w14:paraId="6B52FB98" w14:textId="77777777" w:rsidTr="00403195">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729849B"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Dextran Sulfate</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ED0D186"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Scavenger Receptor Mediated Endocytosis</w:t>
            </w:r>
            <w:r w:rsidRPr="00403195">
              <w:rPr>
                <w:rStyle w:val="eop"/>
                <w:rFonts w:ascii="Arial" w:hAnsi="Arial" w:cs="Arial"/>
                <w:sz w:val="20"/>
                <w:szCs w:val="20"/>
              </w:rPr>
              <w:t> </w:t>
            </w:r>
          </w:p>
        </w:tc>
        <w:tc>
          <w:tcPr>
            <w:tcW w:w="135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C02E9C2"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 xml:space="preserve">Competitively </w:t>
            </w:r>
            <w:proofErr w:type="gramStart"/>
            <w:r w:rsidRPr="00403195">
              <w:rPr>
                <w:rStyle w:val="normaltextrun"/>
                <w:rFonts w:ascii="Arial" w:hAnsi="Arial" w:cs="Arial"/>
                <w:sz w:val="20"/>
                <w:szCs w:val="20"/>
              </w:rPr>
              <w:t>binds to</w:t>
            </w:r>
            <w:proofErr w:type="gramEnd"/>
            <w:r w:rsidRPr="00403195">
              <w:rPr>
                <w:rStyle w:val="normaltextrun"/>
                <w:rFonts w:ascii="Arial" w:hAnsi="Arial" w:cs="Arial"/>
                <w:sz w:val="20"/>
                <w:szCs w:val="20"/>
              </w:rPr>
              <w:t xml:space="preserve"> scavenger receptors on endothelial cells, such a stabilin-1 and stabilin-2.</w:t>
            </w:r>
            <w:r w:rsidRPr="00403195">
              <w:rPr>
                <w:rStyle w:val="eop"/>
                <w:rFonts w:ascii="Arial" w:hAnsi="Arial" w:cs="Arial"/>
                <w:sz w:val="20"/>
                <w:szCs w:val="20"/>
              </w:rPr>
              <w:t> </w:t>
            </w:r>
          </w:p>
        </w:tc>
        <w:tc>
          <w:tcPr>
            <w:tcW w:w="1800" w:type="dxa"/>
            <w:tcBorders>
              <w:top w:val="single" w:sz="8" w:space="0" w:color="A3A3A3"/>
              <w:left w:val="single" w:sz="8" w:space="0" w:color="A3A3A3"/>
              <w:bottom w:val="single" w:sz="8" w:space="0" w:color="A3A3A3"/>
              <w:right w:val="single" w:sz="8" w:space="0" w:color="A3A3A3"/>
            </w:tcBorders>
          </w:tcPr>
          <w:p w14:paraId="66CE766A"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-42% inhibition of </w:t>
            </w:r>
            <w:proofErr w:type="spellStart"/>
            <w:r w:rsidRPr="00403195">
              <w:rPr>
                <w:rStyle w:val="normaltextrun"/>
                <w:rFonts w:ascii="Arial" w:hAnsi="Arial" w:cs="Arial"/>
                <w:sz w:val="20"/>
                <w:szCs w:val="20"/>
              </w:rPr>
              <w:t>succinylated</w:t>
            </w:r>
            <w:proofErr w:type="spellEnd"/>
            <w:r w:rsidRPr="00403195">
              <w:rPr>
                <w:rStyle w:val="normaltextrun"/>
                <w:rFonts w:ascii="Arial" w:hAnsi="Arial" w:cs="Arial"/>
                <w:sz w:val="20"/>
                <w:szCs w:val="20"/>
              </w:rPr>
              <w:t> bovine serum albumin in BMECs</w:t>
            </w:r>
            <w:r w:rsidRPr="00403195">
              <w:rPr>
                <w:rStyle w:val="eop"/>
                <w:rFonts w:ascii="Arial" w:eastAsia="MS Mincho" w:hAnsi="Arial" w:cs="Arial"/>
                <w:sz w:val="20"/>
                <w:szCs w:val="20"/>
              </w:rPr>
              <w:t> </w:t>
            </w:r>
          </w:p>
          <w:p w14:paraId="19A1B087" w14:textId="77777777" w:rsidR="00403195" w:rsidRPr="00403195" w:rsidRDefault="00403195">
            <w:pPr>
              <w:pStyle w:val="paragraph"/>
              <w:spacing w:before="0" w:beforeAutospacing="0" w:after="0" w:afterAutospacing="0"/>
              <w:textAlignment w:val="baseline"/>
              <w:rPr>
                <w:rFonts w:ascii="Arial" w:hAnsi="Arial" w:cs="Arial"/>
                <w:sz w:val="20"/>
                <w:szCs w:val="20"/>
              </w:rPr>
            </w:pPr>
            <w:r w:rsidRPr="00403195">
              <w:rPr>
                <w:rStyle w:val="normaltextrun"/>
                <w:rFonts w:ascii="Arial" w:hAnsi="Arial" w:cs="Arial"/>
                <w:sz w:val="20"/>
                <w:szCs w:val="20"/>
              </w:rPr>
              <w:t>-66% inhibition of DOPG liposomes and a 75% inhibition of DOPC liposomes in venular endothelial cells of zebrafish embryo compared to arterial endothelial cells</w:t>
            </w:r>
            <w:r w:rsidRPr="00403195">
              <w:rPr>
                <w:rStyle w:val="eop"/>
                <w:rFonts w:ascii="Arial" w:eastAsia="MS Mincho" w:hAnsi="Arial" w:cs="Arial"/>
                <w:sz w:val="20"/>
                <w:szCs w:val="20"/>
              </w:rPr>
              <w:t> </w:t>
            </w:r>
          </w:p>
          <w:p w14:paraId="6AFDF3B9" w14:textId="77777777" w:rsidR="00403195" w:rsidRPr="00403195" w:rsidRDefault="00403195">
            <w:pPr>
              <w:rPr>
                <w:rFonts w:ascii="Arial" w:eastAsia="Times New Roman" w:hAnsi="Arial" w:cs="Arial"/>
                <w:sz w:val="20"/>
                <w:szCs w:val="20"/>
              </w:rPr>
            </w:pPr>
            <w:r w:rsidRPr="00403195">
              <w:rPr>
                <w:rStyle w:val="eop"/>
                <w:rFonts w:ascii="Arial" w:hAnsi="Arial" w:cs="Arial"/>
                <w:sz w:val="20"/>
                <w:szCs w:val="20"/>
              </w:rPr>
              <w:t> </w:t>
            </w:r>
          </w:p>
        </w:tc>
        <w:tc>
          <w:tcPr>
            <w:tcW w:w="1620" w:type="dxa"/>
            <w:tcBorders>
              <w:top w:val="single" w:sz="8" w:space="0" w:color="A3A3A3"/>
              <w:left w:val="single" w:sz="8" w:space="0" w:color="A3A3A3"/>
              <w:bottom w:val="single" w:sz="8" w:space="0" w:color="A3A3A3"/>
              <w:right w:val="single" w:sz="8" w:space="0" w:color="A3A3A3"/>
            </w:tcBorders>
          </w:tcPr>
          <w:p w14:paraId="2B7BE164" w14:textId="77777777" w:rsidR="00403195" w:rsidRPr="00403195" w:rsidRDefault="00403195">
            <w:pPr>
              <w:rPr>
                <w:rFonts w:ascii="Arial" w:eastAsia="Times New Roman" w:hAnsi="Arial" w:cs="Arial"/>
                <w:sz w:val="20"/>
                <w:szCs w:val="20"/>
              </w:rPr>
            </w:pPr>
            <w:r w:rsidRPr="00403195">
              <w:rPr>
                <w:rStyle w:val="normaltextrun"/>
                <w:rFonts w:ascii="Arial" w:hAnsi="Arial" w:cs="Arial"/>
                <w:sz w:val="20"/>
                <w:szCs w:val="20"/>
              </w:rPr>
              <w:t>This is not a specific binding, as dextran sulfate will also bind to the mannose receptor</w:t>
            </w:r>
            <w:r w:rsidRPr="00403195">
              <w:rPr>
                <w:rStyle w:val="eop"/>
                <w:rFonts w:ascii="Arial" w:hAnsi="Arial" w:cs="Arial"/>
                <w:sz w:val="20"/>
                <w:szCs w:val="20"/>
              </w:rPr>
              <w:t> </w:t>
            </w:r>
          </w:p>
        </w:tc>
        <w:tc>
          <w:tcPr>
            <w:tcW w:w="90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82836F" w14:textId="0AC77036" w:rsidR="00403195" w:rsidRPr="00403195" w:rsidRDefault="00403195">
            <w:pPr>
              <w:rPr>
                <w:rFonts w:ascii="Arial" w:eastAsia="Times New Roman" w:hAnsi="Arial" w:cs="Arial"/>
                <w:sz w:val="20"/>
                <w:szCs w:val="20"/>
              </w:rPr>
            </w:pPr>
            <w:r w:rsidRPr="00403195">
              <w:rPr>
                <w:rFonts w:ascii="Arial" w:eastAsia="Times New Roman" w:hAnsi="Arial" w:cs="Arial"/>
                <w:sz w:val="20"/>
                <w:szCs w:val="20"/>
              </w:rPr>
              <w:fldChar w:fldCharType="begin" w:fldLock="1"/>
            </w:r>
            <w:r w:rsidR="008C387C">
              <w:rPr>
                <w:rFonts w:ascii="Arial" w:eastAsia="Times New Roman" w:hAnsi="Arial" w:cs="Arial"/>
                <w:sz w:val="20"/>
                <w:szCs w:val="20"/>
              </w:rPr>
              <w:instrText>ADDIN CSL_CITATION {"citationItems":[{"id":"ITEM-1","itemData":{"DOI":"10.1006/bbrc.1993.2210","ISSN":"0006291X","abstract":"Cellular uptake of succinylated catalase (Suc-CAT; Mw 227 kDa), bovine serum albumin (Suc-BSA; Mw 70 kDa), superoxide dismutase (Suc-SOD; Mw 34 kDa) and soybean trypsin inhibitor (Suc-STI; Mw 21 kDa) was studied using primary cultures of bovine brain microvessel endothelial cells (BMECs) developed as an in vitro model of the blood-brain barrier. Large succinylated proteins (Suc-CAT, Suc-BSA) were taken up by BMECs whereas significant uptake was not observed for native proteins and small succinylated proteins (Suc-SOD, Suc-STI). Uptake of Suc-BSA was significantly inhibited at 4°C and in the presence of endocytosis inhibitor. Large succinylated proteins, maleylated BSA and dextran sulfate also showed competitive inhibition against Suc-BSA uptake while small succinylated proteins and carboxymethyl dextran did not show any effect. These results indicate that microvessel endothelial cells obtained from the brain endocytose succinylated proteins via a scavenger receptor-mediated mechanism for polyanions, and in addition, the importance of molecular weight or total numbers of anionic charges per one molecule of proteins is suggested. Usefulness of direct succinylation of proteins for their delivery to the brain capillary endothelium is thus demonstrated. © 1993 Academic Press, Inc.","author":[{"dropping-particle":"","family":"Tokuda","given":"Hideaki","non-dropping-particle":"","parse-names":false,"suffix":""},{"dropping-particle":"","family":"Masuda","given":"Sada","non-dropping-particle":"","parse-names":false,"suffix":""},{"dropping-particle":"","family":"Takakura","given":"Yoshinobu","non-dropping-particle":"","parse-names":false,"suffix":""},{"dropping-particle":"","family":"Sezaki","given":"Hitoshi","non-dropping-particle":"","parse-names":false,"suffix":""},{"dropping-particle":"","family":"Hashida","given":"Mitsuru","non-dropping-particle":"","parse-names":false,"suffix":""}],"container-title":"Biochemical and Biophysical Research Communications","id":"ITEM-1","issue":"1","issued":{"date-parts":[["1993","10"]]},"page":"18-24","title":"Specific Uptake of Succinylated Proteins Via a Scavenger Receptor-Mediated Mechanism in Cultured Brain Microvessel Endothelial Cells","type":"article-journal","volume":"196"},"uris":["http://www.mendeley.com/documents/?uuid=a9ce912c-c92b-4720-8119-1338b501d692"]},{"id":"ITEM-2","itemData":{"DOI":"10.1021/acsnano.7b06995","ISSN":"1936086X","abstract":"Up to 99% of systemically administered nanoparticles are cleared through the liver. Within the liver, most nanoparticles are thought to be sequestered by macrophages (Kupffer cells), although significant nanoparticle interactions with other hepatic cells have also been observed. To achieve effective cell-specific targeting of drugs through nanoparticle encapsulation, improved mechanistic understanding of nanoparticle-liver interactions is required. Here, we show the caudal vein of the embryonic zebrafish (Danio rerio) can be used as a model for assessing nanoparticle interactions with mammalian liver sinusoidal (or scavenger) endothelial cells (SECs) and macrophages. We observe that anionic nanoparticles are primarily taken up by SECs and identify an essential requirement for the scavenger receptor, stabilin-2 (stab2) in this process. Importantly, nanoparticle-SEC interactions can be blocked by dextran sulfate, a competitive inhibitor of stab2 and other scavenger receptors. Finally, we exploit nanoparticle-SEC interactions to demonstrate targeted intracellular drug delivery resulting in the selective deletion of a single blood vessel in the zebrafish embryo. Together, we propose stab2 inhibition or targeting as a general approach for modifying nanoparticle-liver interactions of a wide range of nanomedicines.","author":[{"dropping-particle":"","family":"Campbell","given":"Frederick","non-dropping-particle":"","parse-names":false,"suffix":""},{"dropping-particle":"","family":"Bos","given":"Frank L.","non-dropping-particle":"","parse-names":false,"suffix":""},{"dropping-particle":"","family":"Sieber","given":"Sandro","non-dropping-particle":"","parse-names":false,"suffix":""},{"dropping-particle":"","family":"Arias-Alpizar","given":"Gabriela","non-dropping-particle":"","parse-names":false,"suffix":""},{"dropping-particle":"","family":"Koch","given":"Bjørn E.","non-dropping-particle":"","parse-names":false,"suffix":""},{"dropping-particle":"","family":"Huwyler","given":"Jörg","non-dropping-particle":"","parse-names":false,"suffix":""},{"dropping-particle":"","family":"Kros","given":"Alexander","non-dropping-particle":"","parse-names":false,"suffix":""},{"dropping-particle":"","family":"Bussmann","given":"Jeroen","non-dropping-particle":"","parse-names":false,"suffix":""}],"container-title":"ACS Nano","id":"ITEM-2","issue":"3","issued":{"date-parts":[["2018"]]},"page":"2138-2150","title":"Directing Nanoparticle Biodistribution through Evasion and Exploitation of Stab2-Dependent Nanoparticle Uptake","type":"article-journal","volume":"12"},"uris":["http://www.mendeley.com/documents/?uuid=6fae0424-f72e-44e5-9afc-64ee748d3c21"]},{"id":"ITEM-3","itemData":{"DOI":"10.1074/jbc.M807477200","ISSN":"00219258","abstract":"Collectin placenta 1 (CL-P1), a recently discovered scavenger receptor, mediates the uptake of oxidized low density lipoprotein and microbes. In this study, we investigated CL-P1-mediated binding and ingestion of yeast-derived zymosan bioparticles using Chinese hamster ovary (CHO) cells stably expressing human CL-P1 (CHO/CL-P1) and human vascular endothelial cells constitutively expressed CL-P1. The uptake of zymosan by CHO/CL-P1 was dependent upon the level of CL-P1 expressed on the membrane and was inhibited by cytochalasin D and wortmannin. The binding of zymosan was also inhibited by ligands of other scavenger receptors such as poly(I) and dextran sulfate. Real time reverse transcription-PCR analyses showed that other scavenger receptors, namely LOX-1, Stabilin-2, or macrophage receptor with collagenous structure (MARCO), were not expressed in human umbilical vein endothelial cells isolated from different individuals. Nonopsonic zymosan ingestion was inhibited in three primary cultured vascular endothelial cells, including different human umbilical vein endothelial cells from nine individuals treated with CL-P1 small interfering RNAs, although small interfering RNAs of other scavenger receptors had no effect on zymosan uptake in these cells. Furthermore, we confirmed that CL-P1 is expressed in human and murine vascular endothelial layers. Our results demonstrated that CL-P1 predominantly mediated phagocytosis for fungi in vascular endothelia. © 2009 by The American Society for Biochemistry and Molecular Biology, Inc.","author":[{"dropping-particle":"","family":"Jang","given":"Seong Jae","non-dropping-particle":"","parse-names":false,"suffix":""},{"dropping-particle":"","family":"Ohtani","given":"Katsuki","non-dropping-particle":"","parse-names":false,"suffix":""},{"dropping-particle":"","family":"Fukuoh","given":"Atsushi","non-dropping-particle":"","parse-names":false,"suffix":""},{"dropping-particle":"","family":"Yoshizaki","given":"Takayuki","non-dropping-particle":"","parse-names":false,"suffix":""},{"dropping-particle":"","family":"Fukuda","given":"Mitsuko","non-dropping-particle":"","parse-names":false,"suffix":""},{"dropping-particle":"","family":"Motomura","given":"Wataru","non-dropping-particle":"","parse-names":false,"suffix":""},{"dropping-particle":"","family":"Mori","given":"Kenichiro","non-dropping-particle":"","parse-names":false,"suffix":""},{"dropping-particle":"","family":"Fukuzawa","given":"Jun","non-dropping-particle":"","parse-names":false,"suffix":""},{"dropping-particle":"","family":"Kitamoto","given":"Noritoshi","non-dropping-particle":"","parse-names":false,"suffix":""},{"dropping-particle":"","family":"Yoshida","given":"Itsuro","non-dropping-particle":"","parse-names":false,"suffix":""},{"dropping-particle":"","family":"Suzuki","given":"Yasuhiko","non-dropping-particle":"","parse-names":false,"suffix":""},{"dropping-particle":"","family":"Wakamiya","given":"Nobutaka","non-dropping-particle":"","parse-names":false,"suffix":""}],"container-title":"Journal of Biological Chemistry","id":"ITEM-3","issue":"6","issued":{"date-parts":[["2009"]]},"page":"3956-3965","title":"Scavenger receptor collectin placenta 1 (CL-P1) predominantly mediates zymosan phagocytosis by human vascular endothelial cells","type":"article-journal","volume":"284"},"uris":["http://www.mendeley.com/documents/?uuid=682daaf5-475f-4c61-ac10-6b8a3691b359"]},{"id":"ITEM-4","itemData":{"ISSN":"00219258","PMID":"1993707","abstract":"We synthesized several para-aminophenyl (pap-) mannose-terminated albumins with varying sugar density (Man7-HSA, Man22-HSA, and Man40-HSA) and compared hepatic uptake with (thio-)mannose-terminated bovine serum albumin (Man-43-AI-BSA) The rate of uptake in isolated perfused rat livers was found to be positively correlated with the sugar density (Man40-HSA = Man22-HSA &gt; Man7-HSA &gt; HSA). Immunohistochemical staining of liver sections showed for both types of neoglycoproteins that uptake occurred in nonparenchymal cells only. Competition experiments with a 500-fold excess of mannan, a known ligand for the mannose/N-acetylglucosamine receptor, that is predominantly localized in endothelial cells, showed complete inhibition of the (thio-)Man43-AI-BSA uptake. In the case of (pap-)mannose-terminated albumins, however, the extent of inhibition by mannan was moderate and decreased markedly with increasing sugar density, being only 20% for (pap-)Man40-HSA. Therefore, we hypothesized that one or more additional removal systems contributed to the clearance of these (pap-)mannose glycoproteins. We found that net negative charge of the (pap-)mannose albumins clearly increased with increasing sugar density, as shown on fast protein liquid chromatography anion-exchange chromatograms. To determine whether the scavenger receptor system that is also mainly present on endothelial cells is involved, we performed competition studies with strongly negatively charged substrates, such as dextran sulfate and formaldehyde-treated human serum albumin (fHSA). An excess of dextran sulfate (500 kDa), indeed blocked the (pap-)mannose-albumin uptake for more than 95%. Dextran sulfate completely inhibited the hepatic uptake of mannan as well, indicating that the polyanion does not discriminate between the scavenger system and the mannose receptor system and should be regarded as an aspecific inhibitor of receptor-mediated endocytotic pathways. Surprisingly, a 500-fold excess of fHSA only moderately (20%) inhibited the clearance of (pap-)Man40-HSA in spite of its high affinity for the scavenger receptor. However, a combination of mannan and fHSA strongly inhibited the uptake of (pap-)Man22-HSA (90%) and to a lesser extent (pap-)Man40-HSA (80%), indicating that a third uptake mechanism may exist that recognizes both mannose groups (or other sugars) and net negative charge. This so far unnoticed receptor system apparently is strongly affected by dextran sulfate and, as shown by immunohisto…","author":[{"dropping-particle":"","family":"Jansen","given":"R. W.","non-dropping-particle":"","parse-names":false,"suffix":""},{"dropping-particle":"","family":"Molema","given":"G.","non-dropping-particle":"","parse-names":false,"suffix":""},{"dropping-particle":"","family":"Ching","given":"T. L.","non-dropping-particle":"","parse-names":false,"suffix":""},{"dropping-particle":"","family":"Oosting","given":"R.","non-dropping-particle":"","parse-names":false,"suffix":""},{"dropping-particle":"","family":"Harms","given":"G.","non-dropping-particle":"","parse-names":false,"suffix":""},{"dropping-particle":"","family":"Moolenaar","given":"F.","non-dropping-particle":"","parse-names":false,"suffix":""},{"dropping-particle":"","family":"Hardonk","given":"M. J.","non-dropping-particle":"","parse-names":false,"suffix":""},{"dropping-particle":"","family":"Meijer","given":"D. K.F.","non-dropping-particle":"","parse-names":false,"suffix":""}],"container-title":"Journal of Biological Chemistry","id":"ITEM-4","issue":"5","issued":{"date-parts":[["1991"]]},"page":"3343-3348","title":"Hepatic endocytosis of various types of mannose-terminated albumins: What is important, sugar recognition, net charge, or the combination of these features","type":"article-journal","volume":"266"},"uris":["http://www.mendeley.com/documents/?uuid=4759e369-d067-440e-9095-b43a1894c4a8"]}],"mendeley":{"formattedCitation":"&lt;sup&gt;225–228&lt;/sup&gt;","plainTextFormattedCitation":"225–228","previouslyFormattedCitation":"&lt;sup&gt;225–228&lt;/sup&gt;"},"properties":{"noteIndex":0},"schema":"https://github.com/citation-style-language/schema/raw/master/csl-citation.json"}</w:instrText>
            </w:r>
            <w:r w:rsidRPr="00403195">
              <w:rPr>
                <w:rFonts w:ascii="Arial" w:eastAsia="Times New Roman" w:hAnsi="Arial" w:cs="Arial"/>
                <w:sz w:val="20"/>
                <w:szCs w:val="20"/>
              </w:rPr>
              <w:fldChar w:fldCharType="separate"/>
            </w:r>
            <w:r w:rsidR="009D7D40" w:rsidRPr="009D7D40">
              <w:rPr>
                <w:rFonts w:ascii="Arial" w:eastAsia="Times New Roman" w:hAnsi="Arial" w:cs="Arial"/>
                <w:noProof/>
                <w:sz w:val="20"/>
                <w:szCs w:val="20"/>
                <w:vertAlign w:val="superscript"/>
              </w:rPr>
              <w:t>225–228</w:t>
            </w:r>
            <w:r w:rsidRPr="00403195">
              <w:rPr>
                <w:rFonts w:ascii="Arial" w:eastAsia="Times New Roman" w:hAnsi="Arial" w:cs="Arial"/>
                <w:sz w:val="20"/>
                <w:szCs w:val="20"/>
              </w:rPr>
              <w:fldChar w:fldCharType="end"/>
            </w:r>
          </w:p>
          <w:p w14:paraId="0BF90574" w14:textId="77777777" w:rsidR="00403195" w:rsidRPr="00403195" w:rsidRDefault="00403195">
            <w:pPr>
              <w:rPr>
                <w:rFonts w:ascii="Arial" w:eastAsia="Times New Roman" w:hAnsi="Arial" w:cs="Arial"/>
                <w:sz w:val="20"/>
                <w:szCs w:val="20"/>
              </w:rPr>
            </w:pPr>
          </w:p>
        </w:tc>
      </w:tr>
    </w:tbl>
    <w:p w14:paraId="698AE8DB" w14:textId="77777777" w:rsidR="00403195" w:rsidRDefault="00403195" w:rsidP="00403195"/>
    <w:p w14:paraId="11141678" w14:textId="77777777" w:rsidR="00403195" w:rsidRPr="00403195" w:rsidRDefault="00403195" w:rsidP="00403195">
      <w:pPr>
        <w:jc w:val="both"/>
        <w:rPr>
          <w:rFonts w:ascii="Arial" w:hAnsi="Arial" w:cs="Arial"/>
          <w:sz w:val="24"/>
          <w:szCs w:val="24"/>
        </w:rPr>
      </w:pPr>
      <w:r w:rsidRPr="00403195">
        <w:rPr>
          <w:rFonts w:ascii="Arial" w:hAnsi="Arial" w:cs="Arial"/>
          <w:b/>
          <w:bCs/>
          <w:sz w:val="24"/>
          <w:szCs w:val="24"/>
        </w:rPr>
        <w:t xml:space="preserve">Abbreviations: </w:t>
      </w:r>
      <w:r w:rsidRPr="00403195">
        <w:rPr>
          <w:rFonts w:ascii="Arial" w:hAnsi="Arial" w:cs="Arial"/>
          <w:sz w:val="24"/>
          <w:szCs w:val="24"/>
        </w:rPr>
        <w:t xml:space="preserve">CHO – Chinese hamster ovary cells; NP – nanoparticle; AuNP – gold nanoparticle; HUVECs – human umbilical vein endothelial cells; BLMVECs – bovine lung </w:t>
      </w:r>
      <w:proofErr w:type="spellStart"/>
      <w:r w:rsidRPr="00403195">
        <w:rPr>
          <w:rFonts w:ascii="Arial" w:hAnsi="Arial" w:cs="Arial"/>
          <w:sz w:val="24"/>
          <w:szCs w:val="24"/>
        </w:rPr>
        <w:t>microvessel</w:t>
      </w:r>
      <w:proofErr w:type="spellEnd"/>
      <w:r w:rsidRPr="00403195">
        <w:rPr>
          <w:rFonts w:ascii="Arial" w:hAnsi="Arial" w:cs="Arial"/>
          <w:sz w:val="24"/>
          <w:szCs w:val="24"/>
        </w:rPr>
        <w:t xml:space="preserve"> endothelial cells; BAEC – bovine aortic endothelial cells; RFCs - rat epididymal fat pad; </w:t>
      </w:r>
      <w:proofErr w:type="spellStart"/>
      <w:r w:rsidRPr="00403195">
        <w:rPr>
          <w:rFonts w:ascii="Arial" w:hAnsi="Arial" w:cs="Arial"/>
          <w:sz w:val="24"/>
          <w:szCs w:val="24"/>
        </w:rPr>
        <w:t>LacCer</w:t>
      </w:r>
      <w:proofErr w:type="spellEnd"/>
      <w:r w:rsidRPr="00403195">
        <w:rPr>
          <w:rFonts w:ascii="Arial" w:hAnsi="Arial" w:cs="Arial"/>
          <w:sz w:val="24"/>
          <w:szCs w:val="24"/>
        </w:rPr>
        <w:t xml:space="preserve"> - </w:t>
      </w:r>
      <w:proofErr w:type="spellStart"/>
      <w:proofErr w:type="gramStart"/>
      <w:r w:rsidRPr="00403195">
        <w:rPr>
          <w:rFonts w:ascii="Arial" w:hAnsi="Arial" w:cs="Arial"/>
          <w:sz w:val="24"/>
          <w:szCs w:val="24"/>
        </w:rPr>
        <w:t>Lactosylceramides</w:t>
      </w:r>
      <w:proofErr w:type="spellEnd"/>
      <w:r w:rsidRPr="00403195">
        <w:rPr>
          <w:rFonts w:ascii="Arial" w:hAnsi="Arial" w:cs="Arial"/>
          <w:sz w:val="24"/>
          <w:szCs w:val="24"/>
        </w:rPr>
        <w:t>;  WGA</w:t>
      </w:r>
      <w:proofErr w:type="gramEnd"/>
      <w:r w:rsidRPr="00403195">
        <w:rPr>
          <w:rFonts w:ascii="Arial" w:hAnsi="Arial" w:cs="Arial"/>
          <w:sz w:val="24"/>
          <w:szCs w:val="24"/>
        </w:rPr>
        <w:t xml:space="preserve"> – wheat germ agglutinin; </w:t>
      </w:r>
    </w:p>
    <w:p w14:paraId="099A87DF" w14:textId="77777777" w:rsidR="00403195" w:rsidRDefault="00403195">
      <w:pPr>
        <w:rPr>
          <w:rStyle w:val="normaltextrun"/>
          <w:rFonts w:ascii="Arial" w:hAnsi="Arial" w:cs="Arial"/>
          <w:color w:val="000000"/>
          <w:sz w:val="24"/>
          <w:szCs w:val="24"/>
        </w:rPr>
      </w:pPr>
      <w:r>
        <w:rPr>
          <w:rStyle w:val="normaltextrun"/>
          <w:rFonts w:ascii="Arial" w:hAnsi="Arial" w:cs="Arial"/>
          <w:color w:val="000000"/>
          <w:sz w:val="24"/>
          <w:szCs w:val="24"/>
        </w:rPr>
        <w:br w:type="page"/>
      </w:r>
    </w:p>
    <w:p w14:paraId="3BC534B7" w14:textId="70FD5478" w:rsidR="00C06183" w:rsidRPr="00C06183" w:rsidRDefault="00C06183" w:rsidP="00C06183">
      <w:pPr>
        <w:spacing w:line="480" w:lineRule="auto"/>
        <w:ind w:firstLine="640"/>
        <w:jc w:val="both"/>
        <w:rPr>
          <w:rFonts w:ascii="Arial" w:hAnsi="Arial" w:cs="Arial"/>
          <w:sz w:val="24"/>
          <w:szCs w:val="24"/>
        </w:rPr>
      </w:pPr>
      <w:r w:rsidRPr="00C06183">
        <w:rPr>
          <w:rStyle w:val="normaltextrun"/>
          <w:rFonts w:ascii="Arial" w:hAnsi="Arial" w:cs="Arial"/>
          <w:color w:val="000000"/>
          <w:sz w:val="24"/>
          <w:szCs w:val="24"/>
        </w:rPr>
        <w:lastRenderedPageBreak/>
        <w:t xml:space="preserve">It is worth noting that there are certain considerations that must be </w:t>
      </w:r>
      <w:proofErr w:type="gramStart"/>
      <w:r w:rsidRPr="00C06183">
        <w:rPr>
          <w:rStyle w:val="normaltextrun"/>
          <w:rFonts w:ascii="Arial" w:hAnsi="Arial" w:cs="Arial"/>
          <w:color w:val="000000"/>
          <w:sz w:val="24"/>
          <w:szCs w:val="24"/>
        </w:rPr>
        <w:t>taken into account</w:t>
      </w:r>
      <w:proofErr w:type="gramEnd"/>
      <w:r w:rsidRPr="00C06183">
        <w:rPr>
          <w:rStyle w:val="normaltextrun"/>
          <w:rFonts w:ascii="Arial" w:hAnsi="Arial" w:cs="Arial"/>
          <w:color w:val="000000"/>
          <w:sz w:val="24"/>
          <w:szCs w:val="24"/>
        </w:rPr>
        <w:t xml:space="preserve"> for the use of these small molecule inhibitors. First, these cell treatments are not typically 100% specific or efficient in blocking a particular cell uptake pathway, meaning that it must be determined if the remaining uptake can be attributed to either remnants of the pathway being blocked, or to regular uptake from other pathways. Second, close attention must be paid to the mechanism of action of the inhibitors in question, as it is possible that they can affect the uptake of pathways other than the one that is intended; for example, </w:t>
      </w:r>
      <w:proofErr w:type="spellStart"/>
      <w:r w:rsidRPr="00C06183">
        <w:rPr>
          <w:rStyle w:val="normaltextrun"/>
          <w:rFonts w:ascii="Arial" w:hAnsi="Arial" w:cs="Arial"/>
          <w:color w:val="000000"/>
          <w:sz w:val="24"/>
          <w:szCs w:val="24"/>
        </w:rPr>
        <w:t>Fumonisin</w:t>
      </w:r>
      <w:proofErr w:type="spellEnd"/>
      <w:r w:rsidRPr="00C06183">
        <w:rPr>
          <w:rStyle w:val="normaltextrun"/>
          <w:rFonts w:ascii="Arial" w:hAnsi="Arial" w:cs="Arial"/>
          <w:color w:val="000000"/>
          <w:sz w:val="24"/>
          <w:szCs w:val="24"/>
        </w:rPr>
        <w:t xml:space="preserve"> B1 inhibits caveolae-mediated endocytosis by blocking sphingolipid formation through the inhibition of the acylation of sphingosine and dihydrosphingosine</w:t>
      </w:r>
      <w:r w:rsidR="00EF773E">
        <w:rPr>
          <w:rStyle w:val="normaltextrun"/>
          <w:rFonts w:ascii="Arial" w:hAnsi="Arial" w:cs="Arial"/>
          <w:color w:val="000000"/>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{"citationItems":[{"id":"ITEM-1","itemData":{"DOI":"10.4172/2153-0637.S2-003","ISSN":"21530637","abstract":"Sphingolipids (SLs) play important roles in membrane structure and cell function. Here, we examine the SL requirements of various endocytic mechanisms using a mutant cell line and pharmacological inhibitors to disrupt SL biosynthesis. First, we demonstrated that in Chinese hamster ovary cells we could distinguish three distinct mechanisms of clathrin-independent endocytosis (caveolar, RhoA, and Cdc42 dependent) which differed in cargo, sensitivity to pharmacological agents, and dominant negative proteins. General depletion of SLs inhibited endocytosis by each clathrin-independent mechanism, whereas clathrin-dependent uptake was unaffected. Depletion of glycosphingolipids (GSLs; a subgroup of SLs) selectively blocked caveolar endocytosis and decreased caveolin-1 and caveolae at the plasma membrane. Caveolar endocytosis and PM caveolae could be restored in GSL-depleted cells by acute addition of exogenous GSLs. Disruption of RhoA- and Cdc42-regulated endocytosis by SL depletion was shown to be related to decreased targeting of these Rho proteins to the plasma membrane and could be partially restored by exogenous sphingomyelin but not GSLs. Both the in vivo membrane targeting and in vitro binding to artificial lipid vesicles of RhoA and Cdc42 were shown to be dependent upon sphingomyelin. These results provide the first evidence that SLs are differentially required for distinct mechanisms of clathrin-independent endocytosis.","author":[{"dropping-particle":"","family":"Shu","given":"Liming","non-dropping-particle":"","parse-names":false,"suffix":""}],"container-title":"Journal of Glycomics &amp; Lipidomics","id":"ITEM-1","issue":"S1","issued":{"date-parts":[["2012","7"]]},"page":"3197-3210","title":"Glycosphingolipid Mediated Caveolin-1 Oligomerization","type":"article-journal","volume":"01"},"uris":["http://www.mendeley.com/documents/?uuid=023471c3-5b80-47bc-bd57-a5f87d4d36e3"]}],"mendeley":{"formattedCitation":"&lt;sup&gt;199&lt;/sup&gt;","plainTextFormattedCitation":"199","previouslyFormattedCitation":"&lt;sup&gt;199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199</w:t>
      </w:r>
      <w:r w:rsidRPr="00C06183">
        <w:rPr>
          <w:rFonts w:ascii="Arial" w:hAnsi="Arial" w:cs="Arial"/>
          <w:sz w:val="24"/>
          <w:szCs w:val="24"/>
        </w:rPr>
        <w:fldChar w:fldCharType="end"/>
      </w:r>
      <w:r w:rsidRPr="00C06183">
        <w:rPr>
          <w:rFonts w:ascii="Arial" w:hAnsi="Arial" w:cs="Arial"/>
          <w:sz w:val="24"/>
          <w:szCs w:val="24"/>
        </w:rPr>
        <w:t xml:space="preserve"> However, it has also been suggested that sphingolipid synthesis could be necessary for clathrin-mediated endocytosis as well</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{"citationItems":[{"id":"ITEM-1","itemData":{"DOI":"10.1016/j.abb.2012.07.006","ISSN":"00039861","abstract":"The role of sphingolipids in clathrin-mediated endocytosis is only poorly understood in mammalian cells. Thus the relationship between sphingolipid de novo synthesis and clathrin-mediated endocytosis of transferrin were studied in L929 fibroblasts and two other cell lines. Endocytosis was measured using live cell imaging with fluorescent transferrin or 125I-transferrin. Lipids were primarily measured using electrospray ionization tandem mass spectrometry. At physiological temperature, transferrin uptake was significantly decreased by the inhibitor of serine palmitoyl transferase myriocin. Myriocin inhibited also the uptake of low-density lipoproteins. The endocytosis inhibition by myriocin could be released by the addition of sphingoid base and by the protein phosphorylation effectors phorbol-12-myristate, 13-acetate (PMA) and okadaic acid. Myriocin influenced not only sphingolipids but also the glycerophospholipid profile. The study of phosphatidylcholine species shows adaptations to more saturated, alkylated and longer fatty acid moieties. The reported results imply that in mammalian cells, at 37 °C, sphingolipid de novo synthesis is required for clathrin-mediated endocytosis. © 2012 Elsevier Inc. All rights reserved.","author":[{"dropping-particle":"","family":"Meyer","given":"Sybille G.E.","non-dropping-particle":"","parse-names":false,"suffix":""},{"dropping-particle":"","family":"Wendt","given":"Agnieszka E.","non-dropping-particle":"","parse-names":false,"suffix":""},{"dropping-particle":"","family":"Scherer","given":"Max","non-dropping-particle":"","parse-names":false,"suffix":""},{"dropping-particle":"","family":"Liebisch","given":"Gerhard","non-dropping-particle":"","parse-names":false,"suffix":""},{"dropping-particle":"","family":"Kerkweg","given":"Uta","non-dropping-particle":"","parse-names":false,"suffix":""},{"dropping-particle":"","family":"Schmitz","given":"Gerd","non-dropping-particle":"","parse-names":false,"suffix":""},{"dropping-particle":"","family":"Groot","given":"Herbert","non-dropping-particle":"De","parse-names":false,"suffix":""}],"container-title":"Archives of Biochemistry and Biophysics","id":"ITEM-1","issue":"1","issued":{"date-parts":[["2012"]]},"page":"60-68","publisher":"Elsevier Inc.","title":"Myriocin, an inhibitor of serine palmitoyl transferase, impairs the uptake of transferrin and low-density lipoprotein in mammalian cells","type":"article-journal","volume":"526"},"uris":["http://www.mendeley.com/documents/?uuid=aff48df6-c922-4653-94e6-30d59e59509a"]}],"mendeley":{"formattedCitation":"&lt;sup&gt;229&lt;/sup&gt;","plainTextFormattedCitation":"229","previouslyFormattedCitation":"&lt;sup&gt;229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229</w:t>
      </w:r>
      <w:r w:rsidRPr="00C06183">
        <w:rPr>
          <w:rFonts w:ascii="Arial" w:hAnsi="Arial" w:cs="Arial"/>
          <w:sz w:val="24"/>
          <w:szCs w:val="24"/>
        </w:rPr>
        <w:fldChar w:fldCharType="end"/>
      </w:r>
      <w:r w:rsidRPr="00C06183">
        <w:rPr>
          <w:rFonts w:ascii="Arial" w:hAnsi="Arial" w:cs="Arial"/>
          <w:sz w:val="24"/>
          <w:szCs w:val="24"/>
        </w:rPr>
        <w:t xml:space="preserve"> Similarly, a widely used stimulant for macropinocytosis, phorbol-12-myristate-13-acetate (PMA), has been shown to inhibit caveolae mediated endocytosis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{"citationItems":[{"id":"ITEM-1","itemData":{"DOI":"10.1111/bph.14429","ISSN":"14765381","abstract":"Background and Purpose: Macropinocytosis is involved in many pathologies, including cardiovascular disorders, cancer, allergic diseases, viral and bacterial infections. Unfortunately, the currently available pharmacological inhibitors of macropinocytosis interrupt other endocytic processes and have non-specific endocytosis-independent effects. Here we have sought to identify new, clinically relevant inhibitors of macropinocytosis, using an FDA-approved drug library. Experimental Approach: In the present study, 640 FDA-approved compounds were tested for their ability to inhibit macropinocytosis. A series of secondary assays were performed to confirm inhibitory activity, determine IC50 values and investigate cell toxicity. The ability of identified hits to inhibit phagocytosis and clathrin-mediated and caveolin-mediated endocytosis was also investigated. Scanning electron microscopy and molecular biology techniques were utilized to examine the mechanisms by which selected compounds inhibit macropinocytosis. Key Results: The primary screen identified 14 compounds that at ~10 μM concentration inhibit &gt;95% of macropinocytotic solute internalization. Three compounds - imipramine, phenoxybenzamine and vinblastine - potently inhibited (IC50 ≤ 131 nM) macropinocytosis without exerting cytotoxic effects or inhibiting other endocytic pathways. Scanning electron microscopy imaging indicated that imipramine inhibits membrane ruffle formation, a critical early step leading to initiation of macropinocytosis. Finally, imipramine has been shown to inhibit macropinocytosis in several cell types, including cancer cells, dendritic cells and macrophages. Conclusions and Implications: Our results identify imipramine as a new pharmacological tool to study macropinocytosis in cellular and biological systems. This study also suggests that imipramine could be a good candidate for repurposing as a therapeutic agent in pathological processes involving macropinocytosis.","author":[{"dropping-particle":"","family":"Lin","given":"Hui Ping","non-dropping-particle":"","parse-names":false,"suffix":""},{"dropping-particle":"","family":"Singla","given":"Bhupesh","non-dropping-particle":"","parse-names":false,"suffix":""},{"dropping-particle":"","family":"Ghoshal","given":"Pushpankur","non-dropping-particle":"","parse-names":false,"suffix":""},{"dropping-particle":"","family":"Faulkner","given":"Jessica L.","non-dropping-particle":"","parse-names":false,"suffix":""},{"dropping-particle":"","family":"Cherian-Shaw","given":"Mary","non-dropping-particle":"","parse-names":false,"suffix":""},{"dropping-particle":"","family":"O'Connor","given":"Paul M.","non-dropping-particle":"","parse-names":false,"suffix":""},{"dropping-particle":"","family":"She","given":"Jin Xiong","non-dropping-particle":"","parse-names":false,"suffix":""},{"dropping-particle":"","family":"Belin de Chantemele","given":"Eric J.","non-dropping-particle":"","parse-names":false,"suffix":""},{"dropping-particle":"","family":"Csányi","given":"Gábor","non-dropping-particle":"","parse-names":false,"suffix":""}],"container-title":"British Journal of Pharmacology","id":"ITEM-1","issue":"18","issued":{"date-parts":[["2018"]]},"page":"3640-3655","title":"Identification of novel macropinocytosis inhibitors using a rational screen of Food and Drug Administration-approved drugs","type":"article-journal","volume":"175"},"uris":["http://www.mendeley.com/documents/?uuid=591f4bd2-8b4e-4229-a6e6-26da952623a0"]},{"id":"ITEM-2","itemData":{"DOI":"10.1101/SQB.1995.060.01.028","ISBN":"0879690690","ISSN":"00917451","PMID":"8824397","author":[{"dropping-particle":"","family":"Smart","given":"E. J.","non-dropping-particle":"","parse-names":false,"suffix":""},{"dropping-particle":"","family":"Estes","given":"K.","non-dropping-particle":"","parse-names":false,"suffix":""},{"dropping-particle":"","family":"Anderson","given":"R. G.W.","non-dropping-particle":"","parse-names":false,"suffix":""}],"container-title":"Cold Spring Harbor Symposia on Quantitative Biology","id":"ITEM-2","issue":"Anderson 1993","issued":{"date-parts":[["1995"]]},"page":"243-248","title":"Inhibitors that block both the internalization of caveolae and the return of plasmalemmal vesicles","type":"article-journal","volume":"60"},"uris":["http://www.mendeley.com/documents/?uuid=4d393c91-0867-4acf-8822-2a64a6d24f0e"]}],"mendeley":{"formattedCitation":"&lt;sup&gt;178,203&lt;/sup&gt;","plainTextFormattedCitation":"178,203","previouslyFormattedCitation":"&lt;sup&gt;178,203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178,203</w:t>
      </w:r>
      <w:r w:rsidRPr="00C06183">
        <w:rPr>
          <w:rFonts w:ascii="Arial" w:hAnsi="Arial" w:cs="Arial"/>
          <w:sz w:val="24"/>
          <w:szCs w:val="24"/>
        </w:rPr>
        <w:fldChar w:fldCharType="end"/>
      </w:r>
      <w:r w:rsidRPr="00C06183">
        <w:rPr>
          <w:rStyle w:val="normaltextrun"/>
          <w:rFonts w:ascii="Arial" w:hAnsi="Arial" w:cs="Arial"/>
          <w:color w:val="000000"/>
          <w:sz w:val="24"/>
          <w:szCs w:val="24"/>
        </w:rPr>
        <w:t xml:space="preserve"> There also exists a possibility that the blocking of one pathway increases the uptake in other pathways from what typically occurs, producing results that do not accurately reflect normal physiologic conditions. Third, the specificity of the tracer must be considered, given that there is the possibility for certain tracers to take other pathways as well; for example, albumin, a known tracer for caveolae-mediated endocytosis, has been shown to be uptaken through clathrin-mediated endocytosis when attached to the FC neonatal receptor</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{"citationItems":[{"id":"ITEM-1","itemData":{"DOI":"10.3389/fimmu.2019.01540","ISSN":"16643224","PMID":"31354709","abstract":"Antibodies are essential components of an adaptive immune response. Immunoglobulin G (IgG) is the most common type of antibody found in circulation and extracellular fluids. Although IgG alone can directly protect the body from infection through the activities of its antigen binding region, the majority of IgG immune functions are mediated via proteins and receptors expressed by specialized cell subsets that bind to the fragment crystallizable (Fc) region of IgG. Fc gamma (γ) receptors (FcγR) belong to a broad family of proteins that presently include classical membrane-bound surface receptors as well as atypical intracellular receptors and cytoplasmic glycoproteins. Among the atypical FcγRs, the neonatal Fc receptor (FcRn) has increasingly gained notoriety given its intimate influence on IgG biology and its ability to also bind to albumin. FcRn functions as a recycling or transcytosis receptor that is responsible for maintaining IgG and albumin in the circulation, and bidirectionally transporting these two ligands across polarized cellular barriers. More recently, it has been appreciated that FcRn acts as an immune receptor by interacting with and facilitating antigen presentation of peptides derived from IgG immune complexes (IC). Here we review FcRn biology and focus on newer advances including how emerging FcRn-targeted therapies may affect the immune responses to IgG and IgG IC. 2019 Pyzik, Sand, Hubbard, Andersen, Sandlie and Blumberg.","author":[{"dropping-particle":"","family":"Pyzik","given":"Michal","non-dropping-particle":"","parse-names":false,"suffix":""},{"dropping-particle":"","family":"Sand","given":"Kine M.K.","non-dropping-particle":"","parse-names":false,"suffix":""},{"dropping-particle":"","family":"Hubbard","given":"Jonathan J.","non-dropping-particle":"","parse-names":false,"suffix":""},{"dropping-particle":"","family":"Andersen","given":"Jan Terje","non-dropping-particle":"","parse-names":false,"suffix":""},{"dropping-particle":"","family":"Sandlie","given":"Inger","non-dropping-particle":"","parse-names":false,"suffix":""},{"dropping-particle":"","family":"Blumberg","given":"Richard S.","non-dropping-particle":"","parse-names":false,"suffix":""}],"container-title":"Frontiers in Immunology","id":"ITEM-1","issue":"JULY","issued":{"date-parts":[["2019"]]},"title":"The neonatal Fc Receptor (FcRn): A misnomer?","type":"article-journal","volume":"10"},"uris":["http://www.mendeley.com/documents/?uuid=d47d31ad-557d-40b1-9ecf-782f393aa107"]}],"mendeley":{"formattedCitation":"&lt;sup&gt;167&lt;/sup&gt;","plainTextFormattedCitation":"167","previouslyFormattedCitation":"&lt;sup&gt;167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167</w:t>
      </w:r>
      <w:r w:rsidRPr="00C06183">
        <w:rPr>
          <w:rFonts w:ascii="Arial" w:hAnsi="Arial" w:cs="Arial"/>
          <w:sz w:val="24"/>
          <w:szCs w:val="24"/>
        </w:rPr>
        <w:fldChar w:fldCharType="end"/>
      </w:r>
      <w:r w:rsidRPr="00C06183">
        <w:rPr>
          <w:rFonts w:ascii="Arial" w:hAnsi="Arial" w:cs="Arial"/>
          <w:sz w:val="24"/>
          <w:szCs w:val="24"/>
        </w:rPr>
        <w:t xml:space="preserve"> rather than the typical gp60</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{"citationItems":[{"id":"ITEM-1","itemData":{"DOI":"10.3389/fphys.2014.00299","ISSN":"1664042X","abstract":"Serum albumin is a multi-functional protein that is able to bind and transport numerous endogenous and exogenous compounds. The development of albumin drug carriers is gaining increasing importance in the targeted delivery of cancer therapy, particularly as a result of the market approval of the paclitaxel-loaded albumin nanoparticle, Abraxane®. Considering this, there is renewed interest in isolating and characterizing albumin-binding proteins or receptors on the plasma membrane that are responsible for albumin uptake. Initially, the cellular uptake and intracellular localization of albumin was unknown due to the large confinement of the protein within the vascular and interstitial compartment of the body. Studies have since assessed the intracellular localization of albumin in order to understand the mechanisms and pathways responsible for its uptake, distribution and catabolism in multiple tissues, and this is reviewed herein. © 2014 Merlot, Kalinowski and Richardson.","author":[{"dropping-particle":"","family":"Merlot","given":"Angelica M.","non-dropping-particle":"","parse-names":false,"suffix":""},{"dropping-particle":"","family":"Kalinowski","given":"Danuta S.","non-dropping-particle":"","parse-names":false,"suffix":""},{"dropping-particle":"","family":"Richardson","given":"Des R.","non-dropping-particle":"","parse-names":false,"suffix":""}],"container-title":"Frontiers in Physiology","id":"ITEM-1","issue":"August","issued":{"date-parts":[["2014"]]},"page":"1-7","title":"Unraveling the mysteries of serum albumin-more than just a serum protein","type":"article-journal","volume":"5 AUG"},"uris":["http://www.mendeley.com/documents/?uuid=0bac4a65-73a3-4e9d-b168-04dfc999bd55"]}],"mendeley":{"formattedCitation":"&lt;sup&gt;157&lt;/sup&gt;","plainTextFormattedCitation":"157","previouslyFormattedCitation":"&lt;sup&gt;157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157</w:t>
      </w:r>
      <w:r w:rsidRPr="00C06183">
        <w:rPr>
          <w:rFonts w:ascii="Arial" w:hAnsi="Arial" w:cs="Arial"/>
          <w:sz w:val="24"/>
          <w:szCs w:val="24"/>
        </w:rPr>
        <w:fldChar w:fldCharType="end"/>
      </w:r>
      <w:r w:rsidRPr="00C06183">
        <w:rPr>
          <w:rFonts w:ascii="Arial" w:hAnsi="Arial" w:cs="Arial"/>
          <w:sz w:val="24"/>
          <w:szCs w:val="24"/>
        </w:rPr>
        <w:t xml:space="preserve"> </w:t>
      </w:r>
    </w:p>
    <w:p w14:paraId="1784345D" w14:textId="7C72E657" w:rsidR="00403195" w:rsidRDefault="00C06183" w:rsidP="00C06183">
      <w:pPr>
        <w:spacing w:line="480" w:lineRule="auto"/>
        <w:ind w:firstLine="640"/>
        <w:jc w:val="both"/>
        <w:rPr>
          <w:rFonts w:ascii="Arial" w:hAnsi="Arial" w:cs="Arial"/>
          <w:sz w:val="24"/>
          <w:szCs w:val="24"/>
        </w:rPr>
      </w:pPr>
      <w:r w:rsidRPr="00C06183">
        <w:rPr>
          <w:rFonts w:ascii="Arial" w:hAnsi="Arial" w:cs="Arial"/>
          <w:sz w:val="24"/>
          <w:szCs w:val="24"/>
        </w:rPr>
        <w:t xml:space="preserve">Finally, the size of the nanoparticles being used must be considered, given that there are finite sizes of the endocytic vesicles being studied. </w:t>
      </w:r>
      <w:r w:rsidRPr="000E44BA">
        <w:rPr>
          <w:rFonts w:ascii="Arial" w:hAnsi="Arial" w:cs="Arial"/>
          <w:sz w:val="24"/>
          <w:szCs w:val="24"/>
        </w:rPr>
        <w:t xml:space="preserve">Figure </w:t>
      </w:r>
      <w:r w:rsidR="00403195" w:rsidRPr="000E44BA">
        <w:rPr>
          <w:rFonts w:ascii="Arial" w:hAnsi="Arial" w:cs="Arial"/>
          <w:sz w:val="24"/>
          <w:szCs w:val="24"/>
        </w:rPr>
        <w:t>1.</w:t>
      </w:r>
      <w:r w:rsidRPr="000E44BA">
        <w:rPr>
          <w:rFonts w:ascii="Arial" w:hAnsi="Arial" w:cs="Arial"/>
          <w:sz w:val="24"/>
          <w:szCs w:val="24"/>
        </w:rPr>
        <w:t>6</w:t>
      </w:r>
      <w:r w:rsidRPr="00C06183">
        <w:rPr>
          <w:rFonts w:ascii="Arial" w:hAnsi="Arial" w:cs="Arial"/>
          <w:sz w:val="24"/>
          <w:szCs w:val="24"/>
        </w:rPr>
        <w:t xml:space="preserve"> demonstrates the typical size ranges of these vesicles, as well as those of their most common tracers and </w:t>
      </w:r>
      <w:r w:rsidRPr="00C06183">
        <w:rPr>
          <w:rFonts w:ascii="Arial" w:hAnsi="Arial" w:cs="Arial"/>
          <w:sz w:val="24"/>
          <w:szCs w:val="24"/>
        </w:rPr>
        <w:lastRenderedPageBreak/>
        <w:t>commonly used nanoparticle sizes. While it has been shown that these vesicles can be dynamic and holding larger nanoparticles than what their typical sizes suggest</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{"citationItems":[{"id":"ITEM-1","itemData":{"DOI":"10.1093/jmicro/dfs080","ISSN":"00220744","abstract":"When considering drug delivery, the amount of drug that can be carried at a particular time and how the drug is incorporated efficiently into cells are important parameters. Transferrin (Tf)-conjugated nanocarriers have been used for the targeted delivery of drugs to cancer cells due to the availability of receptor-mediated clathrin-dependent endocytosis. In general, however, endocytosis seems to differ according to the size and shape of carriers. Large substances are generally internalized into cells by phagocytosis. We studied the internalization mechanism of Tf-conjugated nanoparticles (diameter, 522 nm). Tf-conjugated polystyrene particles were incorporated into cells by receptor-mediated endocytosis with large clathrin-coated vesicles even though their diameter was &gt;500 nm and despite that fact that clathrin-coated vesicles have a diameter of 100 nm. This finding suggests that signals for internalization generated by stimulated Tf receptors (TfRs) activate clathrin-mediated endocytosis preferentially. Whether these larger particles could deliver drugs more efficiently than smaller particles was then examined. The toxicity of larger Tf-conjugated biodegradable nanoparticles (poly(lactic-co-glycolic acid)) encapsulating doxorubicin (diameter, 216 ± 38 nm) was appreciably dependent on the number of Tf molecules conjugated on a particle and the number of TfRs expressed on the cell membrane. Larger Tf-conjugated particles delivered drugs to cancer cells expressing many TfRs more selectively than their smaller counterparts (diameter, 56 ± 9 nm) if they were decorated with an appropriate number of Tf molecules. © The Author 2012. Published by Oxford University Press [on behalf of Japanese Society of Microscopy]. All rights reserved.","author":[{"dropping-particle":"","family":"Tsuji","given":"Takuma","non-dropping-particle":"","parse-names":false,"suffix":""},{"dropping-particle":"","family":"Yoshitomi","given":"Hiroshi","non-dropping-particle":"","parse-names":false,"suffix":""},{"dropping-particle":"","family":"Usukura","given":"Jiro","non-dropping-particle":"","parse-names":false,"suffix":""}],"container-title":"Journal of Electron Microscopy","id":"ITEM-1","issue":"3","issued":{"date-parts":[["2013"]]},"page":"341-352","title":"Endocytic mechanism of transferrin-conjugated nanoparticles and the effects of their size and ligand number on the efficiency of drug delivery","type":"article-journal","volume":"62"},"uris":["http://www.mendeley.com/documents/?uuid=db3a7b23-5d4a-4e4e-8591-d141f2c6723b"]}],"mendeley":{"formattedCitation":"&lt;sup&gt;104&lt;/sup&gt;","plainTextFormattedCitation":"104","previouslyFormattedCitation":"&lt;sup&gt;104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104</w:t>
      </w:r>
      <w:r w:rsidRPr="00C06183">
        <w:rPr>
          <w:rFonts w:ascii="Arial" w:hAnsi="Arial" w:cs="Arial"/>
          <w:sz w:val="24"/>
          <w:szCs w:val="24"/>
        </w:rPr>
        <w:fldChar w:fldCharType="end"/>
      </w:r>
      <w:r w:rsidRPr="00C06183">
        <w:rPr>
          <w:rFonts w:ascii="Arial" w:hAnsi="Arial" w:cs="Arial"/>
          <w:sz w:val="24"/>
          <w:szCs w:val="24"/>
        </w:rPr>
        <w:t xml:space="preserve"> it is likely that this will need to be determined on a case-by-case basis, taking in to account factors such as nanoparticle material, surface charge, shape, and which specific ligands and receptor combos are being used. All of these different considerations imply that further experiments and analysis past just changing uptake with the inhibitor treatment would be required to determine a single pathway’s contribution to the uptake of the tracer or nanoparticle being studied.</w:t>
      </w:r>
    </w:p>
    <w:p w14:paraId="70A16D58" w14:textId="77777777" w:rsidR="00403195" w:rsidRDefault="00403195">
      <w:pPr>
        <w:rPr>
          <w:rFonts w:ascii="Arial" w:hAnsi="Arial" w:cs="Arial"/>
          <w:sz w:val="24"/>
          <w:szCs w:val="24"/>
        </w:rPr>
      </w:pPr>
      <w:r>
        <w:rPr>
          <w:rFonts w:ascii="Arial" w:hAnsi="Arial" w:cs="Arial"/>
          <w:sz w:val="24"/>
          <w:szCs w:val="24"/>
        </w:rPr>
        <w:br w:type="page"/>
      </w:r>
    </w:p>
    <w:p w14:paraId="5E01C84E" w14:textId="15B010A4" w:rsidR="00403195" w:rsidRDefault="006E0BD6" w:rsidP="00CA4B64">
      <w:pPr>
        <w:jc w:val="center"/>
        <w:rPr>
          <w:rFonts w:ascii="Arial" w:hAnsi="Arial" w:cs="Arial"/>
          <w:color w:val="000000"/>
          <w:sz w:val="24"/>
          <w:szCs w:val="24"/>
        </w:rPr>
      </w:pPr>
      <w:r>
        <w:rPr>
          <w:noProof/>
          <w:color w:val="000000" w:themeColor="text1"/>
        </w:rPr>
        <w:lastRenderedPageBreak/>
        <w:drawing>
          <wp:inline distT="0" distB="0" distL="0" distR="0" wp14:anchorId="65AD5EF0" wp14:editId="014DF4F8">
            <wp:extent cx="5818674" cy="5117787"/>
            <wp:effectExtent l="0" t="0" r="0" b="6985"/>
            <wp:docPr id="144289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406" b="27311"/>
                    <a:stretch/>
                  </pic:blipFill>
                  <pic:spPr bwMode="auto">
                    <a:xfrm>
                      <a:off x="0" y="0"/>
                      <a:ext cx="5819140" cy="5118197"/>
                    </a:xfrm>
                    <a:prstGeom prst="rect">
                      <a:avLst/>
                    </a:prstGeom>
                    <a:noFill/>
                    <a:ln>
                      <a:noFill/>
                    </a:ln>
                    <a:extLst>
                      <a:ext uri="{53640926-AAD7-44D8-BBD7-CCE9431645EC}">
                        <a14:shadowObscured xmlns:a14="http://schemas.microsoft.com/office/drawing/2010/main"/>
                      </a:ext>
                    </a:extLst>
                  </pic:spPr>
                </pic:pic>
              </a:graphicData>
            </a:graphic>
          </wp:inline>
        </w:drawing>
      </w:r>
    </w:p>
    <w:p w14:paraId="79653FAA" w14:textId="7412954E" w:rsidR="00403195" w:rsidRPr="00403195" w:rsidRDefault="00403195" w:rsidP="00403195">
      <w:pPr>
        <w:autoSpaceDE w:val="0"/>
        <w:autoSpaceDN w:val="0"/>
        <w:adjustRightInd w:val="0"/>
        <w:spacing w:after="0" w:line="240" w:lineRule="auto"/>
        <w:jc w:val="both"/>
        <w:rPr>
          <w:rFonts w:ascii="Arial" w:hAnsi="Arial" w:cs="Arial"/>
          <w:color w:val="000000"/>
          <w:sz w:val="24"/>
          <w:szCs w:val="24"/>
        </w:rPr>
      </w:pPr>
      <w:r w:rsidRPr="00403195">
        <w:rPr>
          <w:rFonts w:ascii="Arial" w:hAnsi="Arial" w:cs="Arial"/>
          <w:b/>
          <w:bCs/>
          <w:sz w:val="24"/>
          <w:szCs w:val="24"/>
          <w14:ligatures w14:val="standardContextual"/>
        </w:rPr>
        <w:t>Figure 1.6. Typical sizes of vesicles formed during endocytosis.</w:t>
      </w:r>
      <w:r w:rsidRPr="00403195">
        <w:rPr>
          <w:rFonts w:ascii="Arial" w:hAnsi="Arial" w:cs="Arial"/>
          <w:sz w:val="24"/>
          <w:szCs w:val="24"/>
          <w14:ligatures w14:val="standardContextual"/>
        </w:rPr>
        <w:t xml:space="preserve"> The reported size ranges of vesicles formed by the three most common endocytosis</w:t>
      </w:r>
      <w:r>
        <w:rPr>
          <w:rFonts w:ascii="Arial" w:hAnsi="Arial" w:cs="Arial"/>
          <w:sz w:val="24"/>
          <w:szCs w:val="24"/>
          <w14:ligatures w14:val="standardContextual"/>
        </w:rPr>
        <w:t xml:space="preserve"> </w:t>
      </w:r>
      <w:r w:rsidRPr="00403195">
        <w:rPr>
          <w:rFonts w:ascii="Arial" w:hAnsi="Arial" w:cs="Arial"/>
          <w:sz w:val="24"/>
          <w:szCs w:val="24"/>
          <w14:ligatures w14:val="standardContextual"/>
        </w:rPr>
        <w:t>pathways are shown, along with typical tracers used in endocytosis studies, albumin for caveolae-mediated pathway, transferrin for clathrin-mediated</w:t>
      </w:r>
      <w:r>
        <w:rPr>
          <w:rFonts w:ascii="Arial" w:hAnsi="Arial" w:cs="Arial"/>
          <w:sz w:val="24"/>
          <w:szCs w:val="24"/>
          <w14:ligatures w14:val="standardContextual"/>
        </w:rPr>
        <w:t xml:space="preserve"> </w:t>
      </w:r>
      <w:r w:rsidRPr="00403195">
        <w:rPr>
          <w:rFonts w:ascii="Arial" w:hAnsi="Arial" w:cs="Arial"/>
          <w:sz w:val="24"/>
          <w:szCs w:val="24"/>
          <w14:ligatures w14:val="standardContextual"/>
        </w:rPr>
        <w:t>pathway, and 70 kDa dextran for macropinocytosis. Further studies are needed to compare the sizes of each of these vesicles directly for the same cell</w:t>
      </w:r>
      <w:r>
        <w:rPr>
          <w:rFonts w:ascii="Arial" w:hAnsi="Arial" w:cs="Arial"/>
          <w:sz w:val="24"/>
          <w:szCs w:val="24"/>
          <w14:ligatures w14:val="standardContextual"/>
        </w:rPr>
        <w:t xml:space="preserve"> </w:t>
      </w:r>
      <w:r w:rsidRPr="00403195">
        <w:rPr>
          <w:rFonts w:ascii="Arial" w:hAnsi="Arial" w:cs="Arial"/>
          <w:sz w:val="24"/>
          <w:szCs w:val="24"/>
          <w14:ligatures w14:val="standardContextual"/>
        </w:rPr>
        <w:t>type and with the same tracers. While intracellular vesicles exhibit reported size limitations, there are reported cases of caveolae expanding to carry</w:t>
      </w:r>
      <w:r>
        <w:rPr>
          <w:rFonts w:ascii="Arial" w:hAnsi="Arial" w:cs="Arial"/>
          <w:sz w:val="24"/>
          <w:szCs w:val="24"/>
          <w14:ligatures w14:val="standardContextual"/>
        </w:rPr>
        <w:t xml:space="preserve"> </w:t>
      </w:r>
      <w:r w:rsidRPr="00403195">
        <w:rPr>
          <w:rFonts w:ascii="Arial" w:hAnsi="Arial" w:cs="Arial"/>
          <w:sz w:val="24"/>
          <w:szCs w:val="24"/>
          <w14:ligatures w14:val="standardContextual"/>
        </w:rPr>
        <w:t>100 nm nanoparticles. Since all of the tracers are well below the typical sizes of endocytosis vesicles, meaning that each vesicle type can physically</w:t>
      </w:r>
      <w:r>
        <w:rPr>
          <w:rFonts w:ascii="Arial" w:hAnsi="Arial" w:cs="Arial"/>
          <w:sz w:val="24"/>
          <w:szCs w:val="24"/>
          <w14:ligatures w14:val="standardContextual"/>
        </w:rPr>
        <w:t xml:space="preserve"> </w:t>
      </w:r>
      <w:r w:rsidRPr="00403195">
        <w:rPr>
          <w:rFonts w:ascii="Arial" w:hAnsi="Arial" w:cs="Arial"/>
          <w:sz w:val="24"/>
          <w:szCs w:val="24"/>
          <w14:ligatures w14:val="standardContextual"/>
        </w:rPr>
        <w:t>accommodate each tracer type, there is a factor of specificity for endocytosis uptake of nanoparticles (and tracers) that is beyond physical size.</w:t>
      </w:r>
    </w:p>
    <w:p w14:paraId="393FC7E0" w14:textId="77777777" w:rsidR="00403195" w:rsidRDefault="00403195">
      <w:pPr>
        <w:rPr>
          <w:rFonts w:ascii="Arial" w:hAnsi="Arial" w:cs="Arial"/>
          <w:color w:val="000000"/>
          <w:sz w:val="24"/>
          <w:szCs w:val="24"/>
        </w:rPr>
      </w:pPr>
    </w:p>
    <w:p w14:paraId="6D30D834" w14:textId="6578ECB8" w:rsidR="00403195" w:rsidRDefault="00403195">
      <w:pPr>
        <w:rPr>
          <w:rFonts w:ascii="Arial" w:hAnsi="Arial" w:cs="Arial"/>
          <w:color w:val="000000"/>
          <w:sz w:val="24"/>
          <w:szCs w:val="24"/>
        </w:rPr>
      </w:pPr>
      <w:r>
        <w:rPr>
          <w:rFonts w:ascii="Arial" w:hAnsi="Arial" w:cs="Arial"/>
          <w:color w:val="000000"/>
          <w:sz w:val="24"/>
          <w:szCs w:val="24"/>
        </w:rPr>
        <w:br w:type="page"/>
      </w:r>
    </w:p>
    <w:p w14:paraId="45D98C22" w14:textId="6C594895" w:rsidR="00C06183" w:rsidRPr="00C06183" w:rsidRDefault="00C06183" w:rsidP="00C06183">
      <w:pPr>
        <w:spacing w:line="480" w:lineRule="auto"/>
        <w:ind w:firstLine="640"/>
        <w:jc w:val="both"/>
        <w:rPr>
          <w:rFonts w:ascii="Arial" w:hAnsi="Arial" w:cs="Arial"/>
          <w:sz w:val="24"/>
          <w:szCs w:val="24"/>
        </w:rPr>
      </w:pPr>
      <w:r w:rsidRPr="00C06183">
        <w:rPr>
          <w:rStyle w:val="normaltextrun"/>
          <w:rFonts w:ascii="Arial" w:hAnsi="Arial" w:cs="Arial"/>
          <w:color w:val="000000"/>
          <w:sz w:val="24"/>
          <w:szCs w:val="24"/>
          <w:bdr w:val="none" w:sz="0" w:space="0" w:color="auto" w:frame="1"/>
        </w:rPr>
        <w:lastRenderedPageBreak/>
        <w:t>An</w:t>
      </w:r>
      <w:r w:rsidR="00403195">
        <w:rPr>
          <w:rStyle w:val="normaltextrun"/>
          <w:rFonts w:ascii="Arial" w:hAnsi="Arial" w:cs="Arial"/>
          <w:color w:val="000000"/>
          <w:sz w:val="24"/>
          <w:szCs w:val="24"/>
          <w:bdr w:val="none" w:sz="0" w:space="0" w:color="auto" w:frame="1"/>
        </w:rPr>
        <w:t xml:space="preserve"> </w:t>
      </w:r>
      <w:r w:rsidRPr="00C06183">
        <w:rPr>
          <w:rStyle w:val="normaltextrun"/>
          <w:rFonts w:ascii="Arial" w:hAnsi="Arial" w:cs="Arial"/>
          <w:color w:val="000000"/>
          <w:sz w:val="24"/>
          <w:szCs w:val="24"/>
          <w:bdr w:val="none" w:sz="0" w:space="0" w:color="auto" w:frame="1"/>
        </w:rPr>
        <w:t>alternative method of studying uptake pathways that has been explored is the genetic alteration of cells to knock down or knock out the expression of relevant proteins. This can be accomplished through the use of small interfering RNA (siRNA) duplexes that cleave its complementary mRNA that codes for target proteins, resulting in the degradation of that mRNA, transiently silencing the expression of the protein in question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{"citationItems":[{"id":"ITEM-1","itemData":{"DOI":"10.1261/rna.2350710","ISSN":"13558382","abstract":"Loss-of-function studies in human embryonic stem cells (hESCs) and induced pluripotent stem cells (iPSCs) via nonviral approaches have been largely unsuccessful. Here we report a simple and cost-effective method for high-efficiency delivery of plasmids and siRNAs into hESCs and iPSCs. Using this method for siRNA delivery, we achieve &gt;90% reduction in the expression of the stem cell factors Oct4 and Lin28, and observe cell morphological and staining pattern changes, characteristics of hESC differentiation, as a result of Oct4 knockdown. Published by Cold Spring Harbor Laboratory Press. Copyright © 2010 RNA Society.","author":[{"dropping-particle":"","family":"Ma","given":"Yinghong","non-dropping-particle":"","parse-names":false,"suffix":""},{"dropping-particle":"","family":"Jin","given":"Jianyu","non-dropping-particle":"","parse-names":false,"suffix":""},{"dropping-particle":"","family":"Dong","given":"Chunsheng","non-dropping-particle":"","parse-names":false,"suffix":""},{"dropping-particle":"","family":"Cheng","given":"Ee Chun","non-dropping-particle":"","parse-names":false,"suffix":""},{"dropping-particle":"","family":"Lin","given":"Haifan","non-dropping-particle":"","parse-names":false,"suffix":""},{"dropping-particle":"","family":"Huang","given":"Yingqun","non-dropping-particle":"","parse-names":false,"suffix":""},{"dropping-particle":"","family":"Qiu","given":"Caihong","non-dropping-particle":"","parse-names":false,"suffix":""}],"container-title":"Rna","id":"ITEM-1","issue":"12","issued":{"date-parts":[["2010"]]},"page":"2564-2569","title":"High-efficiency siRNA-based gene knockdown in human embryonic stem cells","type":"article-journal","volume":"16"},"uris":["http://www.mendeley.com/documents/?uuid=5d702143-9652-4d4f-90f6-f086323be8d4"]},{"id":"ITEM-2","itemData":{"DOI":"10.1038/nbt915","ISSN":"10870156","abstract":"Over the past 25 years there have been thousands of published reports describing applications of antisense nucleic acid derivatives for targeted inhibition of gene function. The major classes of antisense agents currently used by investigators for sequence-specific mRNA knockdowns are antisense oligonucleotides (ODNs), ribozymes, DNAzymes and RNA interference (RNAi). Whatever the method, the problems for effective application are remarkably similar: efficient delivery, enhanced stability, minimization of off-target effects and identification of sensitive sites in the target RNAs. These challenges have been in existence from the first attempts to use antisense research tools, and need to be met before any antisense molecule can become widely accepted as a therapeutic agent.","author":[{"dropping-particle":"","family":"Scherer","given":"Lisa J.","non-dropping-particle":"","parse-names":false,"suffix":""},{"dropping-particle":"","family":"Rossi","given":"John J.","non-dropping-particle":"","parse-names":false,"suffix":""}],"container-title":"Nature Biotechnology","id":"ITEM-2","issue":"12","issued":{"date-parts":[["2003"]]},"page":"1457-1465","title":"Approaches for the sequence-specific knockdown of mRNA","type":"article-journal","volume":"21"},"uris":["http://www.mendeley.com/documents/?uuid=e09bbaab-af2e-452f-9f59-92f3f3bfb151"]}],"mendeley":{"formattedCitation":"&lt;sup&gt;230,231&lt;/sup&gt;","plainTextFormattedCitation":"230,231","previouslyFormattedCitation":"&lt;sup&gt;230,231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230,231</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shd w:val="clear" w:color="auto" w:fill="FFFFFF"/>
        </w:rPr>
        <w:t xml:space="preserve">The inhibition of endocytic pathways has been demonstrated both </w:t>
      </w:r>
      <w:r w:rsidRPr="00C06183">
        <w:rPr>
          <w:rStyle w:val="normaltextrun"/>
          <w:rFonts w:ascii="Arial" w:hAnsi="Arial" w:cs="Arial"/>
          <w:i/>
          <w:iCs/>
          <w:color w:val="000000"/>
          <w:sz w:val="24"/>
          <w:szCs w:val="24"/>
          <w:shd w:val="clear" w:color="auto" w:fill="FFFFFF"/>
        </w:rPr>
        <w:t xml:space="preserve">in vitro </w:t>
      </w:r>
      <w:r w:rsidRPr="00C06183">
        <w:rPr>
          <w:rStyle w:val="normaltextrun"/>
          <w:rFonts w:ascii="Arial" w:hAnsi="Arial" w:cs="Arial"/>
          <w:color w:val="000000"/>
          <w:sz w:val="24"/>
          <w:szCs w:val="24"/>
          <w:shd w:val="clear" w:color="auto" w:fill="FFFFFF"/>
        </w:rPr>
        <w:t xml:space="preserve">and </w:t>
      </w:r>
      <w:r w:rsidRPr="00C06183">
        <w:rPr>
          <w:rStyle w:val="normaltextrun"/>
          <w:rFonts w:ascii="Arial" w:hAnsi="Arial" w:cs="Arial"/>
          <w:i/>
          <w:iCs/>
          <w:color w:val="000000"/>
          <w:sz w:val="24"/>
          <w:szCs w:val="24"/>
          <w:shd w:val="clear" w:color="auto" w:fill="FFFFFF"/>
        </w:rPr>
        <w:t xml:space="preserve">in vivo </w:t>
      </w:r>
      <w:r w:rsidRPr="00C06183">
        <w:rPr>
          <w:rStyle w:val="normaltextrun"/>
          <w:rFonts w:ascii="Arial" w:hAnsi="Arial" w:cs="Arial"/>
          <w:color w:val="000000"/>
          <w:sz w:val="24"/>
          <w:szCs w:val="24"/>
          <w:shd w:val="clear" w:color="auto" w:fill="FFFFFF"/>
        </w:rPr>
        <w:t>for various cell types, by targeting proteins such as caveolin-1, clathrin heavy chain, and PAK-1 (a macropinocytosis signaling protein)</w:t>
      </w:r>
      <w:r w:rsidR="00EF773E">
        <w:rPr>
          <w:rStyle w:val="normaltextrun"/>
          <w:rFonts w:ascii="Arial" w:hAnsi="Arial" w:cs="Arial"/>
          <w:color w:val="000000"/>
          <w:sz w:val="24"/>
          <w:szCs w:val="24"/>
          <w:shd w:val="clear" w:color="auto" w:fill="FFFFFF"/>
        </w:rPr>
        <w:t>.</w:t>
      </w:r>
      <w:r w:rsidRPr="00C06183">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{"citationItems":[{"id":"ITEM-1","itemData":{"DOI":"10.1074/jbc.M407051200","ISSN":"00219258","abstract":"Caveolin-1 is a scaffolding/regulatory protein that interacts with diverse signaling molecules in endothelial cells. To explore the role of this protein in receptor-modulated signaling pathways, we transfected bovine aortic endothelial cells (BAEC) with small interfering RNA (siRNA) duplexes to down-regulate caveolin-1 expression. Transfection of BAEC with duplex siRNA targeted against caveolin-1 mRNA selectively \"knocked-down\" the expression of caveolin-1 by </w:instrText>
      </w:r>
      <w:r w:rsidR="008C387C">
        <w:rPr>
          <w:rFonts w:ascii="Cambria Math" w:hAnsi="Cambria Math" w:cs="Cambria Math"/>
          <w:sz w:val="24"/>
          <w:szCs w:val="24"/>
        </w:rPr>
        <w:instrText>∼</w:instrText>
      </w:r>
      <w:r w:rsidR="008C387C">
        <w:rPr>
          <w:rFonts w:ascii="Arial" w:hAnsi="Arial" w:cs="Arial"/>
          <w:sz w:val="24"/>
          <w:szCs w:val="24"/>
        </w:rPr>
        <w:instrText xml:space="preserve">90%, as demonstrated by immunoblot analyses of BAEC lysates. We used discontinuous sucrose gradients to purify caveolin-containing lipid rafts from siRNA-treated endothelial cells. Despite the near-total down-regulation of caveolin-1 expression, the lipid raft targeting of diverse signaling proteins (including the endothelial isoform of nitric-oxide synthase, Src-family tyrosine kinases, Gαq and the insulin receptor) was unchanged. We explored the consequences of caveolin-1 knockdown on kinase pathways modulated by the agonists sphingosine-1 phosphate (S1P) and vascular endothelial growth factor (VEGF). siRNA-mediated caveolin-1 knockdown enhanced basal as well as S1P- and VEGF-induced phosphorylation of the protein kinase Akt and did not modify the basal or agonist-induced phosphorylation of extracellular signal-regulated kinases 1/2. Caveolin-1 knock-down also significantly enhanced the basal and agonist-induced activity of the small GTPase Rac. We used siRNA to down-regulate Rac expression in BAEC, and we observed that Rac knockdown significantly reduced basal, S1P-, and VEGF-induced Akt phosphorylation, suggesting a role for Rac activation in the caveolin siRNA-mediated increase in Akt phosphorylation. By using siRNA to knockdown caveolin-1 and Rac expression in cultured endothelial cells, we have found that caveolin-1 does not seem to be required for the targeting of signaling molecules to caveolae/lipid rafts and that caveolin-1 differentially modulates specific kinase pathways in endothelial cells.","author":[{"dropping-particle":"","family":"Gonzalez","given":"Eva","non-dropping-particle":"","parse-names":false,"suffix":""},{"dropping-particle":"","family":"Nagiel","given":"Aaron","non-dropping-particle":"","parse-names":false,"suffix":""},{"dropping-particle":"","family":"Lin","given":"Alison J.","non-dropping-particle":"","parse-names":false,"suffix":""},{"dropping-particle":"","family":"Golan","given":"David E.","non-dropping-particle":"","parse-names":false,"suffix":""},{"dropping-particle":"","family":"Michel","given":"Thomas","non-dropping-particle":"","parse-names":false,"suffix":""}],"container-title":"Journal of Biological Chemistry","id":"ITEM-1","issue":"39","issued":{"date-parts":[["2004"]]},"page":"40659-40669","title":"Small interfering RNA-mediated down-regulation of caveolin-1 differentially modulates signaling pathways in endothelial cells","type":"article-journal","volume":"279"},"uris":["http://www.mendeley.com/documents/?uuid=bdf458da-988c-477b-ade6-9e7657cda945"]},{"id":"ITEM-2","itemData":{"DOI":"10.1074/jbc.M110.145888","ISSN":"00219258","abstract":"SR-A (class A macrophage scavenger receptor) is a transmembrane receptor that can bind many different ligands, including modified lipoproteins that are relevant to the development of vascular diseases. However, the precise endocytic pathways of SR-A/mediated ligands internalization are not fully characterized. In this study, we show that the SR-A/ligand complex can be endocytosed by both clathrin- and caveolae-dependent pathways. Internalizations of SR-A-lipoprotein (such as acLDL) complexes primarily go through clathrin-dependent endocytosis. In contrast, macrophage apoptosis triggered by SR-A-fucoidan internalization requires caveolae-dependent endocytosis. The caveolae-dependent process activates p38 kinase and JNK signaling, whereas the clathrin-mediated endocytosis elicits ERK signaling. Our results suggest that different SR-A endocytic pathways have distinct functional consequences due to the activation of different signaling cascades in macrophages. © 2011 by The American Society for Biochemistry and Molecular Biology, Inc.","author":[{"dropping-particle":"","family":"Zhu","given":"Xu-Dong","non-dropping-particle":"","parse-names":false,"suffix":""},{"dropping-particle":"","family":"Zhuang","given":"Yan","non-dropping-particle":"","parse-names":false,"suffix":""},{"dropping-particle":"","family":"Ben","given":"Jing-Jing","non-dropping-particle":"","parse-names":false,"suffix":""},{"dropping-particle":"","family":"Qian","given":"Ling-Ling","non-dropping-particle":"","parse-names":false,"suffix":""},{"dropping-particle":"","family":"Huang","given":"Han-Peng","non-dropping-particle":"","parse-names":false,"suffix":""},{"dropping-particle":"","family":"Bai","given":"Hui","non-dropping-particle":"","parse-names":false,"suffix":""},{"dropping-particle":"","family":"Sha","given":"Jia-Hao","non-dropping-particle":"","parse-names":false,"suffix":""},{"dropping-particle":"","family":"He","given":"Zhi-Gang","non-dropping-particle":"","parse-names":false,"suffix":""},{"dropping-particle":"","family":"Chen","given":"Qi","non-dropping-particle":"","parse-names":false,"suffix":""}],"container-title":"Journal of Biological Chemistry","id":"ITEM-2","issue":"10","issued":{"date-parts":[["2011","3"]]},"page":"8231-8239","title":"Caveolae-dependent Endocytosis Is Required for Class A Macrophage Scavenger Receptor-mediated Apoptosis in Macrophages","type":"article-journal","volume":"286"},"uris":["http://www.mendeley.com/documents/?uuid=1516cc8a-e495-4397-8141-5f8297e7c691"]},{"id":"ITEM-3","itemData":{"DOI":"10.1152/ajplung.00292.2005","ISSN":"10400605","abstract":"Caveolin-1, the principal integral membrane protein of caveolae, has been implicated in regulating the structural integrity of caveolae, vesicular trafficking, and signal transduction. Although the functions of caveolin-1 are beginning to be explored in caveolin-1-/- mice, these results are confounded by unknown compensatory mechanisms and the development of pulmonary hypertension, cardiomyopathy, and lung fibrosis. To address the role of caveolin-1 in regulating lung vascular permeability, in the present study we used small interfering RNA (siRNA) to knock down caveolin-1 expression in mouse lung endothelia in vivo. Intravenous injection of siRNA against caveolin-1 mRNA incorporated in liposomes selectively reduced the expression of caveolin-1 by </w:instrText>
      </w:r>
      <w:r w:rsidR="008C387C">
        <w:rPr>
          <w:rFonts w:ascii="Cambria Math" w:hAnsi="Cambria Math" w:cs="Cambria Math"/>
          <w:sz w:val="24"/>
          <w:szCs w:val="24"/>
        </w:rPr>
        <w:instrText>∼</w:instrText>
      </w:r>
      <w:r w:rsidR="008C387C">
        <w:rPr>
          <w:rFonts w:ascii="Arial" w:hAnsi="Arial" w:cs="Arial"/>
          <w:sz w:val="24"/>
          <w:szCs w:val="24"/>
        </w:rPr>
        <w:instrText>90% within 96 h of injection compared with wild-type mice. We observed the concomitant disappearance of caveolae in lung vessel endothelia and dilated interendothelial junctions (IEJs) as well as increased lung vascular permeability to albumin via IEJs. The reduced caveolin-1 expression also resulted in increased plasma nitric oxide concentration. The nitric oxide synthase inhibitor L-NAME, in part, blocked the increased vascular albumin permeability. These morphological and functional effects of caveolin-1 knockdown were reversible within 168 h after siRNA injection, corresponding to the restoration of caveolin-1 expression. Thus our results demonstrate the essential requirement of caveolin-1 in mediating the formation of caveolae in endothelial cells in vivo and in negatively regulating IEJ permeability. Copyright © 2006 the American Physiological Society.","author":[{"dropping-particle":"","family":"Miyawaki-Shimizu","given":"Kayo","non-dropping-particle":"","parse-names":false,"suffix":""},{"dropping-particle":"","family":"Predescu","given":"Dan","non-dropping-particle":"","parse-names":false,"suffix":""},{"dropping-particle":"","family":"Shimizu","given":"Jun","non-dropping-particle":"","parse-names":false,"suffix":""},{"dropping-particle":"","family":"Broman","given":"Michael","non-dropping-particle":"","parse-names":false,"suffix":""},{"dropping-particle":"","family":"Predescu","given":"Sanda","non-dropping-particle":"","parse-names":false,"suffix":""},{"dropping-particle":"","family":"Malik","given":"Asrar B.","non-dropping-particle":"","parse-names":false,"suffix":""}],"container-title":"American Journal of Physiology - Lung Cellular and Molecular Physiology","id":"ITEM-3","issue":"2","issued":{"date-parts":[["2006"]]},"page":"405-413","title":"siRNA-induced caveolin-1 knockdown in mice increases lung vascular permeability via the junctional pathway","type":"article-journal","volume":"290"},"uris":["http://www.mendeley.com/documents/?uuid=633102d6-fbaa-4bd1-ae54-30695fb1878f"]},{"id":"ITEM-4","itemData":{"DOI":"10.1074/jbc.M307290200","ISSN":"00219258","PMID":"12960147","abstract":"To assess the contribution of individual endocytic proteins to the assembly of clathrin coated pits, we depleted the clathrin heavy chain and the α-adaptin subunit of AP-2 in HeLa-cells using RNA interference. 48 h after transfection with clathrin heavy chain-specific short interfering RNA both, the heavy and light chains were depleted by more than 80%. Residual clathrin was mainly membrane-associated, and an increase in shallow pits was noted. The membrane-association of adaptors, clathrin assembly lymphoid myeloid leukemia protein (CALM), epsin, dynamin, and Eps15 was only moderately affected by the knockdown and all proteins still displayed a punctate staining distribution. Clathrin depletion inhibited the uptake of transferrin but not that of the epidermal growth factor. However, efficient sorting of the epidermal growth factor into hepatocyte growth factor-regulated tyrosine kinase substrate-positive endosomes was impaired. Depletion of α-adaptin abolished almost completely the plasma membrane association of clathrin. Binding of Eps15 to membranes was strongly and that of CALM moderately reduced. Whereas the uptake of transferrin was efficiently blocked in α-adaptin knockdown cells, the internalization and sorting of the epidermal growth factor was not significantly impaired. Since neither clathrin nor AP-2 is essential for the internalization of EGF, we conclude that it is taken up by an alternative mechanism.","author":[{"dropping-particle":"","family":"Hinrichsen","given":"Lars","non-dropping-particle":"","parse-names":false,"suffix":""},{"dropping-particle":"","family":"Harborth","given":"Jens","non-dropping-particle":"","parse-names":false,"suffix":""},{"dropping-particle":"","family":"Andrees","given":"Lars","non-dropping-particle":"","parse-names":false,"suffix":""},{"dropping-particle":"","family":"Weber","given":"Klaus","non-dropping-particle":"","parse-names":false,"suffix":""},{"dropping-particle":"","family":"Ungewickell","given":"Ernst J.","non-dropping-particle":"","parse-names":false,"suffix":""}],"container-title":"Journal of Biological Chemistry","id":"ITEM-4","issue":"46","issued":{"date-parts":[["2003"]]},"page":"45160-45170","title":"Effect of Clathrin Heavy Chain- and α-Adaptin-specific Small Inhibitory RNAs on Endocytic Accessory Proteins and Receptor Trafficking in HeLa Cells","type":"article-journal","volume":"278"},"uris":["http://www.mendeley.com/documents/?uuid=1296a57d-1d63-45f1-a9b8-418806a6ad81"]},{"id":"ITEM-5","itemData":{"DOI":"10.1073/pnas.1311029111","ISSN":"10916490","abstract":"Macropinocytosis is a highly conserved endocytic process by which extracellular fluid and solutes are internalized into cells. Macropinocytosis starts with the formation of membrane ruffles at the plasma membrane and ends with their closure. The transient and sequential emergence of phosphoinositides PI(3,4,5)P3 and PI(3,4) P2 in the membrane ruffles is essential for macropinocytosis. By making use of information in the Caenorhabditis elegans mutants defective in fluid-phase endocytosis, we found that mammalian phosphoinositide phosphatase MTMR6 that dephosphorylates PI(3)P to PI, and its binding partner MTMR9, are required for macropinocytosis. INPP4B, which dephosphorylates PI(3,4)P2 to PI(3)P, was also found to be essential for macropinocytosis. These phosphatases operate after the formation of membrane ruffles to complete macropinocytosis. Finally, we showed that KCa3.1, a Ca 2+- activated K+ channel that is activated by PI(3)P, is required for macropinocytosis. We propose that the sequential breakdown of PI(3,4,5)P3 → PI(3,4)P2 → PI(3)P → PI controls macropinocytosis through specific effectors of the intermediate phosphoinositides.","author":[{"dropping-particle":"","family":"Maekawa","given":"Masashi","non-dropping-particle":"","parse-names":false,"suffix":""},{"dropping-particle":"","family":"Terasaka","given":"Shimpei","non-dropping-particle":"","parse-names":false,"suffix":""},{"dropping-particle":"","family":"Mochizuki","given":"Yasuhiro","non-dropping-particle":"","parse-names":false,"suffix":""},{"dropping-particle":"","family":"Kawai","given":"Katsuhisa","non-dropping-particle":"","parse-names":false,"suffix":""},{"dropping-particle":"","family":"Ikeda","given":"Yuka","non-dropping-particle":"","parse-names":false,"suffix":""},{"dropping-particle":"","family":"Araki","given":"Nobukazu","non-dropping-particle":"","parse-names":false,"suffix":""},{"dropping-particle":"","family":"Skolnik","given":"Edward Y.","non-dropping-particle":"","parse-names":false,"suffix":""},{"dropping-particle":"","family":"Taguchi","given":"Tomohiko","non-dropping-particle":"","parse-names":false,"suffix":""},{"dropping-particle":"","family":"Arai","given":"Hiroyuki","non-dropping-particle":"","parse-names":false,"suffix":""}],"container-title":"Proceedings of the National Academy of Sciences of the United States of America","id":"ITEM-5","issue":"11","issued":{"date-parts":[["2014"]]},"title":"Sequential breakdown of 3-phosphorylated phosphoinositides is essential for the completion of macropinocytosis","type":"article-journal","volume":"111"},"uris":["http://www.mendeley.com/documents/?uuid=42356b5f-93a3-4092-81bd-d7b863e0f1a6"]}],"mendeley":{"formattedCitation":"&lt;sup&gt;194,232–235&lt;/sup&gt;","plainTextFormattedCitation":"194,232–235","previouslyFormattedCitation":"&lt;sup&gt;194,232–235&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194,232–235</w:t>
      </w:r>
      <w:r w:rsidRPr="00C06183">
        <w:rPr>
          <w:rFonts w:ascii="Arial" w:hAnsi="Arial" w:cs="Arial"/>
          <w:sz w:val="24"/>
          <w:szCs w:val="24"/>
        </w:rPr>
        <w:fldChar w:fldCharType="end"/>
      </w:r>
      <w:r w:rsidRPr="00C06183">
        <w:rPr>
          <w:rFonts w:ascii="Arial" w:hAnsi="Arial" w:cs="Arial"/>
          <w:sz w:val="24"/>
          <w:szCs w:val="24"/>
        </w:rPr>
        <w:t xml:space="preserve"> For </w:t>
      </w:r>
      <w:r w:rsidRPr="00C06183">
        <w:rPr>
          <w:rFonts w:ascii="Arial" w:hAnsi="Arial" w:cs="Arial"/>
          <w:i/>
          <w:iCs/>
          <w:sz w:val="24"/>
          <w:szCs w:val="24"/>
        </w:rPr>
        <w:t>in vivo</w:t>
      </w:r>
      <w:r w:rsidRPr="00C06183">
        <w:rPr>
          <w:rFonts w:ascii="Arial" w:hAnsi="Arial" w:cs="Arial"/>
          <w:sz w:val="24"/>
          <w:szCs w:val="24"/>
        </w:rPr>
        <w:t xml:space="preserve"> systems, the knockdown can be either localized or global</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{"citationItems":[{"id":"ITEM-1","itemData":{"DOI":"10.1074/jbc.M105408200","ISSN":"00219258","abstract":"Caveolin-1 is the principal structural protein of caveolae membranes in fibroblasts and endothelia. Recently, we have shown that the human CAV-1 gene is localized to a suspected tumor suppressor locus, and mutations in Cav-1 have been implicated in human cancer. Here, we created a caveolin-1 null (CAV-1 -/-) mouse model, using standard homologous recombination techniques, to assess the role of caveolin-1 in caveolae biogenesis, endocytosis, cell proliferation, and endothelial nitric-oxide synthase (eNOS) signaling. Surprisingly, Cav-1 null mice are viable. We show that these mice lack caveolin-1 protein expression and plasmalemmal caveolae. In addition, analysis of cultured fibroblasts from Cav-1 null embryos reveals the following: (i) a loss of caveolin-2 protein expression; (ii) defects in the endocytosis of a known caveolar ligand, i.e. fluorescein isothiocyanate-albumin; and (iii) a hyperproliferative phenotype. Importantly, these phenotypic changes are reversed by recombinant expression of the caveolin-1 cDNA. Furthermore, examination of the lung parenchyma (an endothelial-rich tissue) shows hypercellularity with thickened alveolar septa and an increase in the number of vascular endothelial growth factor receptor (Flk-1)-positive endothelial cells. As predicted, endothelial cells from Cav-1 null mice lack caveolae membranes. Finally, we examined eNOS signaling by measuring the physiological response of aortic rings to various stimuli. Our results indicate that eNOS activity is up-regulated in Cav-1 null animals, and this activity can be blunted by using a specific NOS inhibitor, nitro-L-arginine methyl ester. These findings are in accordance with previous in vitro studies showing that caveolin-1 is an endogenous inhibitor of eNOS. Thus, caveolin-1 expression is required to stabilize the caveolin-2 protein product, to mediate the caveolar endocytosis of specific ligands, to negatively regulate the proliferation of certain cell types, and to provide tonic inhibition of eNOS activity in endothelial cells.","author":[{"dropping-particle":"","family":"Razani","given":"Babak","non-dropping-particle":"","parse-names":false,"suffix":""},{"dropping-particle":"","family":"Engelman","given":"Jeffery A.","non-dropping-particle":"","parse-names":false,"suffix":""},{"dropping-particle":"","family":"Wang","given":"Xiao Bo","non-dropping-particle":"","parse-names":false,"suffix":""},{"dropping-particle":"","family":"Schubert","given":"William","non-dropping-particle":"","parse-names":false,"suffix":""},{"dropping-particle":"","family":"Zhang","given":"Xiao Lan","non-dropping-particle":"","parse-names":false,"suffix":""},{"dropping-particle":"","family":"Marks","given":"Carolyn B.","non-dropping-particle":"","parse-names":false,"suffix":""},{"dropping-particle":"","family":"Macalusol","given":"Frank","non-dropping-particle":"","parse-names":false,"suffix":""},{"dropping-particle":"","family":"Russell","given":"Robert G.","non-dropping-particle":"","parse-names":false,"suffix":""},{"dropping-particle":"","family":"Li","given":"Maomi","non-dropping-particle":"","parse-names":false,"suffix":""},{"dropping-particle":"","family":"Pestell","given":"Richard G.","non-dropping-particle":"","parse-names":false,"suffix":""},{"dropping-particle":"","family":"Vizio","given":"Dolores","non-dropping-particle":"Di","parse-names":false,"suffix":""},{"dropping-particle":"","family":"Hou","given":"Harry","non-dropping-particle":"","parse-names":false,"suffix":""},{"dropping-particle":"","family":"Kneitz","given":"Burkhard","non-dropping-particle":"","parse-names":false,"suffix":""},{"dropping-particle":"","family":"Lagaud","given":"Guy","non-dropping-particle":"","parse-names":false,"suffix":""},{"dropping-particle":"","family":"Christ","given":"George J.","non-dropping-particle":"","parse-names":false,"suffix":""},{"dropping-particle":"","family":"Edelmann","given":"Winfried","non-dropping-particle":"","parse-names":false,"suffix":""},{"dropping-particle":"","family":"Lisanti","given":"Michael P.","non-dropping-particle":"","parse-names":false,"suffix":""}],"container-title":"Journal of Biological Chemistry","id":"ITEM-1","issue":"41","issued":{"date-parts":[["2001"]]},"page":"38121-38138","title":"Caveolin-1 Null Mice Are Viable but Show Evidence of Hyperproliferative and Vascular Abnormalities","type":"article-journal","volume":"276"},"uris":["http://www.mendeley.com/documents/?uuid=78c83003-e2c1-470f-ad0a-3c60e1265223"]},{"id":"ITEM-2","itemData":{"DOI":"10.1097/TA.0b013e3181e7432d","ISSN":"00225282","abstract":"Background: Increased pulmonary microvascular and epithelial permeability are important contributors to pulmonary edema in acute lung injury. In this study, we used small interfering RNA (siRNA) to knock down caveolin-1 expression in rat lungs and to confirm the important role of caveolin-1 in regulating pulmonary edema. Method: After pulmonary injection of siRNA against caveolin-1 messenger RNA incorporated in liposomes with three concentrations of 0.4, 0.8, and 1.2 mg/kg, the gene silencing rate and the effects of caveolin-1 siRNA on aquaporin (AQP)-1, AQP-5, and epithelial sodium channel (ENaC) were detected. For pulmonary permeability analysis, Evans blue fluorimetry, ratios of albumin concentrations between blood and bronchoalveolar lavage, and wet/dry weight ratios were measured. The impacts of caveolin-1 suppression on interendothelial junctions were evaluated by the performance of electron microscopy and the analysis of vascular endothelial (VE)-cadherin Western blot. Alveolar wall thickness analysis and chest fluoroscopy were performed to determine the pulmonary edema degree. Results: After 72 hours of injection, the gene silencing rate of caveolin-1 siRNA is about 87%. AQP-1, AQP-5, ENaC-α, ENaC-β, ENaC-γ, and VE-cadherin protein levels were decreased by 63%, 66%, 80%, 90%, 89%, and 50%, respectively. Caveolin-1 siRNA also resulted in increasing microvascular and epithelial permeability and pulmonary edema. Conclusion: These data suggest that caveolin-1 plays an important part in regulating the pulmonary permeability by modifying AQP-1, AQP-5, ENaC, and VE-cadherin. Copyright © 2011 by Lippincott Williams &amp;Wilkins.","author":[{"dropping-particle":"","family":"Gao","given":"Chengjin","non-dropping-particle":"","parse-names":false,"suffix":""},{"dropping-particle":"","family":"Li","given":"Rongrong","non-dropping-particle":"","parse-names":false,"suffix":""},{"dropping-particle":"","family":"Huan","given":"Jingning","non-dropping-particle":"","parse-names":false,"suffix":""},{"dropping-particle":"","family":"Li","given":"Wei","non-dropping-particle":"","parse-names":false,"suffix":""}],"container-title":"Journal of Trauma - Injury, Infection and Critical Care","id":"ITEM-2","issue":"1","issued":{"date-parts":[["2011"]]},"page":"210-219","title":"Caveolin-1 siRNA increases the pulmonary microvascular and alveolar epithelial permeability in rats","type":"article-journal","volume":"70"},"uris":["http://www.mendeley.com/documents/?uuid=94e7b1d1-1eeb-4c5c-927a-98937dc458cb"]}],"mendeley":{"formattedCitation":"&lt;sup&gt;236,237&lt;/sup&gt;","plainTextFormattedCitation":"236,237","previouslyFormattedCitation":"&lt;sup&gt;236,237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236,237</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While this method is more specific, siRNA is known to be unstable in blood, immunogenic, and cannot easily cross cell membranes</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{"citationItems":[{"id":"ITEM-1","itemData":{"DOI":"10.3390/nano7040077","ISSN":"20794991","abstract":"siRNA is a promising therapeutic solution to address gene overexpression or mutations as a post-transcriptional gene regulation process for several pathological conditions such as viral infections, cancer, genetic disorders, and autoimmune disorders like arthritis. This therapeutic method is currently being actively pursued in cancer therapy because siRNA has been found to suppress the oncogenes and address mutations in tumor suppressor genes and elucidate the key molecules in cellular pathways in cancer. It is also effective in personalized gene therapy for several diseases due to its specificity, adaptability, and broad targeting capability. However, naked siRNA is unstable in the bloodstream and cannot efficiently cross cell membranes besides being immunogenic. Therefore, careful design of the delivery systems is essential to fully utilize the potential of this therapeutic solution. This review presents a comprehensive update on the challenges of siRNA delivery and the current strategies used to develop nanoparticulate delivery systems.","author":[{"dropping-particle":"","family":"Tatiparti","given":"Katyayani","non-dropping-particle":"","parse-names":false,"suffix":""},{"dropping-particle":"","family":"Sau","given":"Samaresh","non-dropping-particle":"","parse-names":false,"suffix":""},{"dropping-particle":"","family":"Kashaw","given":"Sushil Kumar","non-dropping-particle":"","parse-names":false,"suffix":""},{"dropping-particle":"","family":"Iyer","given":"Arun K.","non-dropping-particle":"","parse-names":false,"suffix":""}],"container-title":"Nanomaterials","id":"ITEM-1","issue":"4","issued":{"date-parts":[["2017"]]},"page":"1-17","title":"siRNA delivery strategies: A comprehensive review of recent developments","type":"article-journal","volume":"7"},"uris":["http://www.mendeley.com/documents/?uuid=2f28c2d6-1f13-441b-829d-e3c13f801751"]}],"mendeley":{"formattedCitation":"&lt;sup&gt;238&lt;/sup&gt;","plainTextFormattedCitation":"238","previouslyFormattedCitation":"&lt;sup&gt;238&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238</w:t>
      </w:r>
      <w:r w:rsidRPr="00C06183">
        <w:rPr>
          <w:rFonts w:ascii="Arial" w:hAnsi="Arial" w:cs="Arial"/>
          <w:sz w:val="24"/>
          <w:szCs w:val="24"/>
        </w:rPr>
        <w:fldChar w:fldCharType="end"/>
      </w:r>
      <w:r w:rsidRPr="00C06183">
        <w:rPr>
          <w:rFonts w:ascii="Arial" w:hAnsi="Arial" w:cs="Arial"/>
          <w:sz w:val="24"/>
          <w:szCs w:val="24"/>
        </w:rPr>
        <w:t xml:space="preserve"> Therefore, for siRNA treatments to be efficient, they need a carrier, with a liposome formulation known as Lipofectamine being a common choice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j.ymeth.2003.11.023","ISSN":"10462023","author":[{"dropping-particle":"","family":"Dalby","given":"B","non-dropping-particle":"","parse-names":false,"suffix":""}],"container-title":"Methods","id":"ITEM-1","issue":"2","issued":{"date-parts":[["2004","6"]]},"page":"95-103","title":"Advanced transfection with Lipofectamine 2000 reagent: primary neurons, siRNA, and high-throughput applications","type":"article-journal","volume":"33"},"uris":["http://www.mendeley.com/documents/?uuid=fb08d92c-6a4c-4d0b-a56c-9324999432fb"]}],"mendeley":{"formattedCitation":"&lt;sup&gt;239&lt;/sup&gt;","plainTextFormattedCitation":"239","previouslyFormattedCitation":"&lt;sup&gt;239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239</w:t>
      </w:r>
      <w:r w:rsidRPr="00C06183">
        <w:rPr>
          <w:rFonts w:ascii="Arial" w:hAnsi="Arial" w:cs="Arial"/>
          <w:sz w:val="24"/>
          <w:szCs w:val="24"/>
        </w:rPr>
        <w:fldChar w:fldCharType="end"/>
      </w:r>
      <w:r w:rsidRPr="00C06183">
        <w:rPr>
          <w:rFonts w:ascii="Arial" w:hAnsi="Arial" w:cs="Arial"/>
          <w:sz w:val="24"/>
          <w:szCs w:val="24"/>
        </w:rPr>
        <w:t xml:space="preserve"> Alternatively, a permanent, heritable method of gene knockout is achieved through the use of the CRISPR-Cas system</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10.1038/nbt.2661","ISSN":"10870156","author":[{"dropping-particle":"","family":"Li","given":"Dali","non-dropping-particle":"","parse-names":false,"suffix":""},{"dropping-particle":"","family":"Qiu","given":"Zhongwei","non-dropping-particle":"","parse-names":false,"suffix":""},{"dropping-particle":"","family":"Shao","given":"Yanjiao","non-dropping-particle":"","parse-names":false,"suffix":""},{"dropping-particle":"","family":"Chen","given":"Yuting","non-dropping-particle":"","parse-names":false,"suffix":""},{"dropping-particle":"","family":"Guan","given":"Yuting","non-dropping-particle":"","parse-names":false,"suffix":""},{"dropping-particle":"","family":"Liu","given":"Meizhen","non-dropping-particle":"","parse-names":false,"suffix":""},{"dropping-particle":"","family":"Li","given":"Yongmei","non-dropping-particle":"","parse-names":false,"suffix":""},{"dropping-particle":"","family":"Gao","given":"Na","non-dropping-particle":"","parse-names":false,"suffix":""},{"dropping-particle":"","family":"Wang","given":"Liren","non-dropping-particle":"","parse-names":false,"suffix":""},{"dropping-particle":"","family":"Lu","given":"Xiaoling","non-dropping-particle":"","parse-names":false,"suffix":""},{"dropping-particle":"","family":"Zhao","given":"Yongxiang","non-dropping-particle":"","parse-names":false,"suffix":""},{"dropping-particle":"","family":"Liu","given":"Mingyao","non-dropping-particle":"","parse-names":false,"suffix":""}],"container-title":"Nature Biotechnology","id":"ITEM-1","issue":"8","issued":{"date-parts":[["2013"]]},"page":"681-683","title":"Heritable gene targeting in the mouse and rat using a CRISPR-Cas system","type":"article-journal","volume":"31"},"uris":["http://www.mendeley.com/documents/?uuid=3becf49c-8818-4ebf-a899-e016f5adf3c2"]}],"mendeley":{"formattedCitation":"&lt;sup&gt;240&lt;/sup&gt;","plainTextFormattedCitation":"240","previouslyFormattedCitation":"&lt;sup&gt;240&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240</w:t>
      </w:r>
      <w:r w:rsidRPr="00C06183">
        <w:rPr>
          <w:rFonts w:ascii="Arial" w:hAnsi="Arial" w:cs="Arial"/>
          <w:sz w:val="24"/>
          <w:szCs w:val="24"/>
        </w:rPr>
        <w:fldChar w:fldCharType="end"/>
      </w:r>
    </w:p>
    <w:p w14:paraId="45E1BE9B" w14:textId="77777777" w:rsidR="00C06183" w:rsidRPr="00C06183" w:rsidRDefault="00C06183" w:rsidP="00C06183">
      <w:pPr>
        <w:spacing w:line="480" w:lineRule="auto"/>
        <w:jc w:val="both"/>
        <w:rPr>
          <w:rFonts w:ascii="Arial" w:hAnsi="Arial" w:cs="Arial"/>
          <w:sz w:val="24"/>
          <w:szCs w:val="24"/>
        </w:rPr>
      </w:pPr>
    </w:p>
    <w:p w14:paraId="005A1A60" w14:textId="39E91028" w:rsidR="00C06183" w:rsidRDefault="00E34AB4" w:rsidP="00721691">
      <w:pPr>
        <w:pStyle w:val="Heading3"/>
      </w:pPr>
      <w:bookmarkStart w:id="20" w:name="_Toc151032415"/>
      <w:r>
        <w:t>1.</w:t>
      </w:r>
      <w:r w:rsidR="00C06183" w:rsidRPr="00C06183">
        <w:t>4.2</w:t>
      </w:r>
      <w:r w:rsidR="00C06183" w:rsidRPr="00C06183">
        <w:tab/>
        <w:t>Methods for visualizing and studying endocytic pathways</w:t>
      </w:r>
      <w:bookmarkEnd w:id="20"/>
    </w:p>
    <w:p w14:paraId="18C9A30C" w14:textId="77777777" w:rsidR="00721691" w:rsidRPr="00721691" w:rsidRDefault="00721691" w:rsidP="00721691"/>
    <w:p w14:paraId="1BB29517" w14:textId="419B5851"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r>
      <w:r w:rsidRPr="00C06183">
        <w:rPr>
          <w:rStyle w:val="normaltextrun"/>
          <w:rFonts w:ascii="Arial" w:hAnsi="Arial" w:cs="Arial"/>
          <w:color w:val="000000"/>
          <w:sz w:val="24"/>
          <w:szCs w:val="24"/>
          <w:bdr w:val="none" w:sz="0" w:space="0" w:color="auto" w:frame="1"/>
        </w:rPr>
        <w:t>Optical microscopy, such as confocal laser scanning microscopy, has been applied for visualizing these uptake pathways, either by fluorescently tagging associated proteins, tracers, or the nanoparticles themselves. This method is somewhat effective, though there is a considerable limitation in its effectiveness, stemming from the physical limitations of optical microscopy - the diffraction limit of light is roughly 200 nm</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{"citationItems":[{"id":"ITEM-1","itemData":{"DOI":"10.1126/science.257.5067.189","ISSN":"00368075","abstract":"The near-field optical interaction between a sharp probe and a sample of interest can be exploited to image, spectroscopically probe, or modify surfaces at a resolution (down to </w:instrText>
      </w:r>
      <w:r w:rsidR="008C387C">
        <w:rPr>
          <w:rFonts w:ascii="Cambria Math" w:hAnsi="Cambria Math" w:cs="Cambria Math"/>
          <w:sz w:val="24"/>
          <w:szCs w:val="24"/>
        </w:rPr>
        <w:instrText>∼</w:instrText>
      </w:r>
      <w:r w:rsidR="008C387C">
        <w:rPr>
          <w:rFonts w:ascii="Arial" w:hAnsi="Arial" w:cs="Arial"/>
          <w:sz w:val="24"/>
          <w:szCs w:val="24"/>
        </w:rPr>
        <w:instrText>12 nm) inaccessible by traditional far-field techniques. Many of the attractive features of conventional optics are retained, including noninvasiveness, reliability, and low cost. In addition, most optical contrast mechanisms can be extended to the near-field regime, resulting in a technique of considerable versatility. This versatility is demonstrated by several examples, such as the imaging of nanometric-scale features in mammalian tissue sections and the creation of ultrasmall, magneto-optic domains having implications for high-density data storage. Although the technique may find uses in many diverse fields, two of the most exciting possibilities are localized optical spectroscopy of semiconductors and the fluorescence imaging of living cells.","author":[{"dropping-particle":"","family":"Betzig","given":"Eric","non-dropping-particle":"","parse-names":false,"suffix":""},{"dropping-particle":"","family":"Trautman","given":"Jay K.","non-dropping-particle":"","parse-names":false,"suffix":""}],"container-title":"Science","id":"ITEM-1","issue":"5067","issued":{"date-parts":[["1992"]]},"page":"189-195","title":"Near-field optics: Microscopy, spectroscopy, and surface modification beyond the diffraction limit","type":"article-journal","volume":"257"},"uris":["http://www.mendeley.com/documents/?uuid=f7b56d9d-a85b-4491-a971-1830b45681de"]}],"mendeley":{"formattedCitation":"&lt;sup&gt;241&lt;/sup&gt;","plainTextFormattedCitation":"241","previouslyFormattedCitation":"&lt;sup&gt;241&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241</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While this is sufficient for visualizing whole cells, it is difficult to accurately see certain subcellular processes. Electron microscopy methods have been employed for imaging at sub-</w:t>
      </w:r>
      <w:r w:rsidRPr="00C06183">
        <w:rPr>
          <w:rStyle w:val="normaltextrun"/>
          <w:rFonts w:ascii="Arial" w:hAnsi="Arial" w:cs="Arial"/>
          <w:color w:val="000000"/>
          <w:sz w:val="24"/>
          <w:szCs w:val="24"/>
          <w:bdr w:val="none" w:sz="0" w:space="0" w:color="auto" w:frame="1"/>
        </w:rPr>
        <w:lastRenderedPageBreak/>
        <w:t>nanometer resolution</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{"citationItems":[{"id":"ITEM-1","itemData":{"DOI":"10.1016/S1369-7021(09)70005-7","ISSN":"13697021","abstract":"Nanoscience and nanotechnology are closely intertwined subjects that are attracting ever-increasing attention, both in the scientific world and in the marketplace. Major developments in growth and synthesis methods mean that atoms can nowadays be manipulated in a controlled fashion to produce novel properties that are often not found in bulk materials. Techniques for locating and identifying atomic configurations within nanostructures become even more essential in the relentless drive towards realizing optimal physical behavior. In this regard, the electron microscope, with its intrinsic capacity for atomic-scale imaging and chemical analysis, has become an indispensable tool in the arsenal of the materials scientist interested in nanostructured materials. This article provides an overview of progress made towards achieving theoretical resolution limits in the electron microscope and discusses further factors that could affect the ultimate resolution attainable. © 2008 Elsevier Ltd. All rights reserved.","author":[{"dropping-particle":"","family":"Smith","given":"David J.","non-dropping-particle":"","parse-names":false,"suffix":""}],"container-title":"Materials Today","id":"ITEM-1","issue":"SUPPL.","issued":{"date-parts":[["2008"]]},"page":"30-38","publisher":"Elsevier Ltd","title":"Ultimate resolution in the electron microscope?","type":"article-journal","volume":"11"},"uris":["http://www.mendeley.com/documents/?uuid=e2090a9c-d9fe-471c-b434-90d893c2f5f1"]}],"mendeley":{"formattedCitation":"&lt;sup&gt;242&lt;/sup&gt;","plainTextFormattedCitation":"242","previouslyFormattedCitation":"&lt;sup&gt;242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242</w:t>
      </w:r>
      <w:r w:rsidRPr="00C06183">
        <w:rPr>
          <w:rFonts w:ascii="Arial" w:hAnsi="Arial" w:cs="Arial"/>
          <w:sz w:val="24"/>
          <w:szCs w:val="24"/>
        </w:rPr>
        <w:fldChar w:fldCharType="end"/>
      </w:r>
      <w:r w:rsidRPr="00C06183">
        <w:rPr>
          <w:rFonts w:ascii="Arial" w:hAnsi="Arial" w:cs="Arial"/>
          <w:sz w:val="24"/>
          <w:szCs w:val="24"/>
        </w:rPr>
        <w:t xml:space="preserve"> However, transmission electron microscopy comes at the cost of requiring thin tissue slices for imaging, typically 50-100 nm thick, resulting in a loss of 3D information</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{"citationItems":[{"id":"ITEM-1","itemData":{"DOI":"10.1111/boc.201600024","ISSN":"1768322X","PMID":"27432264","abstract":"Electron microscopy (EM) has been a key imaging method to investigate biological ultrastructure for over six decades. In recent years, novel volume EM techniques have significantly advanced nanometre-scale imaging of cells and tissues in three dimensions. Previously, this had depended on the slow and error-prone manual tasks of cutting and handling large numbers of sections, and imaging them one-by-one with transmission EM. Now, automated volume imaging methods mostly based on scanning EM (SEM) allow faster and more reliable acquisition of serial images through tissue volumes and achieve higher z-resolution. Various software tools have been developed to manipulate the acquired image stacks and facilitate quantitative analysis. Here, we introduce three volume SEM methods: serial block-face electron microscopy (SBEM), focused ion beam SEM (FIB-SEM) and automated tape-collecting ultramicrotome SEM (ATUM-SEM). We discuss and compare their capabilities, provide an overview of the full volume SEM workflow for obtaining 3D datasets and showcase different applications for biological research.","author":[{"dropping-particle":"","family":"Titze","given":"Benjamin","non-dropping-particle":"","parse-names":false,"suffix":""},{"dropping-particle":"","family":"Genoud","given":"Christel","non-dropping-particle":"","parse-names":false,"suffix":""}],"container-title":"Biology of the Cell","id":"ITEM-1","issue":"11","issued":{"date-parts":[["2016"]]},"page":"307-323","title":"Volume scanning electron microscopy for imaging biological ultrastructure","type":"article-journal","volume":"108"},"uris":["http://www.mendeley.com/documents/?uuid=85592bf2-f23d-487c-be57-7067803e39a9"]}],"mendeley":{"formattedCitation":"&lt;sup&gt;243&lt;/sup&gt;","plainTextFormattedCitation":"243","previouslyFormattedCitation":"&lt;sup&gt;243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243</w:t>
      </w:r>
      <w:r w:rsidRPr="00C06183">
        <w:rPr>
          <w:rFonts w:ascii="Arial" w:hAnsi="Arial" w:cs="Arial"/>
          <w:sz w:val="24"/>
          <w:szCs w:val="24"/>
        </w:rPr>
        <w:fldChar w:fldCharType="end"/>
      </w:r>
      <w:r w:rsidRPr="00C06183">
        <w:rPr>
          <w:rFonts w:ascii="Arial" w:hAnsi="Arial" w:cs="Arial"/>
          <w:sz w:val="24"/>
          <w:szCs w:val="24"/>
        </w:rPr>
        <w:t xml:space="preserve"> which can make differentiating between different types of vesicles and channels difficult or requiring laborious imaging and image processing of multiple sections.  </w:t>
      </w:r>
    </w:p>
    <w:p w14:paraId="2D0E6062" w14:textId="27AA8A16" w:rsidR="00C06183" w:rsidRPr="00C06183" w:rsidRDefault="00C06183" w:rsidP="00C06183">
      <w:pPr>
        <w:spacing w:line="480" w:lineRule="auto"/>
        <w:ind w:firstLine="720"/>
        <w:jc w:val="both"/>
        <w:rPr>
          <w:rFonts w:ascii="Arial" w:hAnsi="Arial" w:cs="Arial"/>
          <w:sz w:val="24"/>
          <w:szCs w:val="24"/>
        </w:rPr>
      </w:pPr>
      <w:r w:rsidRPr="00C06183">
        <w:rPr>
          <w:rStyle w:val="normaltextrun"/>
          <w:rFonts w:ascii="Arial" w:hAnsi="Arial" w:cs="Arial"/>
          <w:color w:val="000000"/>
          <w:sz w:val="24"/>
          <w:szCs w:val="24"/>
          <w:bdr w:val="none" w:sz="0" w:space="0" w:color="auto" w:frame="1"/>
        </w:rPr>
        <w:t>Efforts have been made to surpass the optical diffraction limit without the limitations presented by electron microscopy, and several super resolution microscopy methods have resulted. One such method is near field scanning optical microscopy (NSOM), which surpasses the optical diffraction limit by using a probe that is positioned close to the sample at a distance that is shorter than the excitation wavelength being imaged. However, this method also requires expensive and specialized equipment</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{"citationItems":[{"id":"ITEM-1","itemData":{"DOI":"10.1504/IJNT.2012.045353","ISSN":"14757435","abstract":"Near Field Optical Microscopy (NSOM) has evolved into a mature member of the family of scanning probe microscopy. In this article, we briefly go over the principle of NSOM, its breakthroughs and setbacks. We will describe some of the most commonly used NSOM modalities and conclude with the recent advances based on optical nanoantennas. We will then highlight the potential of this high-resolution optical microscopy for chemical and biological applications as well as for materials sciences. Copyright © 2012 Inderscience Enterprises Ltd.","author":[{"dropping-particle":"","family":"Lereu","given":"A. L.","non-dropping-particle":"","parse-names":false,"suffix":""},{"dropping-particle":"","family":"Passian","given":"A.","non-dropping-particle":"","parse-names":false,"suffix":""},{"dropping-particle":"","family":"Dumas","given":"Ph","non-dropping-particle":"","parse-names":false,"suffix":""}],"container-title":"International Journal of Nanotechnology","id":"ITEM-1","issue":"3-7","issued":{"date-parts":[["2012"]]},"page":"488-501","title":"Near field optical microscopy: A brief review","type":"article-journal","volume":"9"},"uris":["http://www.mendeley.com/documents/?uuid=fc5cc39a-68cd-4293-82cd-0ea1c67a4ecf"]}],"mendeley":{"formattedCitation":"&lt;sup&gt;244&lt;/sup&gt;","plainTextFormattedCitation":"244","previouslyFormattedCitation":"&lt;sup&gt;244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244</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Other methods, such as stochastic optical reconstruction microscopy (STORM) and stimulated emission depletion (STED) achieve super resolution by assigning fluorescent and non-fluorescent states to fluorophores, either randomly to create a reconstructed data map, or in a targeted manner that does not require post processing, at the cost of elevated photobleaching concerns</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{"citationItems":[{"id":"ITEM-1","itemData":{"DOI":"10.1111/jnc.13257","ISSN":"14714159","abstract":"Stochastic optical reconstruction microscopy (STORM) and stimulated emission depletion (STED) microscopy are two super-resolution optical microscopy approaches that have rapidly gained popularity in recent years. Both modalities offer super-resolution imaging capabilities with the potential for imaging in multiple colors, three-dimensions, and the possibility to image in live cells. In this review, we focus on the specific advantages and disadvantages of each technique in the context of each other. STORM has been reported to achieve higher spatial resolution when compared to STED, but a lengthy acquisition may be required. STED utilizes relatively higher laser intensities, but is able to generate a super-resolution image immediately after acquisition without the need for any additional data processing. Ultimately, the choice between STORM and STED will depend not only on the specific application, but also on the users' ability to understand and optimize the various parameters ranging from sample preparation to image acquisition, which determine the quality of the final image.","author":[{"dropping-particle":"","family":"Tam","given":"Johnny","non-dropping-particle":"","parse-names":false,"suffix":""},{"dropping-particle":"","family":"Merino","given":"David","non-dropping-particle":"","parse-names":false,"suffix":""}],"container-title":"Journal of Neurochemistry","id":"ITEM-1","issue":"4","issued":{"date-parts":[["2015"]]},"page":"643-658","title":"Stochastic optical reconstruction microscopy (STORM) in comparison with stimulated emission depletion (STED) and other imaging methods","type":"article-journal","volume":"135"},"uris":["http://www.mendeley.com/documents/?uuid=33793011-57cb-4c89-96ee-82f0dd32d7a6"]}],"mendeley":{"formattedCitation":"&lt;sup&gt;245&lt;/sup&gt;","plainTextFormattedCitation":"245","previouslyFormattedCitation":"&lt;sup&gt;245&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245</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An alternative method called expansion microscopy has been developed that involves anchoring the proteins found in a cell or tissue sample to a superabsorbent hydrogel and allowing it to expand in water, mechanically stretching the sample so that objects smaller than the diffraction limit would be made larger, and therefore, resolvable</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{"citationItems":[{"id":"ITEM-1","itemData":{"DOI":"10.1126/science.1260088","ISSN":"0036-8075","author":[{"dropping-particle":"","family":"Chen","given":"F.","non-dropping-particle":"","parse-names":false,"suffix":""},{"dropping-particle":"","family":"Tillberg","given":"P. W.","non-dropping-particle":"","parse-names":false,"suffix":""},{"dropping-particle":"","family":"Boyden","given":"E. S.","non-dropping-particle":"","parse-names":false,"suffix":""}],"container-title":"Science","id":"ITEM-1","issue":"6221","issued":{"date-parts":[["2015","1","30"]]},"page":"543-548","title":"Expansion microscopy","type":"article-journal","volume":"347"},"uris":["http://www.mendeley.com/documents/?uuid=c24ecc24-1668-4aa9-8188-884d53f13d29"]},{"id":"ITEM-2","itemData":{"DOI":"10.1038/nbt.3892","ISSN":"15461696","abstract":"Expansion microscopy (ExM), a method for improving the resolution of light microscopy by physically expanding a specimen, has not been applied to clinical tissue samples. Here we report a clinically optimized form of ExM that supports nanoscale imaging of human tissue specimens that have been fixed with formalin, embedded in paraffin, stained with hematoxylin and eosin, and/or fresh frozen. The method, which we call expansion pathology (ExPath), converts clinical samples into an ExM-compatible state, then applies an ExM protocol with protein anchoring and mechanical homogenization steps optimized for clinical samples. ExPath enables ~70-nm-resolution imaging of diverse biomolecules in intact tissues using conventional diffraction-limited microscopes and standard antibody and fluorescent DNA in situ hybridization reagents. We use ExPath for optical diagnosis of kidney minimal-change disease, a process that previously required electron microscopy, and we demonstrate high-fidelity computational discrimination between early breast neoplastic lesions for which pathologists often disagree in classification. ExPath may enable the routine use of nanoscale imaging in pathology and clinical research.","author":[{"dropping-particle":"","family":"Zhao","given":"Yongxin","non-dropping-particle":"","parse-names":false,"suffix":""},{"dropping-particle":"","family":"Bucur","given":"Octavian","non-dropping-particle":"","parse-names":false,"suffix":""},{"dropping-particle":"","family":"Irshad","given":"Humayun","non-dropping-particle":"","parse-names":false,"suffix":""},{"dropping-particle":"","family":"Chen","given":"Fei","non-dropping-particle":"","parse-names":false,"suffix":""},{"dropping-particle":"","family":"Weins","given":"Astrid","non-dropping-particle":"","parse-names":false,"suffix":""},{"dropping-particle":"","family":"Stancu","given":"Andreea L.","non-dropping-particle":"","parse-names":false,"suffix":""},{"dropping-particle":"","family":"Oh","given":"Eun Young","non-dropping-particle":"","parse-names":false,"suffix":""},{"dropping-particle":"","family":"Distasio","given":"Marcello","non-dropping-particle":"","parse-names":false,"suffix":""},{"dropping-particle":"","family":"Torous","given":"Vanda","non-dropping-particle":"","parse-names":false,"suffix":""},{"dropping-particle":"","family":"Glass","given":"Benjamin","non-dropping-particle":"","parse-names":false,"suffix":""},{"dropping-particle":"","family":"Stillman","given":"Isaac E.","non-dropping-particle":"","parse-names":false,"suffix":""},{"dropping-particle":"","family":"Schnitt","given":"Stuart J.","non-dropping-particle":"","parse-names":false,"suffix":""},{"dropping-particle":"","family":"Beck","given":"Andrew H.","non-dropping-particle":"","parse-names":false,"suffix":""},{"dropping-particle":"","family":"Boyden","given":"Edward S.","non-dropping-particle":"","parse-names":false,"suffix":""}],"container-title":"Nature Biotechnology","id":"ITEM-2","issue":"8","issued":{"date-parts":[["2017"]]},"page":"757-764","publisher":"Nature Publishing Group","title":"Nanoscale imaging of clinical specimens using pathology-optimized expansion microscopy","type":"article-journal","volume":"35"},"uris":["http://www.mendeley.com/documents/?uuid=6aa14727-9a70-4357-8662-aa48c9bc9b9c"]}],"mendeley":{"formattedCitation":"&lt;sup&gt;246,247&lt;/sup&gt;","plainTextFormattedCitation":"246,247","previouslyFormattedCitation":"&lt;sup&gt;246,247&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246,247</w:t>
      </w:r>
      <w:r w:rsidRPr="00C06183">
        <w:rPr>
          <w:rFonts w:ascii="Arial" w:hAnsi="Arial" w:cs="Arial"/>
          <w:sz w:val="24"/>
          <w:szCs w:val="24"/>
        </w:rPr>
        <w:fldChar w:fldCharType="end"/>
      </w:r>
      <w:r w:rsidRPr="00C06183">
        <w:rPr>
          <w:rFonts w:ascii="Arial" w:hAnsi="Arial" w:cs="Arial"/>
          <w:sz w:val="24"/>
          <w:szCs w:val="24"/>
        </w:rPr>
        <w:t xml:space="preserve"> </w:t>
      </w:r>
    </w:p>
    <w:p w14:paraId="1B946D57" w14:textId="7EE58B81" w:rsidR="00C06183" w:rsidRPr="00C06183" w:rsidRDefault="00C06183" w:rsidP="00C06183">
      <w:pPr>
        <w:spacing w:line="480" w:lineRule="auto"/>
        <w:jc w:val="both"/>
        <w:rPr>
          <w:rFonts w:ascii="Arial" w:hAnsi="Arial" w:cs="Arial"/>
          <w:sz w:val="24"/>
          <w:szCs w:val="24"/>
        </w:rPr>
      </w:pPr>
      <w:r w:rsidRPr="00C06183">
        <w:rPr>
          <w:rFonts w:ascii="Arial" w:hAnsi="Arial" w:cs="Arial"/>
          <w:sz w:val="24"/>
          <w:szCs w:val="24"/>
        </w:rPr>
        <w:tab/>
      </w:r>
      <w:r w:rsidRPr="00C06183">
        <w:rPr>
          <w:rStyle w:val="normaltextrun"/>
          <w:rFonts w:ascii="Arial" w:hAnsi="Arial" w:cs="Arial"/>
          <w:color w:val="000000"/>
          <w:sz w:val="24"/>
          <w:szCs w:val="24"/>
        </w:rPr>
        <w:t xml:space="preserve">Given that blood vessels in living organisms are not static, physical stresses on endothelial cells and nanoparticles must also be </w:t>
      </w:r>
      <w:proofErr w:type="gramStart"/>
      <w:r w:rsidRPr="00C06183">
        <w:rPr>
          <w:rStyle w:val="normaltextrun"/>
          <w:rFonts w:ascii="Arial" w:hAnsi="Arial" w:cs="Arial"/>
          <w:color w:val="000000"/>
          <w:sz w:val="24"/>
          <w:szCs w:val="24"/>
        </w:rPr>
        <w:t>taken into account</w:t>
      </w:r>
      <w:proofErr w:type="gramEnd"/>
      <w:r w:rsidRPr="00C06183">
        <w:rPr>
          <w:rStyle w:val="normaltextrun"/>
          <w:rFonts w:ascii="Arial" w:hAnsi="Arial" w:cs="Arial"/>
          <w:color w:val="000000"/>
          <w:sz w:val="24"/>
          <w:szCs w:val="24"/>
        </w:rPr>
        <w:t xml:space="preserve"> for more informative </w:t>
      </w:r>
      <w:r w:rsidRPr="00C06183">
        <w:rPr>
          <w:rStyle w:val="normaltextrun"/>
          <w:rFonts w:ascii="Arial" w:hAnsi="Arial" w:cs="Arial"/>
          <w:i/>
          <w:iCs/>
          <w:color w:val="000000"/>
          <w:sz w:val="24"/>
          <w:szCs w:val="24"/>
        </w:rPr>
        <w:t>in vitro</w:t>
      </w:r>
      <w:r w:rsidRPr="00C06183">
        <w:rPr>
          <w:rStyle w:val="normaltextrun"/>
          <w:rFonts w:ascii="Arial" w:hAnsi="Arial" w:cs="Arial"/>
          <w:color w:val="000000"/>
          <w:sz w:val="24"/>
          <w:szCs w:val="24"/>
        </w:rPr>
        <w:t xml:space="preserve"> studies. One of these stresses that has been studied is shear stress, which is </w:t>
      </w:r>
      <w:r w:rsidRPr="00C06183">
        <w:rPr>
          <w:rStyle w:val="normaltextrun"/>
          <w:rFonts w:ascii="Arial" w:hAnsi="Arial" w:cs="Arial"/>
          <w:color w:val="000000"/>
          <w:sz w:val="24"/>
          <w:szCs w:val="24"/>
        </w:rPr>
        <w:lastRenderedPageBreak/>
        <w:t>caused by the movement of a fluid across constraining walls (blood through blood vessels, in this case) – it has been found that this can cause cytoskeletal rearrangement in endothelial cells</w:t>
      </w:r>
      <w:r w:rsidR="00EF773E">
        <w:rPr>
          <w:rStyle w:val="normaltextrun"/>
          <w:rFonts w:ascii="Arial" w:hAnsi="Arial" w:cs="Arial"/>
          <w:color w:val="000000"/>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{"citationItems":[{"id":"ITEM-1","itemData":{"DOI":"10.1115/1.3138276","ISSN":"15288951","PMID":"7278196","abstract":"We have developed an in-vitro system for studying the dynamic response of vascular endothelial cells to controlled levels of fluid shear stress. Cultured monolayers of bovine aortic endothelial cells are placed in a cone-plate apparatus that produces a uniform fluid shear stress on replicate samples. Subconfluent endothelial cultures continuously exposed to 1-5 dynes/cm2 shear proliferate at a rate comparable to that of static cultures and reach the same saturation density (</w:instrText>
      </w:r>
      <w:r w:rsidR="008C387C">
        <w:rPr>
          <w:rFonts w:ascii="Cambria Math" w:hAnsi="Cambria Math" w:cs="Cambria Math"/>
          <w:sz w:val="24"/>
          <w:szCs w:val="24"/>
        </w:rPr>
        <w:instrText>≃</w:instrText>
      </w:r>
      <w:r w:rsidR="008C387C">
        <w:rPr>
          <w:rFonts w:ascii="Arial" w:hAnsi="Arial" w:cs="Arial"/>
          <w:sz w:val="24"/>
          <w:szCs w:val="24"/>
        </w:rPr>
        <w:instrText>1.0-1.5×.105 cells/cm2). When exposed to a laminar shear stress of 5-10 dynes/cm2, confluent monolayers undergo a time-dependent change in cell shape from polygonal to ellipsoidal and become uniformly oriented with flow. Regeneration of linear “wounds\" in confluent monolayer appears to be influenced by the direction of the applied force. Preliminary studies indicate that certain endothelial cell functions, including fluid endocytosis, cytoskeletal assembly and nonthrombogenic surface properties, also are sensitive to shear stress. These observations suggest that fluid mechanical forces can directly influence endothelial cell structure and function. Modulation of endothelial behavior by fluid shear stresses may be relevant to normal vessel wall physiology, as well as the pathogenesis of vascular diseases, such as atherosclerosis. © 1981 by ASME.","author":[{"dropping-particle":"","family":"Dewey","given":"C. F.","non-dropping-particle":"","parse-names":false,"suffix":""},{"dropping-particle":"","family":"Bussolari","given":"S. R.","non-dropping-particle":"","parse-names":false,"suffix":""},{"dropping-particle":"","family":"Gimbrone","given":"M. A.","non-dropping-particle":"","parse-names":false,"suffix":""},{"dropping-particle":"","family":"Davies","given":"P. F.","non-dropping-particle":"","parse-names":false,"suffix":""}],"container-title":"Journal of Biomechanical Engineering","id":"ITEM-1","issue":"3","issued":{"date-parts":[["1981"]]},"page":"177-185","title":"The dynamic response of vascular endothelial cells to fluid shear stress","type":"article-journal","volume":"103"},"uris":["http://www.mendeley.com/documents/?uuid=13eea051-90d3-4082-94d4-f5d97a365081"]},{"id":"ITEM-2","itemData":{"DOI":"10.1016/S0079-6107(02)00052-4","ISBN":"9724852008","ISSN":"00796107","abstract":"As blood flows, the vascular wall is constantly subjected to physical forces, which regulate important physiological blood vessel responses, as well as being implicated in the development of arterial wall pathologies. Changes in blood flow, thus generating altered hemodynamic forces are responsible for acute vessel tone regulation, the development of blood vessel structure during embryogenesis and early growth, as well as chronic remodeling and generation of adult blood vessels. The complex interaction of biomechanical forces, and more specifically shear stress, derived by the flow of blood and the vascular endothelium raise many yet to be answered questions:(1) How are mechanical forces transduced by endothelial cells into a biological response, and is there a \"shear stress receptor\"?(2) Are \"mechanical receptors\" and the final signaling pathways they evoke similar to other stimulus-response transduction systems?(3) How do vascular endothelial cells differ in their response to physiological or pathological shear stresses?(4) Can shear stress receptors or shear stress responsive genes serve as novel targets for the design of diagnostic and therapeutic modalities for cardiovascular pathologies? The current review attempts to bring together recent findings on the in vivo and in vitro responses of the vascular endothelium to shear stress and to address some of the questions raised above. © 2002 Elsevier Science Ltd. All rights reserved.","author":[{"dropping-particle":"","family":"Resnick","given":"Nitzan","non-dropping-particle":"","parse-names":false,"suffix":""},{"dropping-particle":"","family":"Yahav","given":"Hava","non-dropping-particle":"","parse-names":false,"suffix":""},{"dropping-particle":"","family":"Shay-Salit","given":"Ayelet","non-dropping-particle":"","parse-names":false,"suffix":""},{"dropping-particle":"","family":"Shushy","given":"Moran","non-dropping-particle":"","parse-names":false,"suffix":""},{"dropping-particle":"","family":"Schubert","given":"Shay","non-dropping-particle":"","parse-names":false,"suffix":""},{"dropping-particle":"","family":"Zilberman","given":"Limor Chen Michal","non-dropping-particle":"","parse-names":false,"suffix":""},{"dropping-particle":"","family":"Wofovitz","given":"Efrat","non-dropping-particle":"","parse-names":false,"suffix":""}],"container-title":"Progress in Biophysics and Molecular Biology","id":"ITEM-2","issue":"3","issued":{"date-parts":[["2003"]]},"page":"177-199","title":"Fluid shear stress and the vascular endothelium: For better and for worse","type":"article-journal","volume":"81"},"uris":["http://www.mendeley.com/documents/?uuid=3f6bbcc8-9ae1-49c5-910a-a4cae142bebb"]}],"mendeley":{"formattedCitation":"&lt;sup&gt;248,249&lt;/sup&gt;","plainTextFormattedCitation":"248,249","previouslyFormattedCitation":"&lt;sup&gt;248,249&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248,249</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bdr w:val="none" w:sz="0" w:space="0" w:color="auto" w:frame="1"/>
        </w:rPr>
        <w:t>Microfluidic models have been employed to simulate the physiological shear conditions in blood vessels. This was demonstrated in a 2D flow model by Volkov et al., who showed that shear stress is critical for the uptake of cadmium telluride quantum dots and silicon dioxide nanoparticles in human umbilical vein endothelial cells</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{"citationItems":[{"id":"ITEM-1","itemData":{"DOI":"10.2147/IJN.S30624","ISSN":"11769114","abstract":"Vascular endothelium is a potential target for therapeutic intervention in diverse pathological processes, including inflammation, atherosclerosis, and thrombosis. By virtue of their intravascular topography, endothelial cells are exposed to dynamically changing mechanical forces that are generated by blood flow. In the present study, we investigated the interactions of negatively charged 2.7 nm and 4.7 nm CdTe quantum dots and 50 nm silica particles with cultured endothelial cells under regulated shear stress (SS) conditions. Cultured cells within the engineered microfluidic channels were exposed to nanoparticles under static condition or under low, medium, and high SS rates (0.05, 0.1, and 0.5 Pa, respectively). Vascular inflammation and associated endothelial damage were simulated by treatment with tumor necrosis factor-α (TNF-α) or by compromising the cell membrane with the use of low Triton X-100 concentration. Our results demonstrate that SS is critical for nanoparticle uptake by endothelial cells. Maximal uptake was registered at the SS rate of 0.05 Pa. By contrast, endothelial exposure to mild detergents or TNF-α treatment had no significant effect on nanoparticle uptake. Atomic force microscopy demonstrated the increased formation of actin-based cytoskeletal structures, including stress fibers and membrane ruffles, which have been associated with nanoparticle endocytosis. In conclusion, the combinatorial effects of SS rates, vascular endothelial conditions, and nanoparticle physical and chemical properties must be taken into account for the successful design of nanoparticle-drug conjugates intended for parenteral delivery.","author":[{"dropping-particle":"","family":"Samuel","given":"Stephen Paul","non-dropping-particle":"","parse-names":false,"suffix":""},{"dropping-particle":"","family":"Jain","given":"Namrata","non-dropping-particle":"","parse-names":false,"suffix":""},{"dropping-particle":"","family":"O'Dowd","given":"Frank","non-dropping-particle":"","parse-names":false,"suffix":""},{"dropping-particle":"","family":"Paul","given":"Toby","non-dropping-particle":"","parse-names":false,"suffix":""},{"dropping-particle":"","family":"Kashanin","given":"Dmitry","non-dropping-particle":"","parse-names":false,"suffix":""},{"dropping-particle":"","family":"Gerard","given":"Valerie A.","non-dropping-particle":"","parse-names":false,"suffix":""},{"dropping-particle":"","family":"Gun'ko","given":"Yurii K.","non-dropping-particle":"","parse-names":false,"suffix":""},{"dropping-particle":"","family":"Prina-Mello","given":"Adriele","non-dropping-particle":"","parse-names":false,"suffix":""},{"dropping-particle":"","family":"Volkov","given":"Yuri","non-dropping-particle":"","parse-names":false,"suffix":""}],"container-title":"International Journal of Nanomedicine","id":"ITEM-1","issued":{"date-parts":[["2012"]]},"page":"2943-2956","title":"Multifactorial determinants that govern nanoparticle uptake by human endothelial cells under flow","type":"article-journal","volume":"7"},"uris":["http://www.mendeley.com/documents/?uuid=69dbaade-7826-3969-92b7-fdc7c645a03b"]}],"mendeley":{"formattedCitation":"&lt;sup&gt;250&lt;/sup&gt;","plainTextFormattedCitation":"250","previouslyFormattedCitation":"&lt;sup&gt;250&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250</w:t>
      </w:r>
      <w:r w:rsidRPr="00C06183">
        <w:rPr>
          <w:rFonts w:ascii="Arial" w:hAnsi="Arial" w:cs="Arial"/>
          <w:sz w:val="24"/>
          <w:szCs w:val="24"/>
        </w:rPr>
        <w:fldChar w:fldCharType="end"/>
      </w:r>
      <w:r w:rsidRPr="00C06183">
        <w:rPr>
          <w:rFonts w:ascii="Arial" w:hAnsi="Arial" w:cs="Arial"/>
          <w:sz w:val="24"/>
          <w:szCs w:val="24"/>
        </w:rPr>
        <w:t xml:space="preserve"> </w:t>
      </w:r>
      <w:r w:rsidRPr="00C06183">
        <w:rPr>
          <w:rStyle w:val="normaltextrun"/>
          <w:rFonts w:ascii="Arial" w:hAnsi="Arial" w:cs="Arial"/>
          <w:color w:val="000000"/>
          <w:sz w:val="24"/>
          <w:szCs w:val="24"/>
        </w:rPr>
        <w:t xml:space="preserve">Lipke et al. developed 3D microfluidic chips that model tumor microvascular networks, which are now commercially available prefabricated through the company </w:t>
      </w:r>
      <w:proofErr w:type="spellStart"/>
      <w:r w:rsidRPr="00C06183">
        <w:rPr>
          <w:rStyle w:val="normaltextrun"/>
          <w:rFonts w:ascii="Arial" w:hAnsi="Arial" w:cs="Arial"/>
          <w:color w:val="000000"/>
          <w:sz w:val="24"/>
          <w:szCs w:val="24"/>
        </w:rPr>
        <w:t>SynVivo</w:t>
      </w:r>
      <w:proofErr w:type="spellEnd"/>
      <w:r w:rsidRPr="00C06183">
        <w:rPr>
          <w:rStyle w:val="normaltextrun"/>
          <w:rFonts w:ascii="Arial" w:hAnsi="Arial" w:cs="Arial"/>
          <w:color w:val="000000"/>
          <w:sz w:val="24"/>
          <w:szCs w:val="24"/>
        </w:rPr>
        <w:t>, to test the efficacy of anti-cancer drugs in metastatic and nonmetastatic breast cancer cells</w:t>
      </w:r>
      <w:r w:rsidR="00EF773E">
        <w:rPr>
          <w:rStyle w:val="normaltextrun"/>
          <w:rFonts w:ascii="Arial" w:hAnsi="Arial" w:cs="Arial"/>
          <w:color w:val="000000"/>
          <w:sz w:val="24"/>
          <w:szCs w:val="24"/>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{"citationItems":[{"id":"ITEM-1","itemData":{"DOI":"10.1038/s41598-018-21075-9","ISSN":"20452322","abstract":"Assessment of anti-cancer drug efficacy in in vitro three-dimensional (3D) bioengineered cancer models provides important contextual and relevant information towards pre-clinical translation of potential drug candidates. However, currently established models fail to sufficiently recapitulate complex tumor heterogeneity. Here we present a chip-based tumor-mimetic platform incorporating a 3D in vitro breast cancer model with a tumor-mimetic microvascular network, replicating the pathophysiological architecture of native vascularized breast tumors. The microfluidic platform facilitated formation of mature, lumenized and flow-aligned endothelium under physiological flow recapitulating both high and low perfused tumor regions. Metastatic and non-metastatic breast cancer cells were maintained in long-term 3D co-culture with stromal fibroblasts in a poly(ethylene glycol)-fibrinogen hydrogel matrix within adjoining tissue chambers. The interstitial space between the chambers and endothelium contained pores to mimic the \"leaky\" vasculature found in vivo and facilitate cancer cell-endothelial cell communication. Microvascular pattern-dependent flow variations induced concentration gradients within the 3D tumor mass, leading to morphological tumor heterogeneity. Anti-cancer drugs displayed cell type- and flow pattern-dependent effects on cancer cell viability, viable tumor area and associated endothelial cytotoxicity. Overall, the developed microfluidic tumor-mimetic platform facilitates investigation of cancer-stromal-endothelial interactions and highlights the role of a fluidic, tumor-mimetic vascular network on anti-cancer drug delivery and efficacy for improved translation towards pre-clinical studies.","author":[{"dropping-particle":"","family":"Pradhan","given":"Shantanu","non-dropping-particle":"","parse-names":false,"suffix":""},{"dropping-particle":"","family":"Smith","given":"Ashley M.","non-dropping-particle":"","parse-names":false,"suffix":""},{"dropping-particle":"","family":"Garson","given":"Charles J.","non-dropping-particle":"","parse-names":false,"suffix":""},{"dropping-particle":"","family":"Hassani","given":"Iman","non-dropping-particle":"","parse-names":false,"suffix":""},{"dropping-particle":"","family":"Seeto","given":"Wen J.","non-dropping-particle":"","parse-names":false,"suffix":""},{"dropping-particle":"","family":"Pant","given":"Kapil","non-dropping-particle":"","parse-names":false,"suffix":""},{"dropping-particle":"","family":"Arnold","given":"Robert D.","non-dropping-particle":"","parse-names":false,"suffix":""},{"dropping-particle":"","family":"Prabhakarpandian","given":"Balabhaskar","non-dropping-particle":"","parse-names":false,"suffix":""},{"dropping-particle":"","family":"Lipke","given":"Elizabeth A.","non-dropping-particle":"","parse-names":false,"suffix":""}],"container-title":"Scientific Reports","id":"ITEM-1","issue":"1","issued":{"date-parts":[["2018"]]},"page":"1-15","publisher":"Springer US","title":"A Microvascularized Tumor-mimetic Platform for Assessing Anti-cancer Drug Efficacy","type":"article-journal","volume":"8"},"uris":["http://www.mendeley.com/documents/?uuid=daa0036e-1533-4e7f-aa7a-bf4932eceec2"]}],"mendeley":{"formattedCitation":"&lt;sup&gt;62&lt;/sup&gt;","plainTextFormattedCitation":"62","previouslyFormattedCitation":"&lt;sup&gt;62&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62</w:t>
      </w:r>
      <w:r w:rsidRPr="00C06183">
        <w:rPr>
          <w:rFonts w:ascii="Arial" w:hAnsi="Arial" w:cs="Arial"/>
          <w:sz w:val="24"/>
          <w:szCs w:val="24"/>
        </w:rPr>
        <w:fldChar w:fldCharType="end"/>
      </w:r>
      <w:r w:rsidRPr="00C06183">
        <w:rPr>
          <w:rStyle w:val="normaltextrun"/>
          <w:rFonts w:ascii="Arial" w:hAnsi="Arial" w:cs="Arial"/>
          <w:color w:val="000000"/>
          <w:sz w:val="24"/>
          <w:szCs w:val="24"/>
          <w:bdr w:val="none" w:sz="0" w:space="0" w:color="auto" w:frame="1"/>
        </w:rPr>
        <w:t xml:space="preserve"> Chan et al. have demonstrated a 3D microfluidic model of entire blood vessel networks that can be coated with endothelial cells for a much closer representation of </w:t>
      </w:r>
      <w:r w:rsidRPr="00C06183">
        <w:rPr>
          <w:rStyle w:val="normaltextrun"/>
          <w:rFonts w:ascii="Arial" w:hAnsi="Arial" w:cs="Arial"/>
          <w:i/>
          <w:iCs/>
          <w:color w:val="000000"/>
          <w:sz w:val="24"/>
          <w:szCs w:val="24"/>
          <w:bdr w:val="none" w:sz="0" w:space="0" w:color="auto" w:frame="1"/>
        </w:rPr>
        <w:t>in vivo</w:t>
      </w:r>
      <w:r w:rsidRPr="00C06183">
        <w:rPr>
          <w:rStyle w:val="normaltextrun"/>
          <w:rFonts w:ascii="Arial" w:hAnsi="Arial" w:cs="Arial"/>
          <w:color w:val="000000"/>
          <w:sz w:val="24"/>
          <w:szCs w:val="24"/>
          <w:bdr w:val="none" w:sz="0" w:space="0" w:color="auto" w:frame="1"/>
        </w:rPr>
        <w:t xml:space="preserve"> conditions in an </w:t>
      </w:r>
      <w:r w:rsidRPr="00C06183">
        <w:rPr>
          <w:rStyle w:val="normaltextrun"/>
          <w:rFonts w:ascii="Arial" w:hAnsi="Arial" w:cs="Arial"/>
          <w:i/>
          <w:iCs/>
          <w:color w:val="000000"/>
          <w:sz w:val="24"/>
          <w:szCs w:val="24"/>
          <w:bdr w:val="none" w:sz="0" w:space="0" w:color="auto" w:frame="1"/>
        </w:rPr>
        <w:t>in vitro</w:t>
      </w:r>
      <w:r w:rsidRPr="00C06183">
        <w:rPr>
          <w:rStyle w:val="normaltextrun"/>
          <w:rFonts w:ascii="Arial" w:hAnsi="Arial" w:cs="Arial"/>
          <w:color w:val="000000"/>
          <w:sz w:val="24"/>
          <w:szCs w:val="24"/>
          <w:bdr w:val="none" w:sz="0" w:space="0" w:color="auto" w:frame="1"/>
        </w:rPr>
        <w:t xml:space="preserve"> system, designed by casting dissolvable 3D printed models of vessel network derived from 3D fluorescent imaging in polydimethylsiloxane</w:t>
      </w:r>
      <w:r w:rsidR="00EF773E">
        <w:rPr>
          <w:rStyle w:val="normaltextrun"/>
          <w:rFonts w:ascii="Arial" w:hAnsi="Arial" w:cs="Arial"/>
          <w:color w:val="000000"/>
          <w:sz w:val="24"/>
          <w:szCs w:val="24"/>
          <w:bdr w:val="none" w:sz="0" w:space="0" w:color="auto" w:frame="1"/>
        </w:rPr>
        <w:t>.</w:t>
      </w:r>
      <w:r w:rsidRPr="00C06183">
        <w:rPr>
          <w:rFonts w:ascii="Arial" w:hAnsi="Arial" w:cs="Arial"/>
          <w:sz w:val="24"/>
          <w:szCs w:val="24"/>
        </w:rPr>
        <w:fldChar w:fldCharType="begin" w:fldLock="1"/>
      </w:r>
      <w:r w:rsidR="00DF25E0">
        <w:rPr>
          <w:rFonts w:ascii="Arial" w:hAnsi="Arial" w:cs="Arial"/>
          <w:sz w:val="24"/>
          <w:szCs w:val="24"/>
        </w:rPr>
        <w:instrText>ADDIN CSL_CITATION {"citationItems":[{"id":"ITEM-1","itemData":{"DOI":"10.1002/admt.202000103","ISSN":"2365-709X","author":[{"dropping-particle":"","family":"Chen","given":"Yih Yang","non-dropping-particle":"","parse-names":false,"suffix":""},{"dropping-particle":"","family":"Kingston","given":"Benjamin R.","non-dropping-particle":"","parse-names":false,"suffix":""},{"dropping-particle":"","family":"Chan","given":"Warren C. W.","non-dropping-particle":"","parse-names":false,"suffix":""}],"container-title":"Advanced Materials Technologies","id":"ITEM-1","issued":{"date-parts":[["2020","4","27"]]},"page":"2000103","title":"Transcribing In Vivo Blood Vessel Networks into In Vitro Perfusable Microfluidic Devices","type":"article-journal"},"uris":["http://www.mendeley.com/documents/?uuid=63b7a521-480a-4adb-907c-94597c45870a"]}],"mendeley":{"formattedCitation":"&lt;sup&gt;63&lt;/sup&gt;","plainTextFormattedCitation":"63","previouslyFormattedCitation":"&lt;sup&gt;63&lt;/sup&gt;"},"properties":{"noteIndex":0},"schema":"https://github.com/citation-style-language/schema/raw/master/csl-citation.json"}</w:instrText>
      </w:r>
      <w:r w:rsidRPr="00C06183">
        <w:rPr>
          <w:rFonts w:ascii="Arial" w:hAnsi="Arial" w:cs="Arial"/>
          <w:sz w:val="24"/>
          <w:szCs w:val="24"/>
        </w:rPr>
        <w:fldChar w:fldCharType="separate"/>
      </w:r>
      <w:r w:rsidR="009E6E61" w:rsidRPr="009E6E61">
        <w:rPr>
          <w:rFonts w:ascii="Arial" w:hAnsi="Arial" w:cs="Arial"/>
          <w:noProof/>
          <w:sz w:val="24"/>
          <w:szCs w:val="24"/>
          <w:vertAlign w:val="superscript"/>
        </w:rPr>
        <w:t>63</w:t>
      </w:r>
      <w:r w:rsidRPr="00C06183">
        <w:rPr>
          <w:rFonts w:ascii="Arial" w:hAnsi="Arial" w:cs="Arial"/>
          <w:sz w:val="24"/>
          <w:szCs w:val="24"/>
        </w:rPr>
        <w:fldChar w:fldCharType="end"/>
      </w:r>
      <w:r w:rsidRPr="00C06183">
        <w:rPr>
          <w:rFonts w:ascii="Arial" w:hAnsi="Arial" w:cs="Arial"/>
          <w:sz w:val="24"/>
          <w:szCs w:val="24"/>
        </w:rPr>
        <w:t xml:space="preserve"> Laser ablation has also been explored as a method for generating highly accurate and precise vascular networks within hydrogels through the degradation of the hydrogel with a pulsed laser on an image-guided control system, so that cells can then be seeded in the newly formed channels</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10.1002/adma.201601099","ISSN":"09359648","author":[{"dropping-particle":"","family":"Brandenberg","given":"Nathalie","non-dropping-particle":"","parse-names":false,"suffix":""},{"dropping-particle":"","family":"Lutolf","given":"Matthias P.","non-dropping-particle":"","parse-names":false,"suffix":""}],"container-title":"Advanced Materials","id":"ITEM-1","issue":"34","issued":{"date-parts":[["2016","9"]]},"page":"7450-7456","title":"In Situ Patterning of Microfluidic Networks in 3D Cell-Laden Hydrogels","type":"article-journal","volume":"28"},"uris":["http://www.mendeley.com/documents/?uuid=09f3e390-035e-430d-86d4-7bc4e1654b7f"]},{"id":"ITEM-2","itemData":{"DOI":"10.1002/adhm.201600351","ISSN":"21922640","author":[{"dropping-particle":"","family":"Heintz","given":"Keely A.","non-dropping-particle":"","parse-names":false,"suffix":""},{"dropping-particle":"","family":"Bregenzer","given":"Michael E.","non-dropping-particle":"","parse-names":false,"suffix":""},{"dropping-particle":"","family":"Mantle","given":"Jennifer L.","non-dropping-particle":"","parse-names":false,"suffix":""},{"dropping-particle":"","family":"Lee","given":"Kelvin H.","non-dropping-particle":"","parse-names":false,"suffix":""},{"dropping-particle":"","family":"West","given":"Jennifer L.","non-dropping-particle":"","parse-names":false,"suffix":""},{"dropping-particle":"","family":"Slater","given":"John H.","non-dropping-particle":"","parse-names":false,"suffix":""}],"container-title":"Advanced Healthcare Materials","id":"ITEM-2","issue":"17","issued":{"date-parts":[["2016","9"]]},"page":"2153-2160","title":"Fabrication of 3D Biomimetic Microfluidic Networks in Hydrogels","type":"article-journal","volume":"5"},"uris":["http://www.mendeley.com/documents/?uuid=12e92098-a75c-403b-ba5a-9b8b2dffdaa9"]}],"mendeley":{"formattedCitation":"&lt;sup&gt;251,252&lt;/sup&gt;","plainTextFormattedCitation":"251,252","previouslyFormattedCitation":"&lt;sup&gt;251,252&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251,252</w:t>
      </w:r>
      <w:r w:rsidRPr="00C06183">
        <w:rPr>
          <w:rFonts w:ascii="Arial" w:hAnsi="Arial" w:cs="Arial"/>
          <w:sz w:val="24"/>
          <w:szCs w:val="24"/>
        </w:rPr>
        <w:fldChar w:fldCharType="end"/>
      </w:r>
      <w:r w:rsidRPr="00C06183">
        <w:rPr>
          <w:rFonts w:ascii="Arial" w:hAnsi="Arial" w:cs="Arial"/>
          <w:sz w:val="24"/>
          <w:szCs w:val="24"/>
        </w:rPr>
        <w:t xml:space="preserve"> These strategies for engineering vasculature for </w:t>
      </w:r>
      <w:r w:rsidRPr="00C06183">
        <w:rPr>
          <w:rFonts w:ascii="Arial" w:hAnsi="Arial" w:cs="Arial"/>
          <w:i/>
          <w:iCs/>
          <w:sz w:val="24"/>
          <w:szCs w:val="24"/>
        </w:rPr>
        <w:t xml:space="preserve">in vitro </w:t>
      </w:r>
      <w:r w:rsidRPr="00C06183">
        <w:rPr>
          <w:rFonts w:ascii="Arial" w:hAnsi="Arial" w:cs="Arial"/>
          <w:sz w:val="24"/>
          <w:szCs w:val="24"/>
        </w:rPr>
        <w:t xml:space="preserve">studies and implantations, along with several others, are discussed in detail in recently published reviews by </w:t>
      </w:r>
      <w:proofErr w:type="spellStart"/>
      <w:r w:rsidRPr="00C06183">
        <w:rPr>
          <w:rFonts w:ascii="Arial" w:hAnsi="Arial" w:cs="Arial"/>
          <w:sz w:val="24"/>
          <w:szCs w:val="24"/>
        </w:rPr>
        <w:t>Vunjak-Novakoiv</w:t>
      </w:r>
      <w:proofErr w:type="spellEnd"/>
      <w:r w:rsidRPr="00C06183">
        <w:rPr>
          <w:rFonts w:ascii="Arial" w:hAnsi="Arial" w:cs="Arial"/>
          <w:sz w:val="24"/>
          <w:szCs w:val="24"/>
        </w:rPr>
        <w:t xml:space="preserve"> et al.</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10.1002/adfm.201910811","ISSN":"1616-301X","author":[{"dropping-particle":"","family":"Fleischer","given":"Sharon","non-dropping-particle":"","parse-names":false,"suffix":""},{"dropping-particle":"","family":"Tavakol","given":"Daniel Naveed","non-dropping-particle":"","parse-names":false,"suffix":""},{"dropping-particle":"","family":"Vunjak</w:instrText>
      </w:r>
      <w:r w:rsidR="008C387C">
        <w:rPr>
          <w:rFonts w:ascii="Cambria Math" w:hAnsi="Cambria Math" w:cs="Cambria Math"/>
          <w:sz w:val="24"/>
          <w:szCs w:val="24"/>
        </w:rPr>
        <w:instrText>‐</w:instrText>
      </w:r>
      <w:r w:rsidR="008C387C">
        <w:rPr>
          <w:rFonts w:ascii="Arial" w:hAnsi="Arial" w:cs="Arial"/>
          <w:sz w:val="24"/>
          <w:szCs w:val="24"/>
        </w:rPr>
        <w:instrText>Novakovic","given":"Gordana","non-dropping-particle":"","parse-names":false,"suffix":""}],"container-title":"Advanced Functional Materials","id":"ITEM-1","issued":{"date-parts":[["2020","6","11"]]},"page":"1910811","title":"From Arteries to Capillaries: Approaches to Engineering Human Vasculature","type":"article-journal"},"uris":["http://www.mendeley.com/documents/?uuid=55c89c88-06e6-483c-a2e0-81863b168090"]}],"mendeley":{"formattedCitation":"&lt;sup&gt;253&lt;/sup&gt;","plainTextFormattedCitation":"253","previouslyFormattedCitation":"&lt;sup&gt;253&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253</w:t>
      </w:r>
      <w:r w:rsidRPr="00C06183">
        <w:rPr>
          <w:rFonts w:ascii="Arial" w:hAnsi="Arial" w:cs="Arial"/>
          <w:sz w:val="24"/>
          <w:szCs w:val="24"/>
        </w:rPr>
        <w:fldChar w:fldCharType="end"/>
      </w:r>
      <w:r w:rsidRPr="00C06183">
        <w:rPr>
          <w:rFonts w:ascii="Arial" w:hAnsi="Arial" w:cs="Arial"/>
          <w:sz w:val="24"/>
          <w:szCs w:val="24"/>
        </w:rPr>
        <w:t xml:space="preserve"> and Slater et al</w:t>
      </w:r>
      <w:r w:rsidR="00EF773E">
        <w:rPr>
          <w:rFonts w:ascii="Arial" w:hAnsi="Arial" w:cs="Arial"/>
          <w:sz w:val="24"/>
          <w:szCs w:val="24"/>
        </w:rPr>
        <w:t>.</w:t>
      </w:r>
      <w:r w:rsidRPr="00C06183">
        <w:rPr>
          <w:rFonts w:ascii="Arial" w:hAnsi="Arial" w:cs="Arial"/>
          <w:sz w:val="24"/>
          <w:szCs w:val="24"/>
        </w:rPr>
        <w:fldChar w:fldCharType="begin" w:fldLock="1"/>
      </w:r>
      <w:r w:rsidR="008C387C">
        <w:rPr>
          <w:rFonts w:ascii="Arial" w:hAnsi="Arial" w:cs="Arial"/>
          <w:sz w:val="24"/>
          <w:szCs w:val="24"/>
        </w:rPr>
        <w:instrText>ADDIN CSL_CITATION {"citationItems":[{"id":"ITEM-1","itemData":{"DOI":"10.1002/adhm.201901255","ISSN":"2192-2640","author":[{"dropping-particle":"","family":"Pradhan","given":"Shantanu","non-dropping-particle":"","parse-names":false,"suffix":""},{"dropping-particle":"","family":"Banda","given":"Omar A.","non-dropping-particle":"","parse-names":false,"suffix":""},{"dropping-particle":"","family":"Farino","given":"Cindy J.","non-dropping-particle":"","parse-names":false,"suffix":""},{"dropping-particle":"","family":"Sperduto","given":"John L.","non-dropping-particle":"","parse-names":false,"suffix":""},{"dropping-particle":"","family":"Keller","given":"Keely A.","non-dropping-particle":"","parse-names":false,"suffix":""},{"dropping-particle":"","family":"Taitano","given":"Ryan","non-dropping-particle":"","parse-names":false,"suffix":""},{"dropping-particle":"","family":"Slater","given":"John H.","non-dropping-particle":"","parse-names":false,"suffix":""}],"container-title":"Advanced Healthcare Materials","id":"ITEM-1","issue":"8","issued":{"date-parts":[["2020","4","25"]]},"page":"1901255","title":"Biofabrication Strategies and Engineered In Vitro Systems for Vascular Mechanobiology","type":"article-journal","volume":"9"},"uris":["http://www.mendeley.com/documents/?uuid=e1ec578c-d4f7-4c78-8a7b-093f2fd93af1"]}],"mendeley":{"formattedCitation":"&lt;sup&gt;254&lt;/sup&gt;","plainTextFormattedCitation":"254","previouslyFormattedCitation":"&lt;sup&gt;254&lt;/sup&gt;"},"properties":{"noteIndex":0},"schema":"https://github.com/citation-style-language/schema/raw/master/csl-citation.json"}</w:instrText>
      </w:r>
      <w:r w:rsidRPr="00C06183">
        <w:rPr>
          <w:rFonts w:ascii="Arial" w:hAnsi="Arial" w:cs="Arial"/>
          <w:sz w:val="24"/>
          <w:szCs w:val="24"/>
        </w:rPr>
        <w:fldChar w:fldCharType="separate"/>
      </w:r>
      <w:r w:rsidR="009D7D40" w:rsidRPr="009D7D40">
        <w:rPr>
          <w:rFonts w:ascii="Arial" w:hAnsi="Arial" w:cs="Arial"/>
          <w:noProof/>
          <w:sz w:val="24"/>
          <w:szCs w:val="24"/>
          <w:vertAlign w:val="superscript"/>
        </w:rPr>
        <w:t>254</w:t>
      </w:r>
      <w:r w:rsidRPr="00C06183">
        <w:rPr>
          <w:rFonts w:ascii="Arial" w:hAnsi="Arial" w:cs="Arial"/>
          <w:sz w:val="24"/>
          <w:szCs w:val="24"/>
        </w:rPr>
        <w:fldChar w:fldCharType="end"/>
      </w:r>
      <w:r w:rsidRPr="00C06183">
        <w:rPr>
          <w:rFonts w:ascii="Arial" w:hAnsi="Arial" w:cs="Arial"/>
          <w:sz w:val="24"/>
          <w:szCs w:val="24"/>
        </w:rPr>
        <w:t xml:space="preserve"> </w:t>
      </w:r>
    </w:p>
    <w:p w14:paraId="4B1C3FF3" w14:textId="5AC1F96A" w:rsidR="00A22975" w:rsidRDefault="00C06183" w:rsidP="00A22975">
      <w:pPr>
        <w:pStyle w:val="paragraph"/>
        <w:spacing w:before="0" w:beforeAutospacing="0" w:after="0" w:afterAutospacing="0" w:line="480" w:lineRule="auto"/>
        <w:ind w:firstLine="720"/>
        <w:jc w:val="both"/>
        <w:textAlignment w:val="baseline"/>
        <w:rPr>
          <w:rFonts w:ascii="Arial" w:hAnsi="Arial" w:cs="Arial"/>
        </w:rPr>
      </w:pPr>
      <w:r w:rsidRPr="00C06183">
        <w:rPr>
          <w:rStyle w:val="normaltextrun"/>
          <w:rFonts w:ascii="Arial" w:hAnsi="Arial" w:cs="Arial"/>
          <w:color w:val="000000"/>
          <w:bdr w:val="none" w:sz="0" w:space="0" w:color="auto" w:frame="1"/>
        </w:rPr>
        <w:t xml:space="preserve">The uptake of nanoparticles </w:t>
      </w:r>
      <w:r w:rsidRPr="00C06183">
        <w:rPr>
          <w:rStyle w:val="normaltextrun"/>
          <w:rFonts w:ascii="Arial" w:hAnsi="Arial" w:cs="Arial"/>
          <w:i/>
          <w:iCs/>
          <w:color w:val="000000"/>
          <w:bdr w:val="none" w:sz="0" w:space="0" w:color="auto" w:frame="1"/>
        </w:rPr>
        <w:t>in vivo</w:t>
      </w:r>
      <w:r w:rsidRPr="00C06183">
        <w:rPr>
          <w:rStyle w:val="normaltextrun"/>
          <w:rFonts w:ascii="Arial" w:hAnsi="Arial" w:cs="Arial"/>
          <w:color w:val="000000"/>
          <w:bdr w:val="none" w:sz="0" w:space="0" w:color="auto" w:frame="1"/>
        </w:rPr>
        <w:t xml:space="preserve"> is, by nature, more difficult to visualize and study. </w:t>
      </w:r>
      <w:r w:rsidRPr="00C06183">
        <w:rPr>
          <w:rStyle w:val="normaltextrun"/>
          <w:rFonts w:ascii="Arial" w:hAnsi="Arial" w:cs="Arial"/>
          <w:color w:val="000000"/>
          <w:shd w:val="clear" w:color="auto" w:fill="FFFFFF"/>
        </w:rPr>
        <w:t xml:space="preserve">It is possible that transcytosis rates in tumor blood vessels decrease with age, and that vessels without pericytes have lower transcytosis rates than those with pericytes, given that </w:t>
      </w:r>
      <w:r w:rsidRPr="00C06183">
        <w:rPr>
          <w:rStyle w:val="eop"/>
          <w:rFonts w:ascii="Arial" w:eastAsia="MS Mincho" w:hAnsi="Arial" w:cs="Arial"/>
        </w:rPr>
        <w:t xml:space="preserve">it has recently been shown that transcytosis through the blood brain barrier is </w:t>
      </w:r>
      <w:r w:rsidRPr="00C06183">
        <w:rPr>
          <w:rStyle w:val="eop"/>
          <w:rFonts w:ascii="Arial" w:eastAsia="MS Mincho" w:hAnsi="Arial" w:cs="Arial"/>
        </w:rPr>
        <w:lastRenderedPageBreak/>
        <w:t>impaired with age, coupled with a loss of pericytes</w:t>
      </w:r>
      <w:r w:rsidR="00BF7DB5">
        <w:rPr>
          <w:rStyle w:val="eop"/>
          <w:rFonts w:ascii="Arial" w:eastAsia="MS Mincho" w:hAnsi="Arial" w:cs="Arial"/>
        </w:rPr>
        <w:t>,</w:t>
      </w:r>
      <w:r w:rsidRPr="00C06183">
        <w:rPr>
          <w:rStyle w:val="eop"/>
          <w:rFonts w:ascii="Arial" w:eastAsia="MS Mincho" w:hAnsi="Arial" w:cs="Arial"/>
        </w:rPr>
        <w:fldChar w:fldCharType="begin" w:fldLock="1"/>
      </w:r>
      <w:r w:rsidR="008C387C">
        <w:rPr>
          <w:rStyle w:val="eop"/>
          <w:rFonts w:ascii="Arial" w:eastAsia="MS Mincho" w:hAnsi="Arial" w:cs="Arial"/>
        </w:rPr>
        <w:instrText>ADDIN CSL_CITATION {"citationItems":[{"id":"ITEM-1","itemData":{"DOI":"10.1038/s41586-020-2453-z","ISSN":"0028-0836","abstract":"The vascular interface of the brain, known as the blood–brain barrier (BBB), is understood to maintain brain function in part via its low transcellular permeability1–3. Yet, recent studies have demonstrated that brain ageing is sensitive to circulatory proteins4,5. Thus, it is unclear whether permeability to individually injected exogenous tracers—as is standard in BBB studies—fully represents blood-to-brain transport. Here we label hundreds of proteins constituting the mouse blood plasma proteome, and upon their systemic administration, study the BBB with its physiological ligand. We find that plasma proteins readily permeate the healthy brain parenchyma, with transport maintained by BBB-specific transcriptional programmes. Unlike IgG antibody, plasma protein uptake diminishes in the aged brain, driven by an age-related shift in transport from ligand-specific receptor-mediated to non-specific caveolar transcytosis. This age-related shift occurs alongside a specific loss of pericyte coverage. Pharmacological inhibition of the age-upregulated phosphatase ALPL, a predicted negative regulator of transport, enhances brain uptake of therapeutically relevant transferrin, transferrin receptor antibody and plasma. These findings reveal the extent of physiological protein transcytosis to the healthy brain, a mechanism of widespread BBB dysfunction with age and a strategy for enhanced drug delivery. Tagging and tracking the blood plasma proteome as a discovery tool reveals widespread endogenous transport of proteins into the healthy brain and the pharmacologically modifiable mechanisms by which the brain endothelium regulates this process with age.","author":[{"dropping-particle":"","family":"Yang","given":"Andrew C.","non-dropping-particle":"","parse-names":false,"suffix":""},{"dropping-particle":"","family":"Stevens","given":"Marc Y.","non-dropping-particle":"","parse-names":false,"suffix":""},{"dropping-particle":"","family":"Chen","given":"Michelle B.","non-dropping-particle":"","parse-names":false,"suffix":""},{"dropping-particle":"","family":"Lee","given":"Davis P.","non-dropping-particle":"","parse-names":false,"suffix":""},{"dropping-particle":"","family":"Stähli","given":"Daniel","non-dropping-particle":"","parse-names":false,"suffix":""},{"dropping-particle":"","family":"Gate","given":"David","non-dropping-particle":"","parse-names":false,"suffix":""},{"dropping-particle":"","family":"Contrepois","given":"Kévin","non-dropping-particle":"","parse-names":false,"suffix":""},{"dropping-particle":"","family":"Chen","given":"Winnie","non-dropping-particle":"","parse-names":false,"suffix":""},{"dropping-particle":"","family":"Iram","given":"Tal","non-dropping-particle":"","parse-names":false,"suffix":""},{"dropping-particle":"","family":"Zhang","given":"Lichao","non-dropping-particle":"","parse-names":false,"suffix":""},{"dropping-particle":"","family":"Vest","given":"Ryan T.","non-dropping-particle":"","parse-names":false,"suffix":""},{"dropping-particle":"","family":"Chaney","given":"Aisling","non-dropping-particle":"","parse-names":false,"suffix":""},{"dropping-particle":"","family":"Lehallier","given":"Benoit","non-dropping-particle":"","parse-names":false,"suffix":""},{"dropping-particle":"","family":"Olsson","given":"Niclas","non-dropping-particle":"","parse-names":false,"suffix":""},{"dropping-particle":"","family":"Bois","given":"Haley","non-dropping-particle":"du","parse-names":false,"suffix":""},{"dropping-particle":"","family":"Hsieh","given":"Ryan","non-dropping-particle":"","parse-names":false,"suffix":""},{"dropping-particle":"","family":"Cropper","given":"Haley C.","non-dropping-particle":"","parse-names":false,"suffix":""},{"dropping-particle":"","family":"Berdnik","given":"Daniela","non-dropping-particle":"","parse-names":false,"suffix":""},{"dropping-particle":"","family":"Li","given":"Lulin","non-dropping-particle":"","parse-names":false,"suffix":""},{"dropping-particle":"","family":"Wang","given":"Elizabeth Y.","non-dropping-particle":"","parse-names":false,"suffix":""},{"dropping-particle":"","family":"Traber","given":"Gavin M.","non-dropping-particle":"","parse-names":false,"suffix":""},{"dropping-particle":"","family":"Bertozzi","given":"Carolyn R.","non-dropping-particle":"","parse-names":false,"suffix":""},{"dropping-particle":"","family":"Luo","given":"Jian","non-dropping-particle":"","parse-names":false,"suffix":""},{"dropping-particle":"","family":"Snyder","given":"Michael P.","non-dropping-particle":"","parse-names":false,"suffix":""},{"dropping-particle":"","family":"Elias","given":"Joshua E.","non-dropping-particle":"","parse-names":false,"suffix":""},{"dropping-particle":"","family":"Quake","given":"Stephen R.","non-dropping-particle":"","parse-names":false,"suffix":""},{"dropping-particle":"","family":"James","given":"Michelle L.","non-dropping-particle":"","parse-names":false,"suffix":""},{"dropping-particle":"","family":"Wyss-Coray","given":"Tony","non-dropping-particle":"","parse-names":false,"suffix":""}],"container-title":"Nature","id":"ITEM-1","issued":{"date-parts":[["2020"]]},"page":"1-6","title":"Physiological blood–brain transport is impaired with age by a shift in transcytosis","type":"article-journal"},"uris":["http://www.mendeley.com/documents/?uuid=313b8561-a894-4be5-b7d9-c242ee42f595"]}],"mendeley":{"formattedCitation":"&lt;sup&gt;255&lt;/sup&gt;","plainTextFormattedCitation":"255","previouslyFormattedCitation":"&lt;sup&gt;255&lt;/sup&gt;"},"properties":{"noteIndex":0},"schema":"https://github.com/citation-style-language/schema/raw/master/csl-citation.json"}</w:instrText>
      </w:r>
      <w:r w:rsidRPr="00C06183">
        <w:rPr>
          <w:rStyle w:val="eop"/>
          <w:rFonts w:ascii="Arial" w:eastAsia="MS Mincho" w:hAnsi="Arial" w:cs="Arial"/>
        </w:rPr>
        <w:fldChar w:fldCharType="separate"/>
      </w:r>
      <w:r w:rsidR="009D7D40" w:rsidRPr="009D7D40">
        <w:rPr>
          <w:rStyle w:val="eop"/>
          <w:rFonts w:ascii="Arial" w:eastAsia="MS Mincho" w:hAnsi="Arial" w:cs="Arial"/>
          <w:noProof/>
          <w:vertAlign w:val="superscript"/>
        </w:rPr>
        <w:t>255</w:t>
      </w:r>
      <w:r w:rsidRPr="00C06183">
        <w:rPr>
          <w:rStyle w:val="eop"/>
          <w:rFonts w:ascii="Arial" w:eastAsia="MS Mincho" w:hAnsi="Arial" w:cs="Arial"/>
        </w:rPr>
        <w:fldChar w:fldCharType="end"/>
      </w:r>
      <w:r w:rsidRPr="00C06183">
        <w:rPr>
          <w:rStyle w:val="eop"/>
          <w:rFonts w:ascii="Arial" w:eastAsia="MS Mincho" w:hAnsi="Arial" w:cs="Arial"/>
        </w:rPr>
        <w:t xml:space="preserve"> so this might be considered for </w:t>
      </w:r>
      <w:r w:rsidRPr="00C06183">
        <w:rPr>
          <w:rStyle w:val="eop"/>
          <w:rFonts w:ascii="Arial" w:eastAsia="MS Mincho" w:hAnsi="Arial" w:cs="Arial"/>
          <w:i/>
          <w:iCs/>
        </w:rPr>
        <w:t xml:space="preserve">in vivo </w:t>
      </w:r>
      <w:r w:rsidRPr="00C06183">
        <w:rPr>
          <w:rStyle w:val="eop"/>
          <w:rFonts w:ascii="Arial" w:eastAsia="MS Mincho" w:hAnsi="Arial" w:cs="Arial"/>
        </w:rPr>
        <w:t xml:space="preserve">nanoparticle uptake studies. </w:t>
      </w:r>
      <w:r w:rsidRPr="00C06183">
        <w:rPr>
          <w:rStyle w:val="normaltextrun"/>
          <w:rFonts w:ascii="Arial" w:hAnsi="Arial" w:cs="Arial"/>
          <w:i/>
          <w:iCs/>
          <w:color w:val="000000"/>
          <w:bdr w:val="none" w:sz="0" w:space="0" w:color="auto" w:frame="1"/>
        </w:rPr>
        <w:t>Ex vivo</w:t>
      </w:r>
      <w:r w:rsidRPr="00C06183">
        <w:rPr>
          <w:rStyle w:val="normaltextrun"/>
          <w:rFonts w:ascii="Arial" w:hAnsi="Arial" w:cs="Arial"/>
          <w:color w:val="000000"/>
          <w:bdr w:val="none" w:sz="0" w:space="0" w:color="auto" w:frame="1"/>
        </w:rPr>
        <w:t xml:space="preserve"> imaging and other quantification methods have been particularly useful for the analysis of nanoparticle accumulation in tumors and organs, i.e. resecting the mass of interest and then imaging and/or quantifying nanoparticle uptake with standard </w:t>
      </w:r>
      <w:r w:rsidRPr="00C06183">
        <w:rPr>
          <w:rStyle w:val="normaltextrun"/>
          <w:rFonts w:ascii="Arial" w:hAnsi="Arial" w:cs="Arial"/>
          <w:i/>
          <w:iCs/>
          <w:color w:val="000000"/>
          <w:bdr w:val="none" w:sz="0" w:space="0" w:color="auto" w:frame="1"/>
        </w:rPr>
        <w:t>in vitro</w:t>
      </w:r>
      <w:r w:rsidRPr="00C06183">
        <w:rPr>
          <w:rStyle w:val="normaltextrun"/>
          <w:rFonts w:ascii="Arial" w:hAnsi="Arial" w:cs="Arial"/>
          <w:color w:val="000000"/>
          <w:bdr w:val="none" w:sz="0" w:space="0" w:color="auto" w:frame="1"/>
        </w:rPr>
        <w:t xml:space="preserve"> techniques</w:t>
      </w:r>
      <w:r w:rsidR="00BF7DB5">
        <w:rPr>
          <w:rStyle w:val="normaltextrun"/>
          <w:rFonts w:ascii="Arial" w:hAnsi="Arial" w:cs="Arial"/>
          <w:color w:val="000000"/>
          <w:bdr w:val="none" w:sz="0" w:space="0" w:color="auto" w:frame="1"/>
        </w:rPr>
        <w:t>.</w:t>
      </w:r>
      <w:r w:rsidRPr="00C06183">
        <w:rPr>
          <w:rFonts w:ascii="Arial" w:hAnsi="Arial" w:cs="Arial"/>
        </w:rPr>
        <w:fldChar w:fldCharType="begin" w:fldLock="1"/>
      </w:r>
      <w:r w:rsidR="008C387C">
        <w:rPr>
          <w:rFonts w:ascii="Arial" w:hAnsi="Arial" w:cs="Arial"/>
        </w:rPr>
        <w:instrText>ADDIN CSL_CITATION {"citationItems":[{"id":"ITEM-1","itemData":{"DOI":"10.7150/thno.37178","ISSN":"18387640","abstract":"To improve the clinical translation of anti-cancer nanomedicines, it is necessary to begin building specific insights into the broad concept of the Enhanced Permeability and Retention (EPR) effect, using detailed investigations of the accumulation, distribution and retention of nanomedicines in solid tumors. Nanomedicine accumulation in preclinical tumors has been extensively studied; however, treatment efficacy will be heavily influenced by both the quantity of drug-loaded nanomedicines reaching the tumor as well as their spatial distribution throughout the tumor. It remains a challenge to image the heterogeneity of nanomedicine distribution in 3 dimensions within solid tumors with a high degree of spatial resolution using standard imaging approaches. Methods: To achieve this, an ex vivo micro computed tomography (µCT) imaging approach was developed to visualize the intratumoral distribution of contrast agent-loaded PEGylated liposomes. Using this semi-quantitative method, whole 3-dimensional (3D) tumor liposome distribution was determined with 17 µm resolution in a phenotypically diverse panel of four preclinical xenograft and patient-derived explant (PDX) tumor models. Results: High-resolution ex vivo μCT imaging revealed striking differences in liposome distribution within tumors in four models with different vascular patterns and densities, stromal contents, and microenvironment morphologies. Following intravenous dosing, the model with the highest density of pericyte-supported vessels showed the greatest liposome accumulation, while the model with vessels present in regions of high α-smooth muscle actin (αSMA) content presented with a large proportion of the liposomes at depths beyond the tumor periphery. The two models with an unsupported vascular network demonstrated a more restricted pattern of liposome distribution. Conclusion: Taken together, vessel distribution and support (the latter indicative of functionality) appear to be key factors determining the accumulation and distribution pattern of liposomes in tumors. Our findings demonstrate that high-resolution 3D visualization of nanomedicine distribution is a useful tool for preclinical nanomedicine research, providing valuable insights into the influence of the tumor vasculature and microenvironment on nanomedicine localization.","author":[{"dropping-particle":"","family":"Moss","given":"Jennifer I.","non-dropping-particle":"","parse-names":false,"suffix":""},{"dropping-particle":"","family":"Barjat","given":"Hervé","non-dropping-particle":"","parse-names":false,"suffix":""},{"dropping-particle":"","family":"Emmas","given":"Sally Ann","non-dropping-particle":"","parse-names":false,"suffix":""},{"dropping-particle":"","family":"Strittmatter","given":"Nicole","non-dropping-particle":"","parse-names":false,"suffix":""},{"dropping-particle":"","family":"Maynard","given":"Juliana","non-dropping-particle":"","parse-names":false,"suffix":""},{"dropping-particle":"","family":"Goodwin","given":"Richard J.A.","non-dropping-particle":"","parse-names":false,"suffix":""},{"dropping-particle":"","family":"Storm","given":"Gert","non-dropping-particle":"","parse-names":false,"suffix":""},{"dropping-particle":"","family":"Lammers","given":"Twan","non-dropping-particle":"","parse-names":false,"suffix":""},{"dropping-particle":"","family":"Puri","given":"Sanyogitta","non-dropping-particle":"","parse-names":false,"suffix":""},{"dropping-particle":"","family":"Ashford","given":"Marianne B.","non-dropping-particle":"","parse-names":false,"suffix":""},{"dropping-particle":"","family":"Barry","given":"Simon T.","non-dropping-particle":"","parse-names":false,"suffix":""}],"container-title":"Theranostics","id":"ITEM-1","issue":"2","issued":{"date-parts":[["2020"]]},"page":"880-897","title":"High-resolution 3D visualization of nanomedicine distribution in tumors","type":"article-journal","volume":"10"},"uris":["http://www.mendeley.com/documents/?uuid=12e2a633-afa3-4978-b62d-3e6a32e0f29b"]},{"id":"ITEM-2","itemData":{"DOI":"10.1166/jbn.2016.2174","ISSN":"15507041","abstract":"Combining image-guided therapy techniques for the treatment of liver cancers is a strategy that is being used to improve local tumor control rates. Here, we evaluate the intratumoral uptake of nanoparticles used in combination with radiofrequency ablation (RFA), irreversible electroporation (IRE), or laser induced thermal therapy (LITT). Eight rabbits with VX2 tumor in the liver underwent one of four treatments: (i) nanoembolization (NE) with radiolabeled, hollow gold nanoparticles loaded with doxorubicin (64Cu-PEG-HAuNS-DOX); (ii) NE+RFA; (iii) NE+IRE; (iv) NE+LITT. Positron emission tomography/computed tomography (PET/CT) imaging was obtained 1-hr or 18-hrs after intervention. Tissue samples were collected for autoradiography and transmission electron microscopy (TEM) analysis. PET/CT imaging at 1-hr showed focal deposition of oil and nanoparticles in the tumor only after NE+RFA but at 18-hrs, all animals had focal accumulation of oil and nanoparticles in the tumor region. Autoradiograph analysis demonstrated nanoparticle deposition in the tumor and in the ablated tissues adjacent to the tumor when NE was combined with ablation. TEM results showed the intracellular uptake of nanoparticles in tumor only after NE+IRE. Nanoparticles demonstrated a structural change, suggesting direct interaction, potentially leading to drug release, only after NE+LITT. The findings demonstrate that a combined NE and ablation treatment technique for liver tumors is feasible, resulting in deposition of nanoparticles in and around the tumor. Depending on the ablative energy applied, different effects are seen on nanoparticle localization and structure. These effects should be considered when designing nanoparticles for use in combination with ablation technologies.","author":[{"dropping-particle":"","family":"Tam","given":"Alda L.","non-dropping-particle":"","parse-names":false,"suffix":""},{"dropping-particle":"","family":"Melancon","given":"Marites P.","non-dropping-particle":"","parse-names":false,"suffix":""},{"dropping-particle":"","family":"Abdelsalam","given":"Mohamed","non-dropping-particle":"","parse-names":false,"suffix":""},{"dropping-particle":"","family":"Figueira","given":"Tomas Appleton","non-dropping-particle":"","parse-names":false,"suffix":""},{"dropping-particle":"","family":"Dixon","given":"Katherine","non-dropping-particle":"","parse-names":false,"suffix":""},{"dropping-particle":"","family":"McWatters","given":"Amanda","non-dropping-particle":"","parse-names":false,"suffix":""},{"dropping-particle":"","family":"Zhou","given":"Min","non-dropping-particle":"","parse-names":false,"suffix":""},{"dropping-particle":"","family":"Huang","given":"Qian","non-dropping-particle":"","parse-names":false,"suffix":""},{"dropping-particle":"","family":"Mawlawi","given":"Osama","non-dropping-particle":"","parse-names":false,"suffix":""},{"dropping-particle":"","family":"Dunner","given":"Kenneth","non-dropping-particle":"","parse-names":false,"suffix":""},{"dropping-particle":"","family":"Li","given":"Chun","non-dropping-particle":"","parse-names":false,"suffix":""},{"dropping-particle":"","family":"Gupta","given":"Sanjay","non-dropping-particle":"","parse-names":false,"suffix":""}],"container-title":"Journal of Biomedical Nanotechnology","id":"ITEM-2","issue":"2","issued":{"date-parts":[["2016"]]},"page":"296-307","title":"Imaging intratumoral nanoparticle uptake after combining nanoembolization with various ablative therapies in hepatic VX2 rabbit tumors","type":"article-journal","volume":"12"},"uris":["http://www.mendeley.com/documents/?uuid=2d1277dc-8bc5-49a0-bd86-a5aedd779e8e"]},{"id":"ITEM-3","itemData":{"DOI":"10.1038/s41598-018-23317-2","ISSN":"20452322","abstract":"Citrate-stabilized iron oxide magnetic nanoparticles (MNPs) were coated with one of carboxymethyl dextran (CM-dextran), polyethylene glycol-polyethylene imine (PEG-PEI), methoxy-PEG-phosphate+rutin, or dextran. They were characterized for size, zeta potential, hysteresis heating in an alternating magnetic field, dynamic magnetic susceptibility, and examined for their distribution in mouse organs following intravenous delivery. Except for PEG-PEI-coated nanoparticles, all coated nanoparticles had a negative zeta potential at physiological pH. Nanoparticle sizing by dynamic light scattering revealed an increased nanoparticle hydrodynamic diameter upon coating. Magnetic hysteresis heating changed little with coating; however, the larger particles demonstrated significant shifts of the peak of complex magnetic susceptibility to lower frequency. 48 hours following intravenous injection of nanoparticles, mice were sacrificed and tissues were collected to measure iron concentration. Iron deposition from nanoparticles possessing a negative surface potential was observed to have highest accumulation in livers and spleens. In contrast, iron deposition from positively charged PEG-PEI-coated nanoparticles was observed to have highest concentration in lungs. These preliminary results suggest a complex interplay between nanoparticle size and charge determines organ distribution of systemically-delivered iron oxide magnetic nanoparticles.","author":[{"dropping-particle":"","family":"Sharma","given":"Anirudh","non-dropping-particle":"","parse-names":false,"suffix":""},{"dropping-particle":"","family":"Cornejo","given":"Christine","non-dropping-particle":"","parse-names":false,"suffix":""},{"dropping-particle":"","family":"Mihalic","given":"Jana","non-dropping-particle":"","parse-names":false,"suffix":""},{"dropping-particle":"","family":"Geyh","given":"Alison","non-dropping-particle":"","parse-names":false,"suffix":""},{"dropping-particle":"","family":"Bordelon","given":"David E.","non-dropping-particle":"","parse-names":false,"suffix":""},{"dropping-particle":"","family":"Korangath","given":"Preethi","non-dropping-particle":"","parse-names":false,"suffix":""},{"dropping-particle":"","family":"Westphal","given":"Fritz","non-dropping-particle":"","parse-names":false,"suffix":""},{"dropping-particle":"","family":"Gruettner","given":"Cordula","non-dropping-particle":"","parse-names":false,"suffix":""},{"dropping-particle":"","family":"Ivkov","given":"Robert","non-dropping-particle":"","parse-names":false,"suffix":""}],"container-title":"Scientific Reports","id":"ITEM-3","issue":"1","issued":{"date-parts":[["2018"]]},"page":"1-12","publisher":"Springer US","title":"Physical characterization and in vivo organ distribution of coated iron oxide nanoparticles","type":"article-journal","volume":"8"},"uris":["http://www.mendeley.com/documents/?uuid=3f189c81-52a9-402b-824d-c02c13be5126"]}],"mendeley":{"formattedCitation":"&lt;sup&gt;256–258&lt;/sup&gt;","plainTextFormattedCitation":"256–258","previouslyFormattedCitation":"&lt;sup&gt;256–258&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256–258</w:t>
      </w:r>
      <w:r w:rsidRPr="00C06183">
        <w:rPr>
          <w:rFonts w:ascii="Arial" w:hAnsi="Arial" w:cs="Arial"/>
        </w:rPr>
        <w:fldChar w:fldCharType="end"/>
      </w:r>
      <w:r w:rsidRPr="00C06183">
        <w:rPr>
          <w:rFonts w:ascii="Arial" w:hAnsi="Arial" w:cs="Arial"/>
        </w:rPr>
        <w:t xml:space="preserve"> </w:t>
      </w:r>
      <w:r w:rsidRPr="00C06183">
        <w:rPr>
          <w:rStyle w:val="normaltextrun"/>
          <w:rFonts w:ascii="Arial" w:hAnsi="Arial" w:cs="Arial"/>
          <w:color w:val="000000"/>
          <w:shd w:val="clear" w:color="auto" w:fill="FFFFFF"/>
        </w:rPr>
        <w:t xml:space="preserve">True </w:t>
      </w:r>
      <w:r w:rsidRPr="00C06183">
        <w:rPr>
          <w:rStyle w:val="normaltextrun"/>
          <w:rFonts w:ascii="Arial" w:hAnsi="Arial" w:cs="Arial"/>
          <w:i/>
          <w:iCs/>
          <w:color w:val="000000"/>
          <w:shd w:val="clear" w:color="auto" w:fill="FFFFFF"/>
        </w:rPr>
        <w:t xml:space="preserve">in vivo </w:t>
      </w:r>
      <w:r w:rsidRPr="00C06183">
        <w:rPr>
          <w:rStyle w:val="normaltextrun"/>
          <w:rFonts w:ascii="Arial" w:hAnsi="Arial" w:cs="Arial"/>
          <w:color w:val="000000"/>
          <w:shd w:val="clear" w:color="auto" w:fill="FFFFFF"/>
        </w:rPr>
        <w:t>imaging to visualize nanoparticle transport is possible through a variety of methods. Intravital microscopy (IVM) is a common method of accomplishing this goal using principles of confocal laser scanning and multiphoton microscopy</w:t>
      </w:r>
      <w:r w:rsidR="00BF7DB5">
        <w:rPr>
          <w:rStyle w:val="normaltextrun"/>
          <w:rFonts w:ascii="Arial" w:hAnsi="Arial" w:cs="Arial"/>
          <w:color w:val="000000"/>
          <w:shd w:val="clear" w:color="auto" w:fill="FFFFFF"/>
        </w:rPr>
        <w:t>,</w:t>
      </w:r>
      <w:r w:rsidRPr="00C06183">
        <w:rPr>
          <w:rFonts w:ascii="Arial" w:hAnsi="Arial" w:cs="Arial"/>
        </w:rPr>
        <w:fldChar w:fldCharType="begin" w:fldLock="1"/>
      </w:r>
      <w:r w:rsidR="008C387C">
        <w:rPr>
          <w:rFonts w:ascii="Arial" w:hAnsi="Arial" w:cs="Arial"/>
        </w:rPr>
        <w:instrText>ADDIN CSL_CITATION {"citationItems":[{"id":"ITEM-1","itemData":{"DOI":"10.1111/j.1549-8719.2010.00029.x","ISSN":"10739688","author":[{"dropping-particle":"","family":"Fukumura","given":"Dai","non-dropping-particle":"","parse-names":false,"suffix":""},{"dropping-particle":"","family":"Duda","given":"Dan G.","non-dropping-particle":"","parse-names":false,"suffix":""},{"dropping-particle":"","family":"Munn","given":"Lance L.","non-dropping-particle":"","parse-names":false,"suffix":""},{"dropping-particle":"","family":"Jain","given":"Rakesh K.","non-dropping-particle":"","parse-names":false,"suffix":""}],"container-title":"Microcirculation","id":"ITEM-1","issue":"3","issued":{"date-parts":[["2010","4"]]},"page":"206-225","title":"Tumor Microvasculature and Microenvironment: Novel Insights Through Intravital Imaging in Pre-Clinical Models","type":"article-journal","volume":"17"},"uris":["http://www.mendeley.com/documents/?uuid=ffe7d080-ed77-44bb-9e89-5f738e95c543"]}],"mendeley":{"formattedCitation":"&lt;sup&gt;259&lt;/sup&gt;","plainTextFormattedCitation":"259","previouslyFormattedCitation":"&lt;sup&gt;259&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259</w:t>
      </w:r>
      <w:r w:rsidRPr="00C06183">
        <w:rPr>
          <w:rFonts w:ascii="Arial" w:hAnsi="Arial" w:cs="Arial"/>
        </w:rPr>
        <w:fldChar w:fldCharType="end"/>
      </w:r>
      <w:r w:rsidRPr="00C06183">
        <w:rPr>
          <w:rFonts w:ascii="Arial" w:hAnsi="Arial" w:cs="Arial"/>
        </w:rPr>
        <w:t xml:space="preserve"> </w:t>
      </w:r>
      <w:r w:rsidRPr="00C06183">
        <w:rPr>
          <w:rStyle w:val="normaltextrun"/>
          <w:rFonts w:ascii="Arial" w:hAnsi="Arial" w:cs="Arial"/>
          <w:color w:val="000000"/>
          <w:bdr w:val="none" w:sz="0" w:space="0" w:color="auto" w:frame="1"/>
        </w:rPr>
        <w:t>as demonstrated by Lo et al., who used IVM to visualize the uptake of mesoporous silica nanoparticles into hepatocytes</w:t>
      </w:r>
      <w:r w:rsidR="00BF7DB5">
        <w:rPr>
          <w:rStyle w:val="normaltextrun"/>
          <w:rFonts w:ascii="Arial" w:hAnsi="Arial" w:cs="Arial"/>
          <w:color w:val="000000"/>
          <w:bdr w:val="none" w:sz="0" w:space="0" w:color="auto" w:frame="1"/>
        </w:rPr>
        <w:t>.</w:t>
      </w:r>
      <w:r w:rsidRPr="00C06183">
        <w:rPr>
          <w:rFonts w:ascii="Arial" w:hAnsi="Arial" w:cs="Arial"/>
        </w:rPr>
        <w:fldChar w:fldCharType="begin" w:fldLock="1"/>
      </w:r>
      <w:r w:rsidR="008C387C">
        <w:rPr>
          <w:rFonts w:ascii="Arial" w:hAnsi="Arial" w:cs="Arial"/>
        </w:rPr>
        <w:instrText>ADDIN CSL_CITATION {"citationItems":[{"id":"ITEM-1","itemData":{"DOI":"10.1021/nn300558p","ISSN":"19360851","abstract":"Nanoparticles that do not undergo renal excretion or in vivo degradation into biocompatible debris often accumulate in the reticuloendothelial system, also know as the mononuclear phagocyte system, with undesired consequences that limit their clinical utility. In this work, we report the first application of intravital multiphoton fluorescence microscopy to dynamically track the hepatic metabolism of nanoparticles with subcellular resolution in real time. Using fluorescently labeled mesoporous silica nanoparticles (MSNs) in mice as a prototypical model, we observed significant hepatocyte uptake of positively charged, but not negatively charged, moieties. Conversely, in vivo imaging of negatively charged, but not positively charged, MSNs reveals an overwhelming propensity for the former's rapid uptake by Kupffer cells in liver sinusoids. Since the only prerequisite for these studies was that nanoparticles are fluorescently labeled and not of a specific composition or structure, the techniques we present can readily be extended to a wide variety of nanoparticle structures and surface modifications (e.g., shape, charge, hydrophobicity, PEGylation) in the preclinical assessment and tailoring of their hepatotoxicities and clearances. © 2012 American Chemical Society.","author":[{"dropping-particle":"","family":"Cheng","given":"Shih Hsun","non-dropping-particle":"","parse-names":false,"suffix":""},{"dropping-particle":"","family":"Li","given":"Feng Chieh","non-dropping-particle":"","parse-names":false,"suffix":""},{"dropping-particle":"","family":"Souris","given":"Jeffrey S.","non-dropping-particle":"","parse-names":false,"suffix":""},{"dropping-particle":"","family":"Yang","given":"Chung Shi","non-dropping-particle":"","parse-names":false,"suffix":""},{"dropping-particle":"","family":"Tseng","given":"Fan Gang","non-dropping-particle":"","parse-names":false,"suffix":""},{"dropping-particle":"","family":"Lee","given":"Hsuan Shu","non-dropping-particle":"","parse-names":false,"suffix":""},{"dropping-particle":"","family":"Chen","given":"Chin Tu","non-dropping-particle":"","parse-names":false,"suffix":""},{"dropping-particle":"","family":"Dong","given":"Chen Yuan","non-dropping-particle":"","parse-names":false,"suffix":""},{"dropping-particle":"","family":"Lo","given":"Leu Wei","non-dropping-particle":"","parse-names":false,"suffix":""}],"container-title":"ACS Nano","id":"ITEM-1","issue":"5","issued":{"date-parts":[["2012"]]},"page":"4122-4131","title":"Visualizing dynamics of sub-hepatic distribution of nanoparticles using intravital multiphoton fluorescence microscopy","type":"article-journal","volume":"6"},"uris":["http://www.mendeley.com/documents/?uuid=d818485f-198c-4c42-80bb-daed0a96ec55"]}],"mendeley":{"formattedCitation":"&lt;sup&gt;260&lt;/sup&gt;","plainTextFormattedCitation":"260","previouslyFormattedCitation":"&lt;sup&gt;260&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260</w:t>
      </w:r>
      <w:r w:rsidRPr="00C06183">
        <w:rPr>
          <w:rFonts w:ascii="Arial" w:hAnsi="Arial" w:cs="Arial"/>
        </w:rPr>
        <w:fldChar w:fldCharType="end"/>
      </w:r>
      <w:r w:rsidRPr="00C06183">
        <w:rPr>
          <w:rFonts w:ascii="Arial" w:hAnsi="Arial" w:cs="Arial"/>
        </w:rPr>
        <w:t xml:space="preserve"> </w:t>
      </w:r>
      <w:r w:rsidRPr="00C06183">
        <w:rPr>
          <w:rStyle w:val="normaltextrun"/>
          <w:rFonts w:ascii="Arial" w:hAnsi="Arial" w:cs="Arial"/>
          <w:color w:val="000000"/>
          <w:bdr w:val="none" w:sz="0" w:space="0" w:color="auto" w:frame="1"/>
        </w:rPr>
        <w:t>This can be further improved with tissue clearing methods such as the hydrogel based CLARITY and the chemical based CUBIC that minimize the effects of light scattering from tissue samples</w:t>
      </w:r>
      <w:r w:rsidR="00BF7DB5">
        <w:rPr>
          <w:rStyle w:val="normaltextrun"/>
          <w:rFonts w:ascii="Arial" w:hAnsi="Arial" w:cs="Arial"/>
          <w:color w:val="000000"/>
          <w:bdr w:val="none" w:sz="0" w:space="0" w:color="auto" w:frame="1"/>
        </w:rPr>
        <w:t>,</w:t>
      </w:r>
      <w:r w:rsidRPr="00C06183">
        <w:rPr>
          <w:rFonts w:ascii="Arial" w:hAnsi="Arial" w:cs="Arial"/>
        </w:rPr>
        <w:fldChar w:fldCharType="begin" w:fldLock="1"/>
      </w:r>
      <w:r w:rsidR="008C387C">
        <w:rPr>
          <w:rFonts w:ascii="Arial" w:hAnsi="Arial" w:cs="Arial"/>
        </w:rPr>
        <w:instrText>ADDIN CSL_CITATION {"citationItems":[{"id":"ITEM-1","itemData":{"DOI":"10.1016/j.cell.2015.06.067","ISSN":"10974172","PMID":"26186186","abstract":"Biological specimens are intrinsically three dimensional; however, because of the obscuring effects of light scatter, imaging deep into a tissue volume is problematic. Although efforts to eliminate the scatter by \"clearing\" the tissue have been ongoing for over a century, there have been a large number of recent innovations. This Review introduces the physical basis for light scatter in tissue, describes the mechanisms underlying various clearing techniques, and discusses several of the major advances in light microscopy for imaging cleared tissue.","author":[{"dropping-particle":"","family":"Richardson","given":"Douglas S.","non-dropping-particle":"","parse-names":false,"suffix":""},{"dropping-particle":"","family":"Lichtman","given":"Jeff W.","non-dropping-particle":"","parse-names":false,"suffix":""}],"container-title":"Cell","id":"ITEM-1","issue":"2","issued":{"date-parts":[["2015"]]},"page":"246-257","publisher":"Elsevier","title":"Clarifying Tissue Clearing","type":"article-journal","volume":"162"},"uris":["http://www.mendeley.com/documents/?uuid=b71ae2d6-c450-4ab0-af0a-28b8cc7f2eda"]}],"mendeley":{"formattedCitation":"&lt;sup&gt;261&lt;/sup&gt;","plainTextFormattedCitation":"261","previouslyFormattedCitation":"&lt;sup&gt;261&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261</w:t>
      </w:r>
      <w:r w:rsidRPr="00C06183">
        <w:rPr>
          <w:rFonts w:ascii="Arial" w:hAnsi="Arial" w:cs="Arial"/>
        </w:rPr>
        <w:fldChar w:fldCharType="end"/>
      </w:r>
      <w:r w:rsidRPr="00C06183">
        <w:rPr>
          <w:rFonts w:ascii="Arial" w:hAnsi="Arial" w:cs="Arial"/>
        </w:rPr>
        <w:t xml:space="preserve"> shown by Chan et al. to be effective with gold nanoparticles and liposomes</w:t>
      </w:r>
      <w:r w:rsidR="00BF7DB5">
        <w:rPr>
          <w:rFonts w:ascii="Arial" w:hAnsi="Arial" w:cs="Arial"/>
        </w:rPr>
        <w:t>.</w:t>
      </w:r>
      <w:r w:rsidRPr="00C06183">
        <w:rPr>
          <w:rFonts w:ascii="Arial" w:hAnsi="Arial" w:cs="Arial"/>
        </w:rPr>
        <w:fldChar w:fldCharType="begin" w:fldLock="1"/>
      </w:r>
      <w:r w:rsidR="008C387C">
        <w:rPr>
          <w:rFonts w:ascii="Arial" w:hAnsi="Arial" w:cs="Arial"/>
        </w:rPr>
        <w:instrText>ADDIN CSL_CITATION {"citationItems":[{"id":"ITEM-1","itemData":{"DOI":"10.1021/acsnano.6b01879","ISSN":"1936086X","abstract":"The role of tissue architecture in mediating nanoparticle transport, targeting, and biological effects is unknown due to the lack of tools for imaging nanomaterials in whole organs. Here, we developed a rapid optical mapping technique to image nanomaterials in intact organs ex vivo and in three-dimensions (3D). We engineered a high-throughput electrophoretic flow device to simultaneously transform up to 48 tissues into optically transparent structures, allowing subcellular imaging of nanomaterials more than 1 mm deep into tissues which is 25-fold greater than current techniques. A key finding is that nanomaterials can be retained in the processed tissue by chemical cross-linking of surface adsorbed serum proteins to the tissue matrix, which enables nanomaterials to be imaged with respect to cells, blood vessels, and other structures. We developed a computational algorithm to analyze and quantitatively map nanomaterial distribution. This method can be universally applied to visualize the distribution and interactions of materials in whole tissues and animals including such applications as the imaging of nanomaterials, tissue engineered constructs, and biosensors within their intact biological environment.","author":[{"dropping-particle":"","family":"Sindhwani","given":"Shrey","non-dropping-particle":"","parse-names":false,"suffix":""},{"dropping-particle":"","family":"Syed","given":"Abdullah Muhammad","non-dropping-particle":"","parse-names":false,"suffix":""},{"dropping-particle":"","family":"Wilhelm","given":"Stefan","non-dropping-particle":"","parse-names":false,"suffix":""},{"dropping-particle":"","family":"Glancy","given":"Dylan R.","non-dropping-particle":"","parse-names":false,"suffix":""},{"dropping-particle":"","family":"Chen","given":"Yih Yang","non-dropping-particle":"","parse-names":false,"suffix":""},{"dropping-particle":"","family":"Dobosz","given":"Michael","non-dropping-particle":"","parse-names":false,"suffix":""},{"dropping-particle":"","family":"Chan","given":"Warren C.W.","non-dropping-particle":"","parse-names":false,"suffix":""}],"container-title":"ACS Nano","id":"ITEM-1","issue":"5","issued":{"date-parts":[["2016"]]},"page":"5468-5478","title":"Three-Dimensional Optical Mapping of Nanoparticle Distribution in Intact Tissues","type":"article-journal","volume":"10"},"uris":["http://www.mendeley.com/documents/?uuid=11dc3ec6-06c6-4841-8057-19002e5bc809"]},{"id":"ITEM-2","itemData":{"DOI":"10.1021/acs.nanolett.9b04853","ISSN":"1530-6984","author":[{"dropping-particle":"","family":"Syed","given":"Abdullah Muhammad","non-dropping-particle":"","parse-names":false,"suffix":""},{"dropping-particle":"","family":"MacMillan","given":"Presley","non-dropping-particle":"","parse-names":false,"suffix":""},{"dropping-particle":"","family":"Ngai","given":"Jessica","non-dropping-particle":"","parse-names":false,"suffix":""},{"dropping-particle":"","family":"Wilhelm","given":"Stefan","non-dropping-particle":"","parse-names":false,"suffix":""},{"dropping-particle":"","family":"Sindhwani","given":"Shrey","non-dropping-particle":"","parse-names":false,"suffix":""},{"dropping-particle":"","family":"Kingston","given":"Benjamin R.","non-dropping-particle":"","parse-names":false,"suffix":""},{"dropping-particle":"","family":"Wu","given":"Jamie L. Y.","non-dropping-particle":"","parse-names":false,"suffix":""},{"dropping-particle":"","family":"Llano-Suárez","given":"Pablo","non-dropping-particle":"","parse-names":false,"suffix":""},{"dropping-particle":"","family":"Lin","given":"Zachary Pengju","non-dropping-particle":"","parse-names":false,"suffix":""},{"dropping-particle":"","family":"Ouyang","given":"Ben","non-dropping-particle":"","parse-names":false,"suffix":""},{"dropping-particle":"","family":"Kahiel","given":"Zaina","non-dropping-particle":"","parse-names":false,"suffix":""},{"dropping-particle":"","family":"Gadde","given":"Suresh","non-dropping-particle":"","parse-names":false,"suffix":""},{"dropping-particle":"","family":"Chan","given":"Warren C. W.","non-dropping-particle":"","parse-names":false,"suffix":""}],"container-title":"Nano Letters","id":"ITEM-2","issue":"2","issued":{"date-parts":[["2020","2","12"]]},"page":"1362-1369","title":"Liposome Imaging in Optically Cleared Tissues","type":"article-journal","volume":"20"},"uris":["http://www.mendeley.com/documents/?uuid=172647f1-bfa1-47ba-92ce-81885b6f54ac"]},{"id":"ITEM-3","itemData":{"DOI":"10.1021/acs.bioconjchem.6b00500","ISSN":"1043-1802","author":[{"dropping-particle":"","family":"Sindhwani","given":"Shrey","non-dropping-particle":"","parse-names":false,"suffix":""},{"dropping-particle":"","family":"Syed","given":"Abdullah Muhammad","non-dropping-particle":"","parse-names":false,"suffix":""},{"dropping-particle":"","family":"Wilhelm","given":"Stefan","non-dropping-particle":"","parse-names":false,"suffix":""},{"dropping-particle":"","family":"Chan","given":"Warren C. W.","non-dropping-particle":"","parse-names":false,"suffix":""}],"container-title":"Bioconjugate Chemistry","id":"ITEM-3","issue":"1","issued":{"date-parts":[["2017","1","18"]]},"page":"253-259","title":"Exploring Passive Clearing for 3D Optical Imaging of Nanoparticles in Intact Tissues","type":"article-journal","volume":"28"},"uris":["http://www.mendeley.com/documents/?uuid=64c30e22-fd24-4e66-94e0-5376794c8fef"]},{"id":"ITEM-4","itemData":{"DOI":"10.1021/jacs.7b04022","ISSN":"0002-7863","author":[{"dropping-particle":"","family":"Syed","given":"Abdullah Muhammad","non-dropping-particle":"","parse-names":false,"suffix":""},{"dropping-particle":"","family":"Sindhwani","given":"Shrey","non-dropping-particle":"","parse-names":false,"suffix":""},{"dropping-particle":"","family":"Wilhelm","given":"Stefan","non-dropping-particle":"","parse-names":false,"suffix":""},{"dropping-particle":"","family":"Kingston","given":"Benjamin R.","non-dropping-particle":"","parse-names":false,"suffix":""},{"dropping-particle":"","family":"Lee","given":"Dennis S. W.","non-dropping-particle":"","parse-names":false,"suffix":""},{"dropping-particle":"","family":"Gommerman","given":"Jennifer L.","non-dropping-particle":"","parse-names":false,"suffix":""},{"dropping-particle":"","family":"Chan","given":"Warren C. W.","non-dropping-particle":"","parse-names":false,"suffix":""}],"container-title":"Journal of the American Chemical Society","id":"ITEM-4","issue":"29","issued":{"date-parts":[["2017","7","26"]]},"page":"9961-9971","title":"Three-Dimensional Imaging of Transparent Tissues via Metal Nanoparticle Labeling","type":"article-journal","volume":"139"},"uris":["http://www.mendeley.com/documents/?uuid=c1e0c606-4d64-4079-8bda-209d4890a628"]}],"mendeley":{"formattedCitation":"&lt;sup&gt;262–265&lt;/sup&gt;","plainTextFormattedCitation":"262–265","previouslyFormattedCitation":"&lt;sup&gt;262–265&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262–265</w:t>
      </w:r>
      <w:r w:rsidRPr="00C06183">
        <w:rPr>
          <w:rFonts w:ascii="Arial" w:hAnsi="Arial" w:cs="Arial"/>
        </w:rPr>
        <w:fldChar w:fldCharType="end"/>
      </w:r>
      <w:r w:rsidRPr="00C06183">
        <w:rPr>
          <w:rFonts w:ascii="Arial" w:hAnsi="Arial" w:cs="Arial"/>
        </w:rPr>
        <w:t xml:space="preserve"> Another tissue clearing method, </w:t>
      </w:r>
      <w:proofErr w:type="spellStart"/>
      <w:r w:rsidRPr="00C06183">
        <w:rPr>
          <w:rFonts w:ascii="Arial" w:hAnsi="Arial" w:cs="Arial"/>
        </w:rPr>
        <w:t>vDISCO</w:t>
      </w:r>
      <w:proofErr w:type="spellEnd"/>
      <w:r w:rsidRPr="00C06183">
        <w:rPr>
          <w:rFonts w:ascii="Arial" w:hAnsi="Arial" w:cs="Arial"/>
        </w:rPr>
        <w:t>, works on whole intact mice</w:t>
      </w:r>
      <w:r w:rsidR="00BF7DB5">
        <w:rPr>
          <w:rFonts w:ascii="Arial" w:hAnsi="Arial" w:cs="Arial"/>
        </w:rPr>
        <w:t>.</w:t>
      </w:r>
      <w:r w:rsidRPr="00C06183">
        <w:rPr>
          <w:rFonts w:ascii="Arial" w:hAnsi="Arial" w:cs="Arial"/>
        </w:rPr>
        <w:fldChar w:fldCharType="begin" w:fldLock="1"/>
      </w:r>
      <w:r w:rsidR="008C387C">
        <w:rPr>
          <w:rFonts w:ascii="Arial" w:hAnsi="Arial" w:cs="Arial"/>
        </w:rPr>
        <w:instrText>ADDIN CSL_CITATION {"citationItems":[{"id":"ITEM-1","itemData":{"DOI":"10.1038/s41593-018-0301-3","ISSN":"15461726","PMID":"30598527","abstract":"Analysis of entire transparent rodent bodies after clearing could provide holistic biological information in health and disease, but reliable imaging and quantification of fluorescent protein signals deep inside the tissues has remained a challenge. Here, we developed vDISCO, a pressure-driven, nanobody-based whole-body immunolabeling technology to enhance the signal of fluorescent proteins by up to two orders of magnitude. This allowed us to image and quantify subcellular details through bones, skin and highly autofluorescent tissues of intact transparent mice. For the first time, we visualized whole-body neuronal projections in adult mice. We assessed CNS trauma effects in the whole body and found degeneration of peripheral nerve terminals in the torso. Furthermore, vDISCO revealed short vascular connections between skull marrow and brain meninges, which were filled with immune cells upon stroke. Thus, our new approach enables unbiased comprehensive studies of the interactions between the nervous system and the rest of the body.","author":[{"dropping-particle":"","family":"Cai","given":"Ruiyao","non-dropping-particle":"","parse-names":false,"suffix":""},{"dropping-particle":"","family":"Pan","given":"Chenchen","non-dropping-particle":"","parse-names":false,"suffix":""},{"dropping-particle":"","family":"Ghasemigharagoz","given":"Alireza","non-dropping-particle":"","parse-names":false,"suffix":""},{"dropping-particle":"","family":"Todorov","given":"Mihail Ivilinov","non-dropping-particle":"","parse-names":false,"suffix":""},{"dropping-particle":"","family":"Förstera","given":"Benjamin","non-dropping-particle":"","parse-names":false,"suffix":""},{"dropping-particle":"","family":"Zhao","given":"Shan","non-dropping-particle":"","parse-names":false,"suffix":""},{"dropping-particle":"","family":"Bhatia","given":"Harsharan S.","non-dropping-particle":"","parse-names":false,"suffix":""},{"dropping-particle":"","family":"Parra-Damas","given":"Arnaldo","non-dropping-particle":"","parse-names":false,"suffix":""},{"dropping-particle":"","family":"Mrowka","given":"Leander","non-dropping-particle":"","parse-names":false,"suffix":""},{"dropping-particle":"","family":"Theodorou","given":"Delphine","non-dropping-particle":"","parse-names":false,"suffix":""},{"dropping-particle":"","family":"Rempfler","given":"Markus","non-dropping-particle":"","parse-names":false,"suffix":""},{"dropping-particle":"","family":"Xavier","given":"Anna L.R.","non-dropping-particle":"","parse-names":false,"suffix":""},{"dropping-particle":"","family":"Kress","given":"Benjamin T.","non-dropping-particle":"","parse-names":false,"suffix":""},{"dropping-particle":"","family":"Benakis","given":"Corinne","non-dropping-particle":"","parse-names":false,"suffix":""},{"dropping-particle":"","family":"Steinke","given":"Hanno","non-dropping-particle":"","parse-names":false,"suffix":""},{"dropping-particle":"","family":"Liebscher","given":"Sabine","non-dropping-particle":"","parse-names":false,"suffix":""},{"dropping-particle":"","family":"Bechmann","given":"Ingo","non-dropping-particle":"","parse-names":false,"suffix":""},{"dropping-particle":"","family":"Liesz","given":"Arthur","non-dropping-particle":"","parse-names":false,"suffix":""},{"dropping-particle":"","family":"Menze","given":"Bjoern","non-dropping-particle":"","parse-names":false,"suffix":""},{"dropping-particle":"","family":"Kerschensteiner","given":"Martin","non-dropping-particle":"","parse-names":false,"suffix":""},{"dropping-particle":"","family":"Nedergaard","given":"Maiken","non-dropping-particle":"","parse-names":false,"suffix":""},{"dropping-particle":"","family":"Ertürk","given":"Ali","non-dropping-particle":"","parse-names":false,"suffix":""}],"container-title":"Nature Neuroscience","id":"ITEM-1","issue":"2","issued":{"date-parts":[["2019"]]},"page":"317-327","publisher":"Springer US","title":"Panoptic imaging of transparent mice reveals whole-body neuronal projections and skull–meninges connections","type":"article-journal","volume":"22"},"uris":["http://www.mendeley.com/documents/?uuid=6726e51a-fdd6-4154-b245-ac2270a9a1f4"]}],"mendeley":{"formattedCitation":"&lt;sup&gt;266&lt;/sup&gt;","plainTextFormattedCitation":"266","previouslyFormattedCitation":"&lt;sup&gt;266&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266</w:t>
      </w:r>
      <w:r w:rsidRPr="00C06183">
        <w:rPr>
          <w:rFonts w:ascii="Arial" w:hAnsi="Arial" w:cs="Arial"/>
        </w:rPr>
        <w:fldChar w:fldCharType="end"/>
      </w:r>
      <w:r w:rsidRPr="00C06183">
        <w:rPr>
          <w:rFonts w:ascii="Arial" w:hAnsi="Arial" w:cs="Arial"/>
        </w:rPr>
        <w:t xml:space="preserve"> Light sheet fluorescent microscopy can then be used for fast, high resolution, optically sectioned images</w:t>
      </w:r>
      <w:r w:rsidR="00BF7DB5">
        <w:rPr>
          <w:rFonts w:ascii="Arial" w:hAnsi="Arial" w:cs="Arial"/>
        </w:rPr>
        <w:t>.</w:t>
      </w:r>
      <w:r w:rsidRPr="00C06183">
        <w:rPr>
          <w:rFonts w:ascii="Arial" w:hAnsi="Arial" w:cs="Arial"/>
        </w:rPr>
        <w:fldChar w:fldCharType="begin" w:fldLock="1"/>
      </w:r>
      <w:r w:rsidR="008C387C">
        <w:rPr>
          <w:rFonts w:ascii="Arial" w:hAnsi="Arial" w:cs="Arial"/>
        </w:rPr>
        <w:instrText>ADDIN CSL_CITATION {"citationItems":[{"id":"ITEM-1","itemData":{"DOI":"10.1038/nmeth.4224","ISSN":"15487105","PMID":"28362435","abstract":"The impact of light-sheet fluorescence microscopy (LSFM) is visible in fields as diverse as developmental and cell biology, anatomical science, biophysics and neuroscience. Although adoption among biologists has been steady, LSFM has not displaced more traditional imaging methods despite its often-superior performance. One reason for this is that the field has largely conformed to a do-it-yourself ethic, although the challenges of big image data cannot be overstated. With the most powerful implementations of LSFM available to only a few groups worldwide, the scope of this technique is unnecessarily limited. Here we elucidate the key developments and define a simple set of underlying principles governing LSFM. In doing so, we aim to clarify the decisions to be made for those who wish to develop and use bespoke light-sheet systems and to assist in identifying the best approaches to apply this powerful technique to myriad biological questions.","author":[{"dropping-particle":"","family":"Power","given":"Rory M.","non-dropping-particle":"","parse-names":false,"suffix":""},{"dropping-particle":"","family":"Huisken","given":"Jan","non-dropping-particle":"","parse-names":false,"suffix":""}],"container-title":"Nature Methods","id":"ITEM-1","issue":"4","issued":{"date-parts":[["2017"]]},"page":"360-373","title":"A guide to light-sheet fluorescence microscopy for multiscale imaging","type":"article-journal","volume":"14"},"uris":["http://www.mendeley.com/documents/?uuid=6c1cac9a-fc57-4603-9398-d960b114467e"]}],"mendeley":{"formattedCitation":"&lt;sup&gt;267&lt;/sup&gt;","plainTextFormattedCitation":"267","previouslyFormattedCitation":"&lt;sup&gt;267&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267</w:t>
      </w:r>
      <w:r w:rsidRPr="00C06183">
        <w:rPr>
          <w:rFonts w:ascii="Arial" w:hAnsi="Arial" w:cs="Arial"/>
        </w:rPr>
        <w:fldChar w:fldCharType="end"/>
      </w:r>
      <w:r w:rsidRPr="00C06183">
        <w:rPr>
          <w:rFonts w:ascii="Arial" w:hAnsi="Arial" w:cs="Arial"/>
        </w:rPr>
        <w:t xml:space="preserve"> These concepts are covered in great detail in a</w:t>
      </w:r>
      <w:r w:rsidR="00BF7DB5">
        <w:rPr>
          <w:rFonts w:ascii="Arial" w:hAnsi="Arial" w:cs="Arial"/>
        </w:rPr>
        <w:t xml:space="preserve"> </w:t>
      </w:r>
      <w:r w:rsidRPr="00C06183">
        <w:rPr>
          <w:rFonts w:ascii="Arial" w:hAnsi="Arial" w:cs="Arial"/>
        </w:rPr>
        <w:t xml:space="preserve">review by </w:t>
      </w:r>
      <w:proofErr w:type="spellStart"/>
      <w:r w:rsidRPr="00C06183">
        <w:rPr>
          <w:rFonts w:ascii="Arial" w:hAnsi="Arial" w:cs="Arial"/>
        </w:rPr>
        <w:t>Weissleder</w:t>
      </w:r>
      <w:proofErr w:type="spellEnd"/>
      <w:r w:rsidRPr="00C06183">
        <w:rPr>
          <w:rFonts w:ascii="Arial" w:hAnsi="Arial" w:cs="Arial"/>
        </w:rPr>
        <w:t xml:space="preserve"> et al</w:t>
      </w:r>
      <w:r w:rsidR="00BF7DB5">
        <w:rPr>
          <w:rFonts w:ascii="Arial" w:hAnsi="Arial" w:cs="Arial"/>
        </w:rPr>
        <w:t>.</w:t>
      </w:r>
      <w:r w:rsidRPr="00C06183">
        <w:rPr>
          <w:rFonts w:ascii="Arial" w:hAnsi="Arial" w:cs="Arial"/>
        </w:rPr>
        <w:fldChar w:fldCharType="begin" w:fldLock="1"/>
      </w:r>
      <w:r w:rsidR="008C387C">
        <w:rPr>
          <w:rFonts w:ascii="Arial" w:hAnsi="Arial" w:cs="Arial"/>
        </w:rPr>
        <w:instrText>ADDIN CSL_CITATION {"citationItems":[{"id":"ITEM-1","itemData":{"DOI":"10.1002/adfm.201910369","author":[{"dropping-particle":"","family":"Li","given":"Ran","non-dropping-particle":"","parse-names":false,"suffix":""},{"dropping-particle":"","family":"Ng","given":"Thomas S C","non-dropping-particle":"","parse-names":false,"suffix":""},{"dropping-particle":"","family":"Garlin","given":"Michelle A","non-dropping-particle":"","parse-names":false,"suffix":""},{"dropping-particle":"","family":"Weissleder","given":"Ralph","non-dropping-particle":"","parse-names":false,"suffix":""},{"dropping-particle":"","family":"Miller","given":"Miles A","non-dropping-particle":"","parse-names":false,"suffix":""}],"id":"ITEM-1","issued":{"date-parts":[["2020"]]},"page":"1-42","title":"Understanding the In Vivo Fate of Advanced Materials by Imaging","type":"article-journal","volume":"1910369"},"uris":["http://www.mendeley.com/documents/?uuid=0a116310-4316-453d-8a82-8d7c872393ae"]}],"mendeley":{"formattedCitation":"&lt;sup&gt;268&lt;/sup&gt;","plainTextFormattedCitation":"268","previouslyFormattedCitation":"&lt;sup&gt;268&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268</w:t>
      </w:r>
      <w:r w:rsidRPr="00C06183">
        <w:rPr>
          <w:rFonts w:ascii="Arial" w:hAnsi="Arial" w:cs="Arial"/>
        </w:rPr>
        <w:fldChar w:fldCharType="end"/>
      </w:r>
      <w:r w:rsidRPr="00C06183">
        <w:rPr>
          <w:rFonts w:ascii="Arial" w:hAnsi="Arial" w:cs="Arial"/>
        </w:rPr>
        <w:t xml:space="preserve"> </w:t>
      </w:r>
      <w:r w:rsidRPr="00C06183">
        <w:rPr>
          <w:rStyle w:val="normaltextrun"/>
          <w:rFonts w:ascii="Arial" w:hAnsi="Arial" w:cs="Arial"/>
          <w:color w:val="000000"/>
        </w:rPr>
        <w:t>Tissue clearing and light sheet microscopy have been combined with machine learning algorithms to create a framework for quantifying and analyzing brain vasculature, called the Vessel Segmentation and Analysis Pipeline (</w:t>
      </w:r>
      <w:proofErr w:type="spellStart"/>
      <w:r w:rsidRPr="00C06183">
        <w:rPr>
          <w:rStyle w:val="normaltextrun"/>
          <w:rFonts w:ascii="Arial" w:hAnsi="Arial" w:cs="Arial"/>
          <w:color w:val="000000"/>
        </w:rPr>
        <w:t>VesSAP</w:t>
      </w:r>
      <w:proofErr w:type="spellEnd"/>
      <w:r w:rsidRPr="00C06183">
        <w:rPr>
          <w:rStyle w:val="normaltextrun"/>
          <w:rFonts w:ascii="Arial" w:hAnsi="Arial" w:cs="Arial"/>
          <w:color w:val="000000"/>
        </w:rPr>
        <w:t>), for automatic, unbiased, and scalable vasculature analysis</w:t>
      </w:r>
      <w:r w:rsidR="00BF7DB5">
        <w:rPr>
          <w:rStyle w:val="normaltextrun"/>
          <w:rFonts w:ascii="Arial" w:hAnsi="Arial" w:cs="Arial"/>
          <w:color w:val="000000"/>
        </w:rPr>
        <w:t>.</w:t>
      </w:r>
      <w:r w:rsidRPr="00C06183">
        <w:rPr>
          <w:rFonts w:ascii="Arial" w:hAnsi="Arial" w:cs="Arial"/>
        </w:rPr>
        <w:fldChar w:fldCharType="begin" w:fldLock="1"/>
      </w:r>
      <w:r w:rsidR="008C387C">
        <w:rPr>
          <w:rFonts w:ascii="Arial" w:hAnsi="Arial" w:cs="Arial"/>
        </w:rPr>
        <w:instrText>ADDIN CSL_CITATION {"citationItems":[{"id":"ITEM-1","itemData":{"DOI":"10.1038/s41592-020-0792-1","ISBN":"4159202007921","ISSN":"15487105","abstract":"Tissue clearing methods enable the imaging of biological specimens without sectioning. However, reliable and scalable analysis of large imaging datasets in three dimensions remains a challenge. Here we developed a deep learning-based framework to quantify and analyze brain vasculature, named Vessel Segmentation &amp; Analysis Pipeline (VesSAP). Our pipeline uses a convolutional neural network (CNN) with a transfer learning approach for segmentation and achieves human-level accuracy. By using VesSAP, we analyzed the vascular features of whole C57BL/6J, CD1 and BALB/c mouse brains at the micrometer scale after registering them to the Allen mouse brain atlas. We report evidence of secondary intracranial collateral vascularization in CD1 mice and find reduced vascularization of the brainstem in comparison to the cerebrum. Thus, VesSAP enables unbiased and scalable quantifications of the angioarchitecture of cleared mouse brains and yields biological insights into the vascular function of the brain.","author":[{"dropping-particle":"","family":"Todorov","given":"Mihail Ivilinov","non-dropping-particle":"","parse-names":false,"suffix":""},{"dropping-particle":"","family":"Paetzold","given":"Johannes Christian","non-dropping-particle":"","parse-names":false,"suffix":""},{"dropping-particle":"","family":"Schoppe","given":"Oliver","non-dropping-particle":"","parse-names":false,"suffix":""},{"dropping-particle":"","family":"Tetteh","given":"Giles","non-dropping-particle":"","parse-names":false,"suffix":""},{"dropping-particle":"","family":"Shit","given":"Suprosanna","non-dropping-particle":"","parse-names":false,"suffix":""},{"dropping-particle":"","family":"Efremov","given":"Velizar","non-dropping-particle":"","parse-names":false,"suffix":""},{"dropping-particle":"","family":"Todorov-Völgyi","given":"Katalin","non-dropping-particle":"","parse-names":false,"suffix":""},{"dropping-particle":"","family":"Düring","given":"Marco","non-dropping-particle":"","parse-names":false,"suffix":""},{"dropping-particle":"","family":"Dichgans","given":"Martin","non-dropping-particle":"","parse-names":false,"suffix":""},{"dropping-particle":"","family":"Piraud","given":"Marie","non-dropping-particle":"","parse-names":false,"suffix":""},{"dropping-particle":"","family":"Menze","given":"Bjoern","non-dropping-particle":"","parse-names":false,"suffix":""},{"dropping-particle":"","family":"Ertürk","given":"Ali","non-dropping-particle":"","parse-names":false,"suffix":""}],"container-title":"Nature Methods","id":"ITEM-1","issue":"April","issued":{"date-parts":[["2020"]]},"publisher":"Springer US","title":"Machine learning analysis of whole mouse brain vasculature","type":"article-journal","volume":"17"},"uris":["http://www.mendeley.com/documents/?uuid=a1f94c4a-f14c-4c1f-b472-26db04c0620b"]}],"mendeley":{"formattedCitation":"&lt;sup&gt;269&lt;/sup&gt;","plainTextFormattedCitation":"269","previouslyFormattedCitation":"&lt;sup&gt;269&lt;/sup&gt;"},"properties":{"noteIndex":0},"schema":"https://github.com/citation-style-language/schema/raw/master/csl-citation.json"}</w:instrText>
      </w:r>
      <w:r w:rsidRPr="00C06183">
        <w:rPr>
          <w:rFonts w:ascii="Arial" w:hAnsi="Arial" w:cs="Arial"/>
        </w:rPr>
        <w:fldChar w:fldCharType="separate"/>
      </w:r>
      <w:r w:rsidR="009D7D40" w:rsidRPr="009D7D40">
        <w:rPr>
          <w:rFonts w:ascii="Arial" w:hAnsi="Arial" w:cs="Arial"/>
          <w:noProof/>
          <w:vertAlign w:val="superscript"/>
        </w:rPr>
        <w:t>269</w:t>
      </w:r>
      <w:r w:rsidRPr="00C06183">
        <w:rPr>
          <w:rFonts w:ascii="Arial" w:hAnsi="Arial" w:cs="Arial"/>
        </w:rPr>
        <w:fldChar w:fldCharType="end"/>
      </w:r>
      <w:r w:rsidRPr="00C06183">
        <w:rPr>
          <w:rFonts w:ascii="Arial" w:hAnsi="Arial" w:cs="Arial"/>
        </w:rPr>
        <w:t xml:space="preserve"> The use optical and electron microscopy methods could provide answers to the questions that surround the complex mechanisms behind nanoparticle accumulation in solid tumors.  </w:t>
      </w:r>
    </w:p>
    <w:p w14:paraId="22DEC321" w14:textId="77777777" w:rsidR="00A22975" w:rsidRDefault="00A22975" w:rsidP="00A22975">
      <w:pPr>
        <w:pStyle w:val="paragraph"/>
        <w:spacing w:before="0" w:beforeAutospacing="0" w:after="0" w:afterAutospacing="0" w:line="480" w:lineRule="auto"/>
        <w:ind w:firstLine="720"/>
        <w:jc w:val="both"/>
        <w:textAlignment w:val="baseline"/>
        <w:rPr>
          <w:rFonts w:ascii="Arial" w:hAnsi="Arial" w:cs="Arial"/>
        </w:rPr>
      </w:pPr>
    </w:p>
    <w:p w14:paraId="67DB6717" w14:textId="77777777" w:rsidR="004E10C8" w:rsidRDefault="004E10C8" w:rsidP="00A22975">
      <w:pPr>
        <w:pStyle w:val="paragraph"/>
        <w:spacing w:before="0" w:beforeAutospacing="0" w:after="0" w:afterAutospacing="0" w:line="480" w:lineRule="auto"/>
        <w:ind w:firstLine="720"/>
        <w:jc w:val="both"/>
        <w:textAlignment w:val="baseline"/>
        <w:rPr>
          <w:rFonts w:ascii="Arial" w:hAnsi="Arial" w:cs="Arial"/>
        </w:rPr>
      </w:pPr>
    </w:p>
    <w:p w14:paraId="55D045E9" w14:textId="659D005D" w:rsidR="00C06183" w:rsidRDefault="00C06183" w:rsidP="00721691">
      <w:pPr>
        <w:pStyle w:val="Heading2"/>
        <w:numPr>
          <w:ilvl w:val="1"/>
          <w:numId w:val="15"/>
        </w:numPr>
      </w:pPr>
      <w:bookmarkStart w:id="21" w:name="_Toc151032416"/>
      <w:r w:rsidRPr="00C06183">
        <w:lastRenderedPageBreak/>
        <w:t>Conclusions</w:t>
      </w:r>
      <w:bookmarkEnd w:id="21"/>
    </w:p>
    <w:p w14:paraId="26033F38" w14:textId="77777777" w:rsidR="00721691" w:rsidRPr="00721691" w:rsidRDefault="00721691" w:rsidP="00721691">
      <w:pPr>
        <w:pStyle w:val="ListParagraph"/>
      </w:pPr>
    </w:p>
    <w:p w14:paraId="1EEB3DBE" w14:textId="77777777" w:rsidR="004E10C8" w:rsidRDefault="00C06183" w:rsidP="004E10C8">
      <w:pPr>
        <w:spacing w:line="480" w:lineRule="auto"/>
        <w:jc w:val="both"/>
        <w:rPr>
          <w:rStyle w:val="normaltextrun"/>
          <w:rFonts w:ascii="Arial" w:hAnsi="Arial" w:cs="Arial"/>
          <w:color w:val="000000"/>
          <w:sz w:val="24"/>
          <w:szCs w:val="24"/>
          <w:shd w:val="clear" w:color="auto" w:fill="FFFFFF"/>
        </w:rPr>
      </w:pPr>
      <w:r w:rsidRPr="00C06183">
        <w:rPr>
          <w:rFonts w:ascii="Arial" w:hAnsi="Arial" w:cs="Arial"/>
          <w:sz w:val="24"/>
          <w:szCs w:val="24"/>
        </w:rPr>
        <w:tab/>
      </w:r>
      <w:r w:rsidRPr="00C06183">
        <w:rPr>
          <w:rStyle w:val="normaltextrun"/>
          <w:rFonts w:ascii="Arial" w:hAnsi="Arial" w:cs="Arial"/>
          <w:color w:val="000000"/>
          <w:sz w:val="24"/>
          <w:szCs w:val="24"/>
          <w:shd w:val="clear" w:color="auto" w:fill="FFFFFF"/>
        </w:rPr>
        <w:t>Efficient nanoparticle delivery to tumors requires fundamental understanding of the active and passive transport pathways and mechanisms that nanoparticles use to cross the tumor endothelium</w:t>
      </w:r>
      <w:r w:rsidR="00BF7DB5">
        <w:rPr>
          <w:rStyle w:val="normaltextrun"/>
          <w:rFonts w:ascii="Arial" w:hAnsi="Arial" w:cs="Arial"/>
          <w:color w:val="000000"/>
          <w:sz w:val="24"/>
          <w:szCs w:val="24"/>
          <w:shd w:val="clear" w:color="auto" w:fill="FFFFFF"/>
        </w:rPr>
        <w:t>.</w:t>
      </w:r>
      <w:r w:rsidRPr="00C06183">
        <w:rPr>
          <w:rStyle w:val="normaltextrun"/>
          <w:rFonts w:ascii="Arial" w:hAnsi="Arial" w:cs="Arial"/>
          <w:color w:val="000000"/>
          <w:sz w:val="24"/>
          <w:szCs w:val="24"/>
          <w:shd w:val="clear" w:color="auto" w:fill="FFFFFF"/>
        </w:rPr>
        <w:fldChar w:fldCharType="begin" w:fldLock="1"/>
      </w:r>
      <w:r w:rsidR="00A22975">
        <w:rPr>
          <w:rStyle w:val="normaltextrun"/>
          <w:rFonts w:ascii="Arial" w:hAnsi="Arial" w:cs="Arial"/>
          <w:color w:val="000000"/>
          <w:sz w:val="24"/>
          <w:szCs w:val="24"/>
          <w:shd w:val="clear" w:color="auto" w:fill="FFFFFF"/>
        </w:rPr>
        <w:instrText>ADDIN CSL_CITATION {"citationItems":[{"id":"ITEM-1","itemData":{"DOI":"10.1021/acsnano.8b03900","ISSN":"1936086X","abstract":"Coating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author":[{"dropping-particle":"","family":"Dai","given":"Qin","non-dropping-particle":"","parse-names":false,"suffix":""},{"dropping-particle":"","family":"Wilhelm","given":"Stefan","non-dropping-particle":"","parse-names":false,"suffix":""},{"dropping-particle":"","family":"Ding","given":"Ding","non-dropping-particle":"","parse-names":false,"suffix":""},{"dropping-particle":"","family":"Syed","given":"Abdullah Muhammad","non-dropping-particle":"","parse-names":false,"suffix":""},{"dropping-particle":"","family":"Sindhwani","given":"Shrey","non-dropping-particle":"","parse-names":false,"suffix":""},{"dropping-particle":"","family":"Zhang","given":"Yuwei","non-dropping-particle":"","parse-names":false,"suffix":""},{"dropping-particle":"","family":"Chen","given":"Yih Yang","non-dropping-particle":"","parse-names":false,"suffix":""},{"dropping-particle":"","family":"Macmillan","given":"Presley","non-dropping-particle":"","parse-names":false,"suffix":""},{"dropping-particle":"","family":"Chan","given":"Warren C.W.","non-dropping-particle":"","parse-names":false,"suffix":""}],"container-title":"ACS Nano","id":"ITEM-1","issue":"8","issued":{"date-parts":[["2018"]]},"page":"8423-8435","title":"Quantifying the Ligand-Coated Nanoparticle Delivery to Cancer Cells in Solid Tumors","type":"article-journal","volume":"12"},"uris":["http://www.mendeley.com/documents/?uuid=47f65992-134a-451f-bfbe-26867c4b078b"]}],"mendeley":{"formattedCitation":"&lt;sup&gt;36&lt;/sup&gt;","plainTextFormattedCitation":"36","previouslyFormattedCitation":"&lt;sup&gt;36&lt;/sup&gt;"},"properties":{"noteIndex":0},"schema":"https://github.com/citation-style-language/schema/raw/master/csl-citation.json"}</w:instrText>
      </w:r>
      <w:r w:rsidRPr="00C06183">
        <w:rPr>
          <w:rStyle w:val="normaltextrun"/>
          <w:rFonts w:ascii="Arial" w:hAnsi="Arial" w:cs="Arial"/>
          <w:color w:val="000000"/>
          <w:sz w:val="24"/>
          <w:szCs w:val="24"/>
          <w:shd w:val="clear" w:color="auto" w:fill="FFFFFF"/>
        </w:rPr>
        <w:fldChar w:fldCharType="separate"/>
      </w:r>
      <w:r w:rsidR="00A22975" w:rsidRPr="00A22975">
        <w:rPr>
          <w:rStyle w:val="normaltextrun"/>
          <w:rFonts w:ascii="Arial" w:hAnsi="Arial" w:cs="Arial"/>
          <w:noProof/>
          <w:color w:val="000000"/>
          <w:sz w:val="24"/>
          <w:szCs w:val="24"/>
          <w:shd w:val="clear" w:color="auto" w:fill="FFFFFF"/>
          <w:vertAlign w:val="superscript"/>
        </w:rPr>
        <w:t>36</w:t>
      </w:r>
      <w:r w:rsidRPr="00C06183">
        <w:rPr>
          <w:rStyle w:val="normaltextrun"/>
          <w:rFonts w:ascii="Arial" w:hAnsi="Arial" w:cs="Arial"/>
          <w:color w:val="000000"/>
          <w:sz w:val="24"/>
          <w:szCs w:val="24"/>
          <w:shd w:val="clear" w:color="auto" w:fill="FFFFFF"/>
        </w:rPr>
        <w:fldChar w:fldCharType="end"/>
      </w:r>
      <w:r w:rsidRPr="00C06183">
        <w:rPr>
          <w:rStyle w:val="normaltextrun"/>
          <w:rFonts w:ascii="Arial" w:hAnsi="Arial" w:cs="Arial"/>
          <w:color w:val="000000"/>
          <w:sz w:val="24"/>
          <w:szCs w:val="24"/>
          <w:shd w:val="clear" w:color="auto" w:fill="FFFFFF"/>
        </w:rPr>
        <w:t xml:space="preserve"> Further knowledge of the different types of tumor blood vessels and how these different vessel types affect nanoparticle transport will be instrumental. The design of tumor targeted nanoparticles that can undergo selective transcellular transport across tumor endothelial cells represents a new frontier in cancer nanomedicine research. Future studies will focus on spatiotemporal characterization of nanoparticle interactions with different tumor blood vessel types and the relationships between nanoparticle physicochemical properties and specific endocytosis and transcytosis pathways in tumor endothelial cells. It has been shown that engineered T cells carrying multilamellar lipid nanoparticles on their surface retain much more of their cargo after crossing endothelial barriers compared to T cells carrying lipid coated PLGA nanoparticles</w:t>
      </w:r>
      <w:r w:rsidR="00BF7DB5">
        <w:rPr>
          <w:rStyle w:val="normaltextrun"/>
          <w:rFonts w:ascii="Arial" w:hAnsi="Arial" w:cs="Arial"/>
          <w:color w:val="000000"/>
          <w:sz w:val="24"/>
          <w:szCs w:val="24"/>
          <w:shd w:val="clear" w:color="auto" w:fill="FFFFFF"/>
        </w:rPr>
        <w:t>.</w:t>
      </w:r>
      <w:r w:rsidRPr="00C06183">
        <w:rPr>
          <w:rStyle w:val="normaltextrun"/>
          <w:rFonts w:ascii="Arial" w:hAnsi="Arial" w:cs="Arial"/>
          <w:color w:val="000000"/>
          <w:sz w:val="24"/>
          <w:szCs w:val="24"/>
          <w:shd w:val="clear" w:color="auto" w:fill="FFFFFF"/>
        </w:rPr>
        <w:fldChar w:fldCharType="begin" w:fldLock="1"/>
      </w:r>
      <w:r w:rsidR="008C387C">
        <w:rPr>
          <w:rStyle w:val="normaltextrun"/>
          <w:rFonts w:ascii="Arial" w:hAnsi="Arial" w:cs="Arial"/>
          <w:color w:val="000000"/>
          <w:sz w:val="24"/>
          <w:szCs w:val="24"/>
          <w:shd w:val="clear" w:color="auto" w:fill="FFFFFF"/>
        </w:rPr>
        <w:instrText>ADDIN CSL_CITATION {"citationItems":[{"id":"ITEM-1","itemData":{"DOI":"10.1038/nm.2198","ISSN":"10788956","PMID":"20711198","abstract":"A major limitation of cell therapies is the rapid decline in viability and function of the transplanted cells. Here we describe a strategy to enhance cell therapy via the conjugation of adjuvant drug-loaded nanoparticles to the surfaces of therapeutic cells. With this method of providing sustained pseudoautocrine stimulation to donor cells, we elicited marked enhancements in tumor elimination in a model of adoptive T cell therapy for cancer. We also increased the in vivo repopulation rate of hematopoietic stem cell grafts with very low doses of adjuvant drugs that were ineffective when given systemically. This approach is a simple and generalizable strategy to augment cytoreagents while minimizing the systemic side effects of adjuvant drugs. In addition, these results suggest therapeutic cells are promising vectors for actively targeted drug delivery. © 2010 Nature America, Inc. All rights reserved.","author":[{"dropping-particle":"","family":"Stephan","given":"Matthias T.","non-dropping-particle":"","parse-names":false,"suffix":""},{"dropping-particle":"","family":"Moon","given":"James J.","non-dropping-particle":"","parse-names":false,"suffix":""},{"dropping-particle":"","family":"Um","given":"Soong Ho","non-dropping-particle":"","parse-names":false,"suffix":""},{"dropping-particle":"","family":"Bersthteyn","given":"Anna","non-dropping-particle":"","parse-names":false,"suffix":""},{"dropping-particle":"","family":"Irvine","given":"Darrell J.","non-dropping-particle":"","parse-names":false,"suffix":""}],"container-title":"Nature Medicine","id":"ITEM-1","issue":"9","issued":{"date-parts":[["2010"]]},"page":"1035-1041","publisher":"Nature Publishing Group","title":"Therapeutic cell engineering with surface-conjugated synthetic nanoparticles","type":"article-journal","volume":"16"},"uris":["http://www.mendeley.com/documents/?uuid=60c090c1-7bf2-48c3-a598-ee8fda6fb1d0"]}],"mendeley":{"formattedCitation":"&lt;sup&gt;270&lt;/sup&gt;","plainTextFormattedCitation":"270","previouslyFormattedCitation":"&lt;sup&gt;270&lt;/sup&gt;"},"properties":{"noteIndex":0},"schema":"https://github.com/citation-style-language/schema/raw/master/csl-citation.json"}</w:instrText>
      </w:r>
      <w:r w:rsidRPr="00C06183">
        <w:rPr>
          <w:rStyle w:val="normaltextrun"/>
          <w:rFonts w:ascii="Arial" w:hAnsi="Arial" w:cs="Arial"/>
          <w:color w:val="000000"/>
          <w:sz w:val="24"/>
          <w:szCs w:val="24"/>
          <w:shd w:val="clear" w:color="auto" w:fill="FFFFFF"/>
        </w:rPr>
        <w:fldChar w:fldCharType="separate"/>
      </w:r>
      <w:r w:rsidR="009D7D40" w:rsidRPr="009D7D40">
        <w:rPr>
          <w:rStyle w:val="normaltextrun"/>
          <w:rFonts w:ascii="Arial" w:hAnsi="Arial" w:cs="Arial"/>
          <w:noProof/>
          <w:color w:val="000000"/>
          <w:sz w:val="24"/>
          <w:szCs w:val="24"/>
          <w:shd w:val="clear" w:color="auto" w:fill="FFFFFF"/>
          <w:vertAlign w:val="superscript"/>
        </w:rPr>
        <w:t>270</w:t>
      </w:r>
      <w:r w:rsidRPr="00C06183">
        <w:rPr>
          <w:rStyle w:val="normaltextrun"/>
          <w:rFonts w:ascii="Arial" w:hAnsi="Arial" w:cs="Arial"/>
          <w:color w:val="000000"/>
          <w:sz w:val="24"/>
          <w:szCs w:val="24"/>
          <w:shd w:val="clear" w:color="auto" w:fill="FFFFFF"/>
        </w:rPr>
        <w:fldChar w:fldCharType="end"/>
      </w:r>
      <w:r w:rsidRPr="00C06183">
        <w:rPr>
          <w:rStyle w:val="normaltextrun"/>
          <w:rFonts w:ascii="Arial" w:hAnsi="Arial" w:cs="Arial"/>
          <w:color w:val="000000" w:themeColor="text1"/>
          <w:sz w:val="24"/>
          <w:szCs w:val="24"/>
        </w:rPr>
        <w:t xml:space="preserve"> For this reason, i</w:t>
      </w:r>
      <w:r w:rsidRPr="00C06183">
        <w:rPr>
          <w:rStyle w:val="normaltextrun"/>
          <w:rFonts w:ascii="Arial" w:hAnsi="Arial" w:cs="Arial"/>
          <w:color w:val="000000"/>
          <w:sz w:val="24"/>
          <w:szCs w:val="24"/>
          <w:shd w:val="clear" w:color="auto" w:fill="FFFFFF"/>
        </w:rPr>
        <w:t>n addition to ultrastructural imaging approaches, there is a need to characterize nanoparticle physiochemical properties, including changes in the nanoparticle protein corona composition, before and after transport across tumor blood vessels. Such research may identify pathways, mechanisms, and specific biomolecules involved in trans-endothelial transport and nanoparticle tumor delivery. The successful design of nanoparticles that selectively transport therapeutic and imaging payloads across tumor blood vessels will enable a new generation of safer and more effective cancer nanomedicines for clinical translation.</w:t>
      </w:r>
    </w:p>
    <w:p w14:paraId="49A4CE2F" w14:textId="0A84ACF1" w:rsidR="00CB3F0F" w:rsidRPr="004E10C8" w:rsidRDefault="00C06183" w:rsidP="004E10C8">
      <w:pPr>
        <w:pStyle w:val="Heading1"/>
        <w:rPr>
          <w:rStyle w:val="Heading1Char"/>
          <w:b/>
        </w:rPr>
      </w:pPr>
      <w:r w:rsidRPr="00BD00FA">
        <w:br w:type="page"/>
      </w:r>
      <w:bookmarkStart w:id="22" w:name="_Toc151032417"/>
      <w:r w:rsidR="00E34AB4" w:rsidRPr="004E10C8">
        <w:rPr>
          <w:rStyle w:val="Heading1Char"/>
          <w:b/>
        </w:rPr>
        <w:lastRenderedPageBreak/>
        <w:t xml:space="preserve">Chapter 2: </w:t>
      </w:r>
      <w:r w:rsidR="00CB3F0F" w:rsidRPr="004E10C8">
        <w:rPr>
          <w:rStyle w:val="Heading1Char"/>
          <w:b/>
        </w:rPr>
        <w:t xml:space="preserve">Three-Dimensional Super-Resolution Microscopy for Visualizing </w:t>
      </w:r>
      <w:r w:rsidR="00305282" w:rsidRPr="004E10C8">
        <w:rPr>
          <w:rStyle w:val="Heading1Char"/>
          <w:b/>
        </w:rPr>
        <w:t xml:space="preserve">Metallic </w:t>
      </w:r>
      <w:r w:rsidR="00CB3F0F" w:rsidRPr="004E10C8">
        <w:rPr>
          <w:rStyle w:val="Heading1Char"/>
          <w:b/>
        </w:rPr>
        <w:t>Nanoparticle Localization Within Cells</w:t>
      </w:r>
      <w:bookmarkEnd w:id="22"/>
    </w:p>
    <w:p w14:paraId="217DA463" w14:textId="77777777" w:rsidR="004E10C8" w:rsidRPr="004E10C8" w:rsidRDefault="004E10C8" w:rsidP="004E10C8"/>
    <w:p w14:paraId="2DE5A59C" w14:textId="5A71D2B0" w:rsidR="000D3D4F" w:rsidRDefault="000D3D4F" w:rsidP="00721691">
      <w:pPr>
        <w:pStyle w:val="Heading2"/>
      </w:pPr>
      <w:bookmarkStart w:id="23" w:name="_Toc151032418"/>
      <w:r>
        <w:t xml:space="preserve">2.1 </w:t>
      </w:r>
      <w:r w:rsidRPr="000D3D4F">
        <w:t>Introduction</w:t>
      </w:r>
      <w:bookmarkEnd w:id="23"/>
    </w:p>
    <w:p w14:paraId="7E25E547" w14:textId="77777777" w:rsidR="00721691" w:rsidRPr="00721691" w:rsidRDefault="00721691" w:rsidP="00721691"/>
    <w:p w14:paraId="5E0F2092" w14:textId="0B92BC96" w:rsidR="000D3D4F" w:rsidRPr="000D3D4F" w:rsidRDefault="000D3D4F" w:rsidP="00C607A8">
      <w:pPr>
        <w:spacing w:line="480" w:lineRule="auto"/>
        <w:ind w:firstLine="360"/>
        <w:jc w:val="both"/>
        <w:rPr>
          <w:rFonts w:ascii="Arial" w:hAnsi="Arial" w:cs="Arial"/>
          <w:sz w:val="24"/>
          <w:szCs w:val="24"/>
        </w:rPr>
      </w:pPr>
      <w:r w:rsidRPr="000D3D4F">
        <w:rPr>
          <w:rFonts w:ascii="Arial" w:hAnsi="Arial" w:cs="Arial"/>
          <w:sz w:val="24"/>
          <w:szCs w:val="24"/>
        </w:rPr>
        <w:t>Developing safer and more effective nanomedicines requires new imaging tools and methods to quantify nanoparticle spatiotemporal distributions at cellular, sub-cellular, and ultrastructural levels.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{"citationItems":[{"id":"ITEM-1","itemData":{"DOI":"10.3389/fphar.2018.00790","ISSN":"16639812","abstract":"The use of nanotechnology in medicine has the potential to have a major impact on human health for the prevention, diagnosis, and treatment of diseases. One particular aspect of the nanomedicine field which has received a great deal of attention is the design and development of nanoparticulate nanomedicines (NNMs) for drug delivery (i.e., drug-containing nanoparticles). NNMs are intended to deliver drugs via various mechanisms: solubilization, passive targeting, active targeting, and triggered release. The NNM approach aims to increase therapeutic efficacy, decrease the therapeutically effective dose, and/or reduce the risk of systemic side effects. In order to move a NNM from the bench to the bedside, several experimental challenges need to be addressed. This review will discuss the current trends and challenges in the clinical translation of NNMs as well as the potential pathways for translational development and commercialization. Key issues related to the clinical development of NNMs will be covered, including biological challenges, large-scale manufacturing, biocompatibility and safety, intellectual property (IP), government regulations, and overall cost-effectiveness in comparison to current therapies. These factors can impose significant hurdles limiting the appearance of NNMs on the market, irrelevant of whether they are therapeutically beneficial or not.","author":[{"dropping-particle":"","family":"Hua","given":"Susan","non-dropping-particle":"","parse-names":false,"suffix":""},{"dropping-particle":"","family":"Matos","given":"Maria B.C.","non-dropping-particle":"de","parse-names":false,"suffix":""},{"dropping-particle":"","family":"Metselaar","given":"Josbert M.","non-dropping-particle":"","parse-names":false,"suffix":""},{"dropping-particle":"","family":"Storm","given":"Gert","non-dropping-particle":"","parse-names":false,"suffix":""}],"container-title":"Frontiers in Pharmacology","id":"ITEM-1","issue":"JUL","issued":{"date-parts":[["2018"]]},"page":"1-14","title":"Current trends and challenges in the clinical translation of nanoparticulate nanomedicines: Pathways for translational development and commercialization","type":"article-journal","volume":"9"},"uris":["http://www.mendeley.com/documents/?uuid=5396b3b3-999b-455a-90ff-0e52475765cd"]}],"mendeley":{"formattedCitation":"&lt;sup&gt;271&lt;/sup&gt;","plainTextFormattedCitation":"271","previouslyFormattedCitation":"&lt;sup&gt;271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271</w:t>
      </w:r>
      <w:r w:rsidRPr="000D3D4F">
        <w:rPr>
          <w:rFonts w:ascii="Arial" w:hAnsi="Arial" w:cs="Arial"/>
          <w:sz w:val="24"/>
          <w:szCs w:val="24"/>
        </w:rPr>
        <w:fldChar w:fldCharType="end"/>
      </w:r>
      <w:r w:rsidRPr="000D3D4F">
        <w:rPr>
          <w:rFonts w:ascii="Arial" w:hAnsi="Arial" w:cs="Arial"/>
          <w:sz w:val="24"/>
          <w:szCs w:val="24"/>
        </w:rPr>
        <w:t xml:space="preserve"> These quantitative data have the potential to guide nanoparticle engineering with the goal of controlling nanoparticle interactions with cells.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{"citationItems":[{"id":"ITEM-1","itemData":{"DOI":"10.1038/cr.2010.19","ISSN":"10010602","PMID":"20125123","abstract":"Endocytosis occurs at the cell surface and involves internalization of the plasma membrane (PM) along with its constituent membrane proteins and lipids. Endocytosis is involved in sampling of the extracellular milieu and also serves to regulate various processes initiated at the cell surface. These include nutrient uptake, signaling from cell-surface receptors, and many other processes essential for cell and tissue functioning in metazoans. It is also central to the maintenance of PM lipid and protein homeostasis. There are multiple means of internalization that operate concurrently, at the cell surface. With advancement in high-resolution visualization techniques, it is now possible to track multiple endocytic cargo at the same time, revealing a remarkable diversity of endocytic processes in a single cell. A combination of live cell imaging and efficient genetic manipulations has also aided in understanding the functional hierarchy of molecular players in these mechanisms of internalization. Here we provide an account of various endocytic routes, their mechanisms of operation and occurrence across phyla. © 2010 IBCB, SIBS, CAS All rights reserved.","author":[{"dropping-particle":"","family":"Kumari","given":"Sudha","non-dropping-particle":"","parse-names":false,"suffix":""},{"dropping-particle":"","family":"Mg","given":"Swetha","non-dropping-particle":"","parse-names":false,"suffix":""},{"dropping-particle":"","family":"Mayor","given":"Satyajit","non-dropping-particle":"","parse-names":false,"suffix":""}],"container-title":"Cell Research","id":"ITEM-1","issue":"3","issued":{"date-parts":[["2010"]]},"page":"256-275","publisher":"Nature Publishing Group","title":"Endocytosis unplugged: Multiple ways to enter the cell","type":"article-journal","volume":"20"},"uris":["http://www.mendeley.com/documents/?uuid=455b7d49-d917-4fd1-8c8d-6466c793eb04"]},{"id":"ITEM-2","itemData":{"DOI":"10.1038/s41565-021-00858-8","ISSN":"1748-3387","author":[{"dropping-particle":"","family":"Rennick","given":"Joshua J","non-dropping-particle":"","parse-names":false,"suffix":""},{"dropping-particle":"","family":"Johnston","given":"Angus P R","non-dropping-particle":"","parse-names":false,"suffix":""},{"dropping-particle":"","family":"Parton","given":"Robert G","non-dropping-particle":"","parse-names":false,"suffix":""}],"container-title":"Nature Nanotechnology","id":"ITEM-2","issue":"3","issued":{"date-parts":[["2021","3","12"]]},"page":"266-276","publisher":"Springer US","title":"Key principles and methods for studying the endocytosis of biological and nanoparticle therapeutics","type":"article-journal","volume":"16"},"uris":["http://www.mendeley.com/documents/?uuid=7d1963e2-bd56-421c-baaa-8c95c3606b29"]}],"mendeley":{"formattedCitation":"&lt;sup&gt;272,273&lt;/sup&gt;","plainTextFormattedCitation":"272,273","previouslyFormattedCitation":"&lt;sup&gt;272,273&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272,273</w:t>
      </w:r>
      <w:r w:rsidRPr="000D3D4F">
        <w:rPr>
          <w:rFonts w:ascii="Arial" w:hAnsi="Arial" w:cs="Arial"/>
          <w:sz w:val="24"/>
          <w:szCs w:val="24"/>
        </w:rPr>
        <w:fldChar w:fldCharType="end"/>
      </w:r>
    </w:p>
    <w:p w14:paraId="05616526" w14:textId="76121DFA"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Conventional biological transmission electron microscopy (TEM) can achieve a spatial resolution of ~2 nm to provide ultrastructural information of cell and tissue sections.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{"citationItems":[{"id":"ITEM-1","itemData":{"DOI":"10.3390/ijms222312789","ISSN":"14220067","PMID":"34884592","abstract":"Nanomedical research necessarily involves the study of the interactions between nano-particulates and the biological environment. Transmission electron microscopy has proven to be a powerful tool in providing information about nanoparticle uptake, biodistribution and relation-ships with cell and tissue components, thanks to its high resolution. This article aims to overview the transmission electron microscopy techniques used to explore the impact of nanoconstructs on biological systems, highlighting the functional value of ultrastructural morphology, histochemistry and microanalysis as well as their fundamental contribution to the advancement of nanomedicine.","author":[{"dropping-particle":"","family":"Malatesta","given":"Manuela","non-dropping-particle":"","parse-names":false,"suffix":""}],"container-title":"International Journal of Molecular Sciences","id":"ITEM-1","issue":"23","issued":{"date-parts":[["2021"]]},"title":"Transmission electron microscopy as a powerful tool to investigate the interaction of nanoparticles with subcellular structures","type":"article-journal","volume":"22"},"uris":["http://www.mendeley.com/documents/?uuid=be1f6624-54b6-45f1-86a5-90565369f5fe"]}],"mendeley":{"formattedCitation":"&lt;sup&gt;274&lt;/sup&gt;","plainTextFormattedCitation":"274","previouslyFormattedCitation":"&lt;sup&gt;274&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274</w:t>
      </w:r>
      <w:r w:rsidRPr="000D3D4F">
        <w:rPr>
          <w:rFonts w:ascii="Arial" w:hAnsi="Arial" w:cs="Arial"/>
          <w:sz w:val="24"/>
          <w:szCs w:val="24"/>
        </w:rPr>
        <w:fldChar w:fldCharType="end"/>
      </w:r>
      <w:r w:rsidRPr="000D3D4F">
        <w:rPr>
          <w:rFonts w:ascii="Arial" w:hAnsi="Arial" w:cs="Arial"/>
          <w:sz w:val="24"/>
          <w:szCs w:val="24"/>
        </w:rPr>
        <w:t xml:space="preserve"> However, the imaging depth in TEM is typically limited to very thin biological samples. With section thicknesses of ~100 nm or less, it is difficult to achieve 3D imaging of entire cells or tissues with TEM, as the exact stacking of images from different sections is challenging.</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{"citationItems":[{"id":"ITEM-1","itemData":{"DOI":"10.1016/j.micron.2022.103304","ISSN":"09684328","abstract":"We review the practical factors that determine the spatial resolution of transmission electron microscopy (TEM) and scanning-transmission electron microscopy (STEM), then enumerate the advantages of representing resolution in terms of a point-spread function. PSFs are given for the major resolution-limiting factors: aperture diffraction, spherical and chromatic aberration, beam divergence, beam broadening, Coulomb delocalization, radiolysis damage and secondary-electron generation from adatoms or atoms in a matrix. We note various definitions of beam broadening, complications of describing this effect in very thin specimens, and ways of optimizing the resolution in bright-field STEM of thick samples. Beam spreading in amorphous and crystalline materials is compared by means of simulations. For beam-sensitive specimens, we emphasize the importance of dose-limited resolution (DLR) and briefly recognize efforts to overcome the fundamental resolution limits set by the wave and particle properties of electrons.","author":[{"dropping-particle":"","family":"Egerton","given":"R. F.","non-dropping-particle":"","parse-names":false,"suffix":""},{"dropping-particle":"","family":"Watanabe","given":"M.","non-dropping-particle":"","parse-names":false,"suffix":""}],"container-title":"Micron","id":"ITEM-1","issue":"May","issued":{"date-parts":[["2022"]]},"page":"103304","publisher":"Elsevier Ltd","title":"Spatial resolution in transmission electron microscopy","type":"article-journal","volume":"160"},"uris":["http://www.mendeley.com/documents/?uuid=0ae8fc2a-24ee-4c5f-897a-c479162c73c3"]},{"id":"ITEM-2","itemData":{"DOI":"10.1523/JNEUROSCI.3994-06.2006","ISSN":"0270-6474","author":[{"dropping-particle":"","family":"Harris","given":"Kristen M.","non-dropping-particle":"","parse-names":false,"suffix":""},{"dropping-particle":"","family":"Perry","given":"Elizabeth","non-dropping-particle":"","parse-names":false,"suffix":""},{"dropping-particle":"","family":"Bourne","given":"Jennifer","non-dropping-particle":"","parse-names":false,"suffix":""},{"dropping-particle":"","family":"Feinberg","given":"Marcia","non-dropping-particle":"","parse-names":false,"suffix":""},{"dropping-particle":"","family":"Ostroff","given":"Linnaea","non-dropping-particle":"","parse-names":false,"suffix":""},{"dropping-particle":"","family":"Hurlburt","given":"Jamie","non-dropping-particle":"","parse-names":false,"suffix":""}],"container-title":"Journal of Neuroscience","id":"ITEM-2","issue":"47","issued":{"date-parts":[["2006","11","22"]]},"page":"12101-12103","title":"Uniform Serial Sectioning for Transmission Electron Microscopy","type":"article-journal","volume":"26"},"uris":["http://www.mendeley.com/documents/?uuid=c1dfc651-2896-41fc-971d-88d72f9c0b29"]}],"mendeley":{"formattedCitation":"&lt;sup&gt;275,276&lt;/sup&gt;","plainTextFormattedCitation":"275,276","previouslyFormattedCitation":"&lt;sup&gt;275,276&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275,276</w:t>
      </w:r>
      <w:r w:rsidRPr="000D3D4F">
        <w:rPr>
          <w:rFonts w:ascii="Arial" w:hAnsi="Arial" w:cs="Arial"/>
          <w:sz w:val="24"/>
          <w:szCs w:val="24"/>
        </w:rPr>
        <w:fldChar w:fldCharType="end"/>
      </w:r>
      <w:r w:rsidRPr="000D3D4F">
        <w:rPr>
          <w:rFonts w:ascii="Arial" w:hAnsi="Arial" w:cs="Arial"/>
          <w:sz w:val="24"/>
          <w:szCs w:val="24"/>
        </w:rPr>
        <w:t xml:space="preserve"> On the other hand, capturing the full 3D volume of biological samples using standard optical microscopes is relatively straightforward.</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{"citationItems":[{"id":"ITEM-1","itemData":{"DOI":"10.1038/s41596-020-0313-9","ISSN":"17502799","PMID":"32235926","abstract":"When used appropriately, a confocal fluorescence microscope is an excellent tool for making quantitative measurements in cells and tissues. The confocal microscope’s ability to block out-of-focus light and thereby perform optical sectioning through a specimen allows the researcher to quantify fluorescence with very high spatial precision. However, generating meaningful data using confocal microscopy requires careful planning and a thorough understanding of the technique. In this tutorial, the researcher is guided through all aspects of acquiring quantitative confocal microscopy images, including optimizing sample preparation for fixed and live cells, choosing the most suitable microscope for a given application and configuring the microscope parameters. Suggestions are offered for planning unbiased and rigorous confocal microscope experiments. Common pitfalls such as photobleaching and cross-talk are addressed, as well as several troubling instrumentation problems that may prevent the acquisition of quantitative data. Finally, guidelines for analyzing and presenting confocal images in a way that maintains the quantitative nature of the data are presented, and statistical analysis is discussed. A visual summary of this tutorial is available as a poster (https://doi.org/10.1038/s41596-020-0307-7).","author":[{"dropping-particle":"","family":"Jonkman","given":"James","non-dropping-particle":"","parse-names":false,"suffix":""},{"dropping-particle":"","family":"Brown","given":"Claire M.","non-dropping-particle":"","parse-names":false,"suffix":""},{"dropping-particle":"","family":"Wright","given":"Graham D.","non-dropping-particle":"","parse-names":false,"suffix":""},{"dropping-particle":"","family":"Anderson","given":"Kurt I.","non-dropping-particle":"","parse-names":false,"suffix":""},{"dropping-particle":"","family":"North","given":"Alison J.","non-dropping-particle":"","parse-names":false,"suffix":""}],"container-title":"Nature Protocols","id":"ITEM-1","issue":"5","issued":{"date-parts":[["2020"]]},"page":"1585-1611","publisher":"Springer US","title":"Tutorial: guidance for quantitative confocal microscopy","type":"article-journal","volume":"15"},"uris":["http://www.mendeley.com/documents/?uuid=caa75207-8978-402c-a578-41eee65973ff"]},{"id":"ITEM-2","itemData":{"DOI":"10.1016/j.jviromet.2013.06.018","ISSN":"01660934","PMID":"23792686","abstract":"Varicella-zoster virus (VZV) is a human herpesvirus. Primary infection causes varicella (chickenpox), a viremic illness typified by an exanthem consisting of several hundred vesicles. When VZV reactivates from latency in the spinal ganglia during late adulthood, the emerging virus causes a vesicular dermatomal rash (herpes zoster or shingles). To expand investigations of autophagy during varicella and zoster, newer 3D imaging technology was combined with laser scanning confocal microscopy to provide animations of autophagosomes in the vesicular rash. First, the cells were immunolabeled with antibodies against VZV proteins and the LC3 protein, an integral autophagosomal protein. Antibody reagents lacking activity against the human blood group A1 antigen were selected. After laser excitation of the samples, optimized emission detection bandwidths were configured by Zeiss Zen control software. Confocal Z-stacks comprising up to 40 optical slices were reconstructed into 3D animations with the aid of Imaris software. With this imaging technology, individual autophagosomes were clearly detectable as spheres within each vesicular cell. To enumerate the number of autophagosomes, data sets from 50 cells were reconstructed as 3D fluorescence images and analyzed with MeasurementPro software. The mean number of autophagosomes per infected vesicular cell was &gt;100, although over 200 autophagosomes were seen in a few cells. In summary, macroautophagy was easily quantitated within VZV-infected cells after immunolabeling and imaging by 3D confocal animation technology. These same 3D imaging techniques will be applicable for investigations of autophagy in other virus-infected cells. © 2013 The Authors.","author":[{"dropping-particle":"","family":"Jackson","given":"Wallen","non-dropping-particle":"","parse-names":false,"suffix":""},{"dropping-particle":"","family":"Yamada","given":"Masaki","non-dropping-particle":"","parse-names":false,"suffix":""},{"dropping-particle":"","family":"Moninger","given":"Thomas","non-dropping-particle":"","parse-names":false,"suffix":""},{"dropping-particle":"","family":"Grose","given":"Charles","non-dropping-particle":"","parse-names":false,"suffix":""}],"container-title":"Journal of Virological Methods","id":"ITEM-2","issue":"1","issued":{"date-parts":[["2013","10"]]},"page":"244-250","title":"Visualization and quantitation of abundant macroautophagy in virus-infected cells by confocal three-dimensional fluorescence imaging","type":"article-journal","volume":"193"},"uris":["http://www.mendeley.com/documents/?uuid=e7568b3e-4685-4a73-a709-7f5144e6fbf6"]},{"id":"ITEM-3","itemData":{"DOI":"10.1021/acsnano.6b01879","ISSN":"1936086X","abstract":"The role of tissue architecture in mediating nanoparticle transport, targeting, and biological effects is unknown due to the lack of tools for imaging nanomaterials in whole organs. Here, we developed a rapid optical mapping technique to image nanomaterials in intact organs ex vivo and in three-dimensions (3D). We engineered a high-throughput electrophoretic flow device to simultaneously transform up to 48 tissues into optically transparent structures, allowing subcellular imaging of nanomaterials more than 1 mm deep into tissues which is 25-fold greater than current techniques. A key finding is that nanomaterials can be retained in the processed tissue by chemical cross-linking of surface adsorbed serum proteins to the tissue matrix, which enables nanomaterials to be imaged with respect to cells, blood vessels, and other structures. We developed a computational algorithm to analyze and quantitatively map nanomaterial distribution. This method can be universally applied to visualize the distribution and interactions of materials in whole tissues and animals including such applications as the imaging of nanomaterials, tissue engineered constructs, and biosensors within their intact biological environment.","author":[{"dropping-particle":"","family":"Sindhwani","given":"Shrey","non-dropping-particle":"","parse-names":false,"suffix":""},{"dropping-particle":"","family":"Syed","given":"Abdullah Muhammad","non-dropping-particle":"","parse-names":false,"suffix":""},{"dropping-particle":"","family":"Wilhelm","given":"Stefan","non-dropping-particle":"","parse-names":false,"suffix":""},{"dropping-particle":"","family":"Glancy","given":"Dylan R.","non-dropping-particle":"","parse-names":false,"suffix":""},{"dropping-particle":"","family":"Chen","given":"Yih Yang","non-dropping-particle":"","parse-names":false,"suffix":""},{"dropping-particle":"","family":"Dobosz","given":"Michael","non-dropping-particle":"","parse-names":false,"suffix":""},{"dropping-particle":"","family":"Chan","given":"Warren C.W.","non-dropping-particle":"","parse-names":false,"suffix":""}],"container-title":"ACS Nano","id":"ITEM-3","issue":"5","issued":{"date-parts":[["2016"]]},"page":"5468-5478","title":"Three-Dimensional Optical Mapping of Nanoparticle Distribution in Intact Tissues","type":"article-journal","volume":"10"},"uris":["http://www.mendeley.com/documents/?uuid=11dc3ec6-06c6-4841-8057-19002e5bc809"]},{"id":"ITEM-4","itemData":{"DOI":"10.1021/jacs.7b04022","ISSN":"0002-7863","author":[{"dropping-particle":"","family":"Syed","given":"Abdullah Muhammad","non-dropping-particle":"","parse-names":false,"suffix":""},{"dropping-particle":"","family":"Sindhwani","given":"Shrey","non-dropping-particle":"","parse-names":false,"suffix":""},{"dropping-particle":"","family":"Wilhelm","given":"Stefan","non-dropping-particle":"","parse-names":false,"suffix":""},{"dropping-particle":"","family":"Kingston","given":"Benjamin R.","non-dropping-particle":"","parse-names":false,"suffix":""},{"dropping-particle":"","family":"Lee","given":"Dennis S. W.","non-dropping-particle":"","parse-names":false,"suffix":""},{"dropping-particle":"","family":"Gommerman","given":"Jennifer L.","non-dropping-particle":"","parse-names":false,"suffix":""},{"dropping-particle":"","family":"Chan","given":"Warren C. W.","non-dropping-particle":"","parse-names":false,"suffix":""}],"container-title":"Journal of the American Chemical Society","id":"ITEM-4","issue":"29","issued":{"date-parts":[["2017","7","26"]]},"page":"9961-9971","title":"Three-Dimensional Imaging of Transparent Tissues via Metal Nanoparticle Labeling","type":"article-journal","volume":"139"},"uris":["http://www.mendeley.com/documents/?uuid=c1e0c606-4d64-4079-8bda-209d4890a628"]},{"id":"ITEM-5","itemData":{"DOI":"10.1021/acs.bioconjchem.6b00500","ISSN":"1043-1802","author":[{"dropping-particle":"","family":"Sindhwani","given":"Shrey","non-dropping-particle":"","parse-names":false,"suffix":""},{"dropping-particle":"","family":"Syed","given":"Abdullah Muhammad","non-dropping-particle":"","parse-names":false,"suffix":""},{"dropping-particle":"","family":"Wilhelm","given":"Stefan","non-dropping-particle":"","parse-names":false,"suffix":""},{"dropping-particle":"","family":"Chan","given":"Warren C. W.","non-dropping-particle":"","parse-names":false,"suffix":""}],"container-title":"Bioconjugate Chemistry","id":"ITEM-5","issue":"1","issued":{"date-parts":[["2017","1","18"]]},"page":"253-259","title":"Exploring Passive Clearing for 3D Optical Imaging of Nanoparticles in Intact Tissues","type":"article-journal","volume":"28"},"uris":["http://www.mendeley.com/documents/?uuid=64c30e22-fd24-4e66-94e0-5376794c8fef"]},{"id":"ITEM-6","itemData":{"DOI":"10.1021/acs.nanolett.9b04853","ISSN":"1530-6984","author":[{"dropping-particle":"","family":"Syed","given":"Abdullah Muhammad","non-dropping-particle":"","parse-names":false,"suffix":""},{"dropping-particle":"","family":"MacMillan","given":"Presley","non-dropping-particle":"","parse-names":false,"suffix":""},{"dropping-particle":"","family":"Ngai","given":"Jessica","non-dropping-particle":"","parse-names":false,"suffix":""},{"dropping-particle":"","family":"Wilhelm","given":"Stefan","non-dropping-particle":"","parse-names":false,"suffix":""},{"dropping-particle":"","family":"Sindhwani","given":"Shrey","non-dropping-particle":"","parse-names":false,"suffix":""},{"dropping-particle":"","family":"Kingston","given":"Benjamin R.","non-dropping-particle":"","parse-names":false,"suffix":""},{"dropping-particle":"","family":"Wu","given":"Jamie L. Y.","non-dropping-particle":"","parse-names":false,"suffix":""},{"dropping-particle":"","family":"Llano-Suárez","given":"Pablo","non-dropping-particle":"","parse-names":false,"suffix":""},{"dropping-particle":"","family":"Lin","given":"Zachary Pengju","non-dropping-particle":"","parse-names":false,"suffix":""},{"dropping-particle":"","family":"Ouyang","given":"Ben","non-dropping-particle":"","parse-names":false,"suffix":""},{"dropping-particle":"","family":"Kahiel","given":"Zaina","non-dropping-particle":"","parse-names":false,"suffix":""},{"dropping-particle":"","family":"Gadde","given":"Suresh","non-dropping-particle":"","parse-names":false,"suffix":""},{"dropping-particle":"","family":"Chan","given":"Warren C. W.","non-dropping-particle":"","parse-names":false,"suffix":""}],"container-title":"Nano Letters","id":"ITEM-6","issue":"2","issued":{"date-parts":[["2020","2","12"]]},"page":"1362-1369","title":"Liposome Imaging in Optically Cleared Tissues","type":"article-journal","volume":"20"},"uris":["http://www.mendeley.com/documents/?uuid=172647f1-bfa1-47ba-92ce-81885b6f54ac"]}],"mendeley":{"formattedCitation":"&lt;sup&gt;262–265,277,278&lt;/sup&gt;","plainTextFormattedCitation":"262–265,277,278","previouslyFormattedCitation":"&lt;sup&gt;262–265,277,278&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262–265,277,278</w:t>
      </w:r>
      <w:r w:rsidRPr="000D3D4F">
        <w:rPr>
          <w:rFonts w:ascii="Arial" w:hAnsi="Arial" w:cs="Arial"/>
          <w:sz w:val="24"/>
          <w:szCs w:val="24"/>
        </w:rPr>
        <w:fldChar w:fldCharType="end"/>
      </w:r>
      <w:r w:rsidRPr="000D3D4F">
        <w:rPr>
          <w:rFonts w:ascii="Arial" w:hAnsi="Arial" w:cs="Arial"/>
          <w:sz w:val="24"/>
          <w:szCs w:val="24"/>
        </w:rPr>
        <w:t xml:space="preserve"> Unfortunately, the spatial resolution in standard optical imaging is diffraction-limited to ~200-250 nm.</w:t>
      </w:r>
      <w:r w:rsidRPr="000D3D4F">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{"citationItems":[{"id":"ITEM-1","itemData":{"DOI":"10.1126/science.257.5067.189","ISSN":"00368075","abstract":"The near-field optical interaction between a sharp probe and a sample of interest can be exploited to image, spectroscopically probe, or modify surfaces at a resolution (down to </w:instrText>
      </w:r>
      <w:r w:rsidR="008C387C">
        <w:rPr>
          <w:rFonts w:ascii="Cambria Math" w:hAnsi="Cambria Math" w:cs="Cambria Math"/>
          <w:sz w:val="24"/>
          <w:szCs w:val="24"/>
        </w:rPr>
        <w:instrText>∼</w:instrText>
      </w:r>
      <w:r w:rsidR="008C387C">
        <w:rPr>
          <w:rFonts w:ascii="Arial" w:hAnsi="Arial" w:cs="Arial"/>
          <w:sz w:val="24"/>
          <w:szCs w:val="24"/>
        </w:rPr>
        <w:instrText>12 nm) inaccessible by traditional far-field techniques. Many of the attractive features of conventional optics are retained, including noninvasiveness, reliability, and low cost. In addition, most optical contrast mechanisms can be extended to the near-field regime, resulting in a technique of considerable versatility. This versatility is demonstrated by several examples, such as the imaging of nanometric-scale features in mammalian tissue sections and the creation of ultrasmall, magneto-optic domains having implications for high-density data storage. Although the technique may find uses in many diverse fields, two of the most exciting possibilities are localized optical spectroscopy of semiconductors and the fluorescence imaging of living cells.","author":[{"dropping-particle":"","family":"Betzig","given":"Eric","non-dropping-particle":"","parse-names":false,"suffix":""},{"dropping-particle":"","family":"Trautman","given":"Jay K.","non-dropping-particle":"","parse-names":false,"suffix":""}],"container-title":"Science","id":"ITEM-1","issue":"5067","issued":{"date-parts":[["1992"]]},"page":"189-195","title":"Near-field optics: Microscopy, spectroscopy, and surface modification beyond the diffraction limit","type":"article-journal","volume":"257"},"uris":["http://www.mendeley.com/documents/?uuid=f7b56d9d-a85b-4491-a971-1830b45681de"]}],"mendeley":{"formattedCitation":"&lt;sup&gt;241&lt;/sup&gt;","plainTextFormattedCitation":"241","previouslyFormattedCitation":"&lt;sup&gt;241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241</w:t>
      </w:r>
      <w:r w:rsidRPr="000D3D4F">
        <w:rPr>
          <w:rFonts w:ascii="Arial" w:hAnsi="Arial" w:cs="Arial"/>
          <w:sz w:val="24"/>
          <w:szCs w:val="24"/>
        </w:rPr>
        <w:fldChar w:fldCharType="end"/>
      </w:r>
      <w:r w:rsidRPr="000D3D4F">
        <w:rPr>
          <w:rFonts w:ascii="Arial" w:hAnsi="Arial" w:cs="Arial"/>
          <w:sz w:val="24"/>
          <w:szCs w:val="24"/>
        </w:rPr>
        <w:t xml:space="preserve"> This resolution limitation presents a major challenge to the imaging of nanoparticles in their ultrastructural context within cells and tissues. Optical imaging methods capable of overcoming the aforementioned diffraction limit are termed super-resolution imaging methods.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{"citationItems":[{"id":"ITEM-1","itemData":{"DOI":"10.1242/jcs.080085","ISSN":"1477-9137","PMID":"21536831","author":[{"dropping-particle":"","family":"Galbraith","given":"Catherine G.","non-dropping-particle":"","parse-names":false,"suffix":""},{"dropping-particle":"","family":"Galbraith","given":"James A.","non-dropping-particle":"","parse-names":false,"suffix":""}],"container-title":"Journal of Cell Science","id":"ITEM-1","issue":"10","issued":{"date-parts":[["2011","5","15"]]},"page":"1607-1611","title":"Super-resolution microscopy at a glance","type":"article-journal","volume":"124"},"uris":["http://www.mendeley.com/documents/?uuid=1045e243-5208-48b2-bba8-e88a549ca4a5"]}],"mendeley":{"formattedCitation":"&lt;sup&gt;279&lt;/sup&gt;","plainTextFormattedCitation":"279","previouslyFormattedCitation":"&lt;sup&gt;279&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279</w:t>
      </w:r>
      <w:r w:rsidRPr="000D3D4F">
        <w:rPr>
          <w:rFonts w:ascii="Arial" w:hAnsi="Arial" w:cs="Arial"/>
          <w:sz w:val="24"/>
          <w:szCs w:val="24"/>
        </w:rPr>
        <w:fldChar w:fldCharType="end"/>
      </w:r>
      <w:r w:rsidRPr="000D3D4F">
        <w:rPr>
          <w:rFonts w:ascii="Arial" w:hAnsi="Arial" w:cs="Arial"/>
          <w:sz w:val="24"/>
          <w:szCs w:val="24"/>
        </w:rPr>
        <w:t xml:space="preserve"> One such method is expansion microscopy, a hydrogel-based 3D super-resolution imaging technique in which samples are physically expanded 4 to 20-fold. This expansion process leads to reported spatial resolutions of nearly 10 nm, which provides valuable ultrastructural information.</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{"citationItems":[{"id":"ITEM-1","itemData":{"DOI":"10.1126/science.1260088","ISSN":"0036-8075","author":[{"dropping-particle":"","family":"Chen","given":"F.","non-dropping-particle":"","parse-names":false,"suffix":""},{"dropping-particle":"","family":"Tillberg","given":"P. W.","non-dropping-particle":"","parse-names":false,"suffix":""},{"dropping-particle":"","family":"Boyden","given":"E. S.","non-dropping-particle":"","parse-names":false,"suffix":""}],"container-title":"Science","id":"ITEM-1","issue":"6221","issued":{"date-parts":[["2015","1","30"]]},"page":"543-548","title":"Expansion microscopy","type":"article-journal","volume":"347"},"uris":["http://www.mendeley.com/documents/?uuid=c24ecc24-1668-4aa9-8188-884d53f13d29"]},{"id":"ITEM-2","itemData":{"DOI":"10.1038/s41467-020-17523-8","ISSN":"2041-1723","abstract":"Resolving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Communications","id":"ITEM-2","issue":"1","issued":{"date-parts":[["2020","12","31"]]},"page":"3850","publisher":"Springer US","title":"Light microscopy of proteins in their ultrastructural context","type":"article-journal","volume":"11"},"uris":["http://www.mendeley.com/documents/?uuid=4a540ae9-cfd4-4c46-9883-3156d444641e"]}],"mendeley":{"formattedCitation":"&lt;sup&gt;246,280&lt;/sup&gt;","plainTextFormattedCitation":"246,280","previouslyFormattedCitation":"&lt;sup&gt;246,280&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246,280</w:t>
      </w:r>
      <w:r w:rsidRPr="000D3D4F">
        <w:rPr>
          <w:rFonts w:ascii="Arial" w:hAnsi="Arial" w:cs="Arial"/>
          <w:sz w:val="24"/>
          <w:szCs w:val="24"/>
        </w:rPr>
        <w:fldChar w:fldCharType="end"/>
      </w:r>
      <w:r w:rsidRPr="000D3D4F">
        <w:rPr>
          <w:rFonts w:ascii="Arial" w:hAnsi="Arial" w:cs="Arial"/>
          <w:sz w:val="24"/>
          <w:szCs w:val="24"/>
        </w:rPr>
        <w:t xml:space="preserve"> </w:t>
      </w:r>
    </w:p>
    <w:p w14:paraId="047209B2" w14:textId="4A32DADF"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lastRenderedPageBreak/>
        <w:t>An additional challenge in optical microscopy of nanoparticles is the need for detection agents, often attached as fluorescent labels to the nanoparticle surface.</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{"citationItems":[{"id":"ITEM-1","itemData":{"DOI":"10.1039/d0cs01127d","ISSN":"14604744","PMID":"33666625","abstract":"Nanoparticles (NPs) have attracted considerable attention in various fields, such as cosmetics, the food industry, material design, and nanomedicine. In particular, the fast-moving field of nanomedicine takes advantage of features of NPs for the detection and treatment of different types of cancer, fibrosis, inflammation, arthritis as well as neurodegenerative and gastrointestinal diseases. To this end, a detailed understanding of the NP uptake mechanisms by cells and intracellular localization is essential for safe and efficient therapeutic applications. In the first part of this review, we describe the several endocytic pathways involved in the internalization of NPs and we discuss the impact of the physicochemical properties of NPs on this process. In addition, the potential challenges of using various inhibitors, endocytic markers and genetic approaches to study endocytosis are addressed along with the principal (semi) quantification methods of NP uptake. The second part focuses on synthetic and bio-inspired substances, which can stimulate or decrease the cellular uptake of NPs. This approach could be interesting in nanomedicine where a high accumulation of drugs in the target cells is desirable and clearance by immune cells is to be avoided. This review contributes to an improved understanding of NP endocytic pathways and reveals potential substances, which can be used in nanomedicine to improve NP delivery.","author":[{"dropping-particle":"","family":"Sousa De Almeida","given":"Mauro","non-dropping-particle":"","parse-names":false,"suffix":""},{"dropping-particle":"","family":"Susnik","given":"Eva","non-dropping-particle":"","parse-names":false,"suffix":""},{"dropping-particle":"","family":"Drasler","given":"Barbara","non-dropping-particle":"","parse-names":false,"suffix":""},{"dropping-particle":"","family":"Taladriz-Blanco","given":"Patricia","non-dropping-particle":"","parse-names":false,"suffix":""},{"dropping-particle":"","family":"Petri-Fink","given":"Alke","non-dropping-particle":"","parse-names":false,"suffix":""},{"dropping-particle":"","family":"Rothen-Rutishauser","given":"Barbara","non-dropping-particle":"","parse-names":false,"suffix":""}],"container-title":"Chemical Society Reviews","id":"ITEM-1","issue":"9","issued":{"date-parts":[["2021"]]},"page":"5397-5434","publisher":"Royal Society of Chemistry","title":"Understanding nanoparticle endocytosis to improve targeting strategies in nanomedicine","type":"article-journal","volume":"50"},"uris":["http://www.mendeley.com/documents/?uuid=a2e7fd2d-e7eb-4beb-96a9-e0d37cb933b6"]}],"mendeley":{"formattedCitation":"&lt;sup&gt;281&lt;/sup&gt;","plainTextFormattedCitation":"281","previouslyFormattedCitation":"&lt;sup&gt;281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281</w:t>
      </w:r>
      <w:r w:rsidRPr="000D3D4F">
        <w:rPr>
          <w:rFonts w:ascii="Arial" w:hAnsi="Arial" w:cs="Arial"/>
          <w:sz w:val="24"/>
          <w:szCs w:val="24"/>
        </w:rPr>
        <w:fldChar w:fldCharType="end"/>
      </w:r>
      <w:r w:rsidRPr="000D3D4F">
        <w:rPr>
          <w:rFonts w:ascii="Arial" w:hAnsi="Arial" w:cs="Arial"/>
          <w:sz w:val="24"/>
          <w:szCs w:val="24"/>
        </w:rPr>
        <w:t xml:space="preserve"> These modifications may alter the nanoparticle surface chemistry and physiochemical properties, affecting how the nanoparticles interact with cells.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{"citationItems":[{"id":"ITEM-1","itemData":{"DOI":"10.1021/acsomega.0c05162","ISSN":"24701343","abstract":"Endocytosis is a cellular process in which substances are engulfed by the cellular membrane and budded off inside the cells to form vesicles. It plays key roles in controlling nutritional component uptake, immune responses, and other biological functions. A comprehensive understanding of endocytosis gives insights into such physiological functions and informs the design of medical nanodevices that need to enter cells. So far, endocytosis has been studied mostly using established cell lines. However, the established cell lines generally originate from cancer cells or are transformed from normal cells into immortalized cells. Therefore, primary cells may give us more reliable information about the endocytosis process of nanoparticles into cells. In this research, we studied the uptake of gold nanorods (AuNRs) with four different surface modifications (anionic/cationic polymers and anionic/cationic silica) by two kinds of primary cells (human monocyte-derived macrophages and human umbilical vein endothelial cells) and two kinds of established cell lines (HeLa cells and RAW 264.7 cells). We found that the surface properties of AuNRs affected their cellular uptake, and the cationic surface tended was advantageous for uptake, but it depended on the cell types. Control experiments using inhibitors of representative endocytosis pathways (macropinocytosis, clathrin-mediated endocytosis, and caveolae-mediated endocytosis) indicated that primary cells had a dominant uptake pathway for internalization of the AuNRs, whereas the established cell lines had multiple pathways. Our results provide us with novel insights into cellular uptake of AuNRs in that they depend not only on surface characters of the nanoparticles but also cell types, such as primary cells and established cell lines.","author":[{"dropping-particle":"","family":"Xiao","given":"Yuxiang","non-dropping-particle":"","parse-names":false,"suffix":""},{"dropping-particle":"","family":"Xu","given":"Wei","non-dropping-particle":"","parse-names":false,"suffix":""},{"dropping-particle":"","family":"Komohara","given":"Yoshihiro","non-dropping-particle":"","parse-names":false,"suffix":""},{"dropping-particle":"","family":"Fujiwara","given":"Yukio","non-dropping-particle":"","parse-names":false,"suffix":""},{"dropping-particle":"","family":"Hirose","given":"Hisaaki","non-dropping-particle":"","parse-names":false,"suffix":""},{"dropping-particle":"","family":"Futaki","given":"Shiroh","non-dropping-particle":"","parse-names":false,"suffix":""},{"dropping-particle":"","family":"Niidome","given":"Takuro","non-dropping-particle":"","parse-names":false,"suffix":""}],"container-title":"ACS Omega","id":"ITEM-1","issue":"50","issued":{"date-parts":[["2020"]]},"page":"32744-32752","title":"Effect of Surface Modifications on Cellular Uptake of Gold Nanorods in Human Primary Cells and Established Cell Lines","type":"article-journal","volume":"5"},"uris":["http://www.mendeley.com/documents/?uuid=6e952108-83a9-4000-96a5-92762bb31307"]},{"id":"ITEM-2","itemData":{"DOI":"10.1002/smll.201302889","ISSN":"16136810","PMID":"24482355","abstract":"In order to harness the unique properties of nanoparticles for novel clinical applications and to modulate their uptake into specific immune cells we designed a new library of homo- and hetero-functional fluorescence-encoded gold nanoparticles (Au-NPs) using different poly(vinyl alcohol) and poly(ethylene glycol)-based polymers for particle coating and stabilization. The encoded particles were fully characterized by UV-Vis and fluorescence spectroscopy, zeta potential and dynamic light scattering. The uptake by human monocyte derived dendritic cells in vitro was studied by confocal laser scanning microscopy and quantified by fluorescence-activated cell sorting and inductively coupled plasma atomic emission spectroscopy. We show how the chemical modification of particle surfaces, for instance by attaching fluorescent dyes, can conceal fundamental particle properties and modulate cellular uptake. In order to mask the influence of fluorescent dyes on cellular uptake while still exploiting its fluorescence for detection, we have created hetero-functionalized Au-NPs, which again show typical particle dependent cellular interactions. Our study clearly prove that the thorough characterization of nanoparticles at each modification step in the engineering process is absolutely essential and that it can be necessary to make substantial adjustments of the particles in order to obtain reliable cellular uptake data, which truly reflects particle properties. The parameters that modulate the cellular uptake into human dendritic cells in vitro are identified through the fabrication of homo- and hetero-functional fluorescence encoded gold nanoparticles. This study shows how the addition of surface molecules (such as fluorescent dyes) can impact cellular uptake and how this issue can be overcome. © 2014 WILEY-VCH Verlag GmbH &amp; Co. KGaA, Weinheim.","author":[{"dropping-particle":"","family":"Rodriguez-Lorenzo","given":"Laura","non-dropping-particle":"","parse-names":false,"suffix":""},{"dropping-particle":"","family":"Fytianos","given":"Kleanthis","non-dropping-particle":"","parse-names":false,"suffix":""},{"dropping-particle":"","family":"Blank","given":"Fabian","non-dropping-particle":"","parse-names":false,"suffix":""},{"dropping-particle":"","family":"Garnier","given":"Christophe","non-dropping-particle":"von","parse-names":false,"suffix":""},{"dropping-particle":"","family":"Rothen-Rutishauser","given":"Barbara","non-dropping-particle":"","parse-names":false,"suffix":""},{"dropping-particle":"","family":"Petri-Fink","given":"Alke","non-dropping-particle":"","parse-names":false,"suffix":""}],"container-title":"Small","id":"ITEM-2","issue":"7","issued":{"date-parts":[["2014","4"]]},"page":"1341-1350","title":"Fluorescence-Encoded Gold Nanoparticles: Library Design and Modulation of Cellular Uptake into Dendritic Cells","type":"article-journal","volume":"10"},"uris":["http://www.mendeley.com/documents/?uuid=8027c427-f3fd-4615-8054-80af33419936"]},{"id":"ITEM-3","itemData":{"DOI":"10.3390/ijms21144847","ISSN":"14220067","PMID":"32659908","abstract":"The rather limited success of translation from basic research to clinical application has been highlighted as a major issue in the nanomedicine field. To identify the factors influencing the applicability of nanosystems as drug carriers and potential nanomedicine, we focused on following their fate through fluorescence-based assays, namely flow cytometry and imaging. These methods are often used to follow the nanocarrier internalization and targeting; however, the validity of the obtained results strictly depends on how much the nanosystem’s fate can be inferred from the fate of fluorescent dyes. To evaluate the parameters that affect the physicochemical and biological stability of the labeled nanosystems, we studied the versatility of two lipid dyes, TopFluor®-PC and Cy5-DSPE, in conventional liposomes utilizing well-defined in vitro assays. Our results suggest that the dye can affect the major characteristics of the system, such as vesicle size and zeta-potential. However, a nanocarrier can also affect the dye properties. Medium, temperature, time, fluorophore localization and its concentration, as well as their interplay, affect the outcome of tracing experiments. Therefore, an in-depth characterization of the labeled nanosystem should be fundamental to understand the conditions that validate the results within the screening process in optimization of nanocarrier.","author":[{"dropping-particle":"","family":"Cauzzo","given":"Jennifer","non-dropping-particle":"","parse-names":false,"suffix":""},{"dropping-particle":"","family":"Nystad","given":"Mona","non-dropping-particle":"","parse-names":false,"suffix":""},{"dropping-particle":"","family":"Holsæter","given":"Ann Mari","non-dropping-particle":"","parse-names":false,"suffix":""},{"dropping-particle":"","family":"Basnet","given":"Purusotam","non-dropping-particle":"","parse-names":false,"suffix":""},{"dropping-particle":"","family":"Škalko-Basnet","given":"Nataša","non-dropping-particle":"","parse-names":false,"suffix":""}],"container-title":"International Journal of Molecular Sciences","id":"ITEM-3","issue":"14","issued":{"date-parts":[["2020"]]},"page":"1-17","title":"Following the fate of dye-containing liposomes in vitro","type":"article-journal","volume":"21"},"uris":["http://www.mendeley.com/documents/?uuid=964afce0-94c2-4dfa-a909-f74b8f7259aa"]},{"id":"ITEM-4","itemData":{"DOI":"10.1016/j.addr.2019.04.008","ISSN":"0169409X","abstract":"Nanoparticle-based therapeutics and diagnostics are commonly referred to as nanomedicine and may significantly impact the future of healthcare. However, the clinical translation of these technologies is challenging. One of these challenges is the efficient delivery of nanoparticles to specific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benefit. In this overview article, we review and discuss cellular internalization pathways, summarize the field`s understanding of how nanoparticle physicochemical properties affect cellular interactions, and explore and discuss intracellular nanoparticle trafficking and kinetics. Our overview may provide a valuable resource for researchers and may inspire new studies to expand our current understanding of nanotechnology-biology interactions at cellular and subcellular levels with the goal to improve clinical translation of nanomedicines.","author":[{"dropping-particle":"","family":"Donahue","given":"Nathan D.","non-dropping-particle":"","parse-names":false,"suffix":""},{"dropping-particle":"","family":"Acar","given":"Handan","non-dropping-particle":"","parse-names":false,"suffix":""},{"dropping-particle":"","family":"Wilhelm","given":"Stefan","non-dropping-particle":"","parse-names":false,"suffix":""}],"container-title":"Advanced Drug Delivery Reviews","id":"ITEM-4","issued":{"date-parts":[["2019","3"]]},"page":"68-96","publisher":"Elsevier B.V.","title":"Concepts of nanoparticle cellular uptake, intracellular trafficking, and kinetics in nanomedicine","type":"article-journal","volume":"143"},"uris":["http://www.mendeley.com/documents/?uuid=894c3c80-f0b3-3f80-94f0-703b7b15d7d3"]}],"mendeley":{"formattedCitation":"&lt;sup&gt;107,282–284&lt;/sup&gt;","plainTextFormattedCitation":"107,282–284","previouslyFormattedCitation":"&lt;sup&gt;107,282–284&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107,282–284</w:t>
      </w:r>
      <w:r w:rsidRPr="000D3D4F">
        <w:rPr>
          <w:rFonts w:ascii="Arial" w:hAnsi="Arial" w:cs="Arial"/>
          <w:sz w:val="24"/>
          <w:szCs w:val="24"/>
        </w:rPr>
        <w:fldChar w:fldCharType="end"/>
      </w:r>
      <w:r w:rsidRPr="000D3D4F">
        <w:rPr>
          <w:rFonts w:ascii="Arial" w:hAnsi="Arial" w:cs="Arial"/>
          <w:sz w:val="24"/>
          <w:szCs w:val="24"/>
        </w:rPr>
        <w:t xml:space="preserve"> Therefore, a label-free nanoparticle imaging method is desirable that provides information about the 3D intracellular nanoparticle distribution with ultrastructural resolution.</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{"citationItems":[{"id":"ITEM-1","itemData":{"DOI":"10.1002/adpr.202200098","ISSN":"2699-9293","author":[{"dropping-particle":"","family":"Mettenbrink","given":"Evan M.","non-dropping-particle":"","parse-names":false,"suffix":""},{"dropping-particle":"","family":"Yang","given":"Wen","non-dropping-particle":"","parse-names":false,"suffix":""},{"dropping-particle":"","family":"Wilhelm","given":"Stefan","non-dropping-particle":"","parse-names":false,"suffix":""}],"container-title":"Advanced Photonics Research","id":"ITEM-1","issue":"12","issued":{"date-parts":[["2022"]]},"page":"2200098","title":"Bioimaging with Upconversion Nanoparticles","type":"article-journal","volume":"3"},"uris":["http://www.mendeley.com/documents/?uuid=00bd6e5d-7e74-4dad-8d5e-2a5dd71e0cea"]}],"mendeley":{"formattedCitation":"&lt;sup&gt;285&lt;/sup&gt;","plainTextFormattedCitation":"285","previouslyFormattedCitation":"&lt;sup&gt;285&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285</w:t>
      </w:r>
      <w:r w:rsidRPr="000D3D4F">
        <w:rPr>
          <w:rFonts w:ascii="Arial" w:hAnsi="Arial" w:cs="Arial"/>
          <w:sz w:val="24"/>
          <w:szCs w:val="24"/>
        </w:rPr>
        <w:fldChar w:fldCharType="end"/>
      </w:r>
      <w:r w:rsidRPr="000D3D4F">
        <w:rPr>
          <w:rFonts w:ascii="Arial" w:hAnsi="Arial" w:cs="Arial"/>
          <w:sz w:val="24"/>
          <w:szCs w:val="24"/>
        </w:rPr>
        <w:t xml:space="preserve"> </w:t>
      </w:r>
    </w:p>
    <w:p w14:paraId="34F215CA" w14:textId="41F3164D" w:rsidR="0045567B"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In this study, we explored and established the combination of expansion microscopy protocols with scattered light imaging of label-free metallic nanoparticles to quantify intracellular nanoparticle distributions. Scattered light imaging involves the illumination of metallic nanoparticles and subsequent light detection at the same wavelength as the illumination light.</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{"citationItems":[{"id":"ITEM-1","itemData":{"DOI":"10.1021/jacs.9b05894","ISSN":"15205126","abstract":"Simultaneously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author":[{"dropping-particle":"","family":"Wang","given":"Fengbang","non-dropping-particle":"","parse-names":false,"suffix":""},{"dropping-particle":"","family":"Chen","given":"Bolei","non-dropping-particle":"","parse-names":false,"suffix":""},{"dropping-particle":"","family":"Yan","given":"Bing","non-dropping-particle":"","parse-names":false,"suffix":""},{"dropping-particle":"","family":"Yin","given":"Yongguang","non-dropping-particle":"","parse-names":false,"suffix":""},{"dropping-particle":"","family":"Hu","given":"Ligang","non-dropping-particle":"","parse-names":false,"suffix":""},{"dropping-particle":"","family":"Liang","given":"Yong","non-dropping-particle":"","parse-names":false,"suffix":""},{"dropping-particle":"","family":"Song","given":"Maoyong","non-dropping-particle":"","parse-names":false,"suffix":""},{"dropping-particle":"","family":"Jiang","given":"Guibin","non-dropping-particle":"","parse-names":false,"suffix":""}],"container-title":"Journal of the American Chemical Society","id":"ITEM-1","issue":"36","issued":{"date-parts":[["2019"]]},"page":"14043-14047","title":"Scattered Light Imaging Enables Real-Time Monitoring of Label-Free Nanoparticles and Fluorescent Biomolecules in Live Cells","type":"article-journal","volume":"141"},"uris":["http://www.mendeley.com/documents/?uuid=4e571579-ee39-4a4a-8a2b-9d537cbe338e"]}],"mendeley":{"formattedCitation":"&lt;sup&gt;286&lt;/sup&gt;","plainTextFormattedCitation":"286","previouslyFormattedCitation":"&lt;sup&gt;286&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286</w:t>
      </w:r>
      <w:r w:rsidRPr="000D3D4F">
        <w:rPr>
          <w:rFonts w:ascii="Arial" w:hAnsi="Arial" w:cs="Arial"/>
          <w:sz w:val="24"/>
          <w:szCs w:val="24"/>
        </w:rPr>
        <w:fldChar w:fldCharType="end"/>
      </w:r>
      <w:r w:rsidRPr="000D3D4F">
        <w:rPr>
          <w:rFonts w:ascii="Arial" w:hAnsi="Arial" w:cs="Arial"/>
          <w:sz w:val="24"/>
          <w:szCs w:val="24"/>
        </w:rPr>
        <w:t xml:space="preserve"> Expansion microscopy relies on anchoring proteins in biological samples to a swellable poly(acrylamide-co-sodium acrylate) based hydrogel.</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{"citationItems":[{"id":"ITEM-1","itemData":{"DOI":"10.1126/science.1260088","ISSN":"0036-8075","author":[{"dropping-particle":"","family":"Chen","given":"F.","non-dropping-particle":"","parse-names":false,"suffix":""},{"dropping-particle":"","family":"Tillberg","given":"P. W.","non-dropping-particle":"","parse-names":false,"suffix":""},{"dropping-particle":"","family":"Boyden","given":"E. S.","non-dropping-particle":"","parse-names":false,"suffix":""}],"container-title":"Science","id":"ITEM-1","issue":"6221","issued":{"date-parts":[["2015","1","30"]]},"page":"543-548","title":"Expansion microscopy","type":"article-journal","volume":"347"},"uris":["http://www.mendeley.com/documents/?uuid=c24ecc24-1668-4aa9-8188-884d53f13d29"]},{"id":"ITEM-2","itemData":{"DOI":"10.1038/nbt.3625","ISSN":"15461696","PMID":"27376584","abstract":"Expansion microscopy (ExM) enables imaging of preserved specimens with nanoscale precision on diffraction-limited instead of specialized super-resolution microscopes. ExM works by physically separating fluorescent probes after anchoring them to a swellable gel. The first ExM method did not result in the retention of native proteins in the gel and relied on custom-made reagents that are not widely available. Here we describe protein retention ExM (proExM), a variant of ExM in which proteins are anchored to the swellable gel, allowing the use of conventional fluorescently labeled antibodies and streptavidin, and fluorescent proteins. We validated and demonstrated the utility of proExM for multicolor super-resolution (</w:instrText>
      </w:r>
      <w:r w:rsidR="008C387C">
        <w:rPr>
          <w:rFonts w:ascii="Cambria Math" w:hAnsi="Cambria Math" w:cs="Cambria Math"/>
          <w:sz w:val="24"/>
          <w:szCs w:val="24"/>
        </w:rPr>
        <w:instrText>∼</w:instrText>
      </w:r>
      <w:r w:rsidR="008C387C">
        <w:rPr>
          <w:rFonts w:ascii="Arial" w:hAnsi="Arial" w:cs="Arial"/>
          <w:sz w:val="24"/>
          <w:szCs w:val="24"/>
        </w:rPr>
        <w:instrText>1/470 nm) imaging of cells and mammalian tissues on conventional microscopes.","author":[{"dropping-particle":"","family":"Tillberg","given":"Paul W.","non-dropping-particle":"","parse-names":false,"suffix":""},{"dropping-particle":"","family":"Chen","given":"Fei","non-dropping-particle":"","parse-names":false,"suffix":""},{"dropping-particle":"","family":"Piatkevich","given":"Kiryl D.","non-dropping-particle":"","parse-names":false,"suffix":""},{"dropping-particle":"","family":"Zhao","given":"Yongxin","non-dropping-particle":"","parse-names":false,"suffix":""},{"dropping-particle":"","family":"Yu","given":"C. C.","non-dropping-particle":"","parse-names":false,"suffix":""},{"dropping-particle":"","family":"English","given":"Brian P.","non-dropping-particle":"","parse-names":false,"suffix":""},{"dropping-particle":"","family":"Gao","given":"Linyi","non-dropping-particle":"","parse-names":false,"suffix":""},{"dropping-particle":"","family":"Martorell","given":"Anthony","non-dropping-particle":"","parse-names":false,"suffix":""},{"dropping-particle":"","family":"Suk","given":"Ho Jun","non-dropping-particle":"","parse-names":false,"suffix":""},{"dropping-particle":"","family":"Yoshida","given":"Fumiaki","non-dropping-particle":"","parse-names":false,"suffix":""},{"dropping-particle":"","family":"Degennaro","given":"Ellen M.","non-dropping-particle":"","parse-names":false,"suffix":""},{"dropping-particle":"","family":"Roossien","given":"Douglas H.","non-dropping-particle":"","parse-names":false,"suffix":""},{"dropping-particle":"","family":"Gong","given":"Guanyu","non-dropping-particle":"","parse-names":false,"suffix":""},{"dropping-particle":"","family":"Seneviratne","given":"Uthpala","non-dropping-particle":"","parse-names":false,"suffix":""},{"dropping-particle":"","family":"Tannenbaum","given":"Steven R.","non-dropping-particle":"","parse-names":false,"suffix":""},{"dropping-particle":"","family":"Desimone","given":"Robert","non-dropping-particle":"","parse-names":false,"suffix":""},{"dropping-particle":"","family":"Cai","given":"Dawen","non-dropping-particle":"","parse-names":false,"suffix":""},{"dropping-particle":"","family":"Boyden","given":"Edward S.","non-dropping-particle":"","parse-names":false,"suffix":""}],"container-title":"Nature Biotechnology","id":"ITEM-2","issue":"9","issued":{"date-parts":[["2016"]]},"page":"987-992","title":"Protein-retention expansion microscopy of cells and tissues labeled using standard fluorescent proteins and antibodies","type":"article-journal","volume":"34"},"uris":["http://www.mendeley.com/documents/?uuid=7d5436d4-04f0-4aea-87c6-1a3f25267be2"]}],"mendeley":{"formattedCitation":"&lt;sup&gt;246,287&lt;/sup&gt;","plainTextFormattedCitation":"246,287","previouslyFormattedCitation":"&lt;sup&gt;246,287&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246,287</w:t>
      </w:r>
      <w:r w:rsidRPr="000D3D4F">
        <w:rPr>
          <w:rFonts w:ascii="Arial" w:hAnsi="Arial" w:cs="Arial"/>
          <w:sz w:val="24"/>
          <w:szCs w:val="24"/>
        </w:rPr>
        <w:fldChar w:fldCharType="end"/>
      </w:r>
      <w:r w:rsidRPr="000D3D4F">
        <w:rPr>
          <w:rFonts w:ascii="Arial" w:hAnsi="Arial" w:cs="Arial"/>
          <w:sz w:val="24"/>
          <w:szCs w:val="24"/>
        </w:rPr>
        <w:t xml:space="preserve"> The subsequent water absorption expands the protein-hydrogel hybrid samples by a linear factor of approximately 4X isotropically, resulting in an equivalent substantial increase in the achievable spatial resolution of standard light microscopes. Recent expansion microscopy protocols enable expansion factors up to 10X for single expansions and up to 20X for iterative expansions.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{"citationItems":[{"id":"ITEM-1","itemData":{"DOI":"10.15252/embr.201845836","ISSN":"1469-221X","abstract":"Expansion microscopy is a recently introduced imaging technique that achieves super-resolution through physically expanding the specimen by ~4×, after embedding into a swellable gel. The resolution attained is, correspondingly, approximately fourfold better than the diffraction limit, or ~70 nm. This is a major improvement over conventional microscopy, but still lags behind modern STED or STORM setups, whose resolution can reach 20-30 nm. We addressed this issue here by introducing an improved gel recipe that enables an expansion factor of ~10× in each dimension, which corresponds to an expansion of the sample volume by more than 1,000-fold. Our protocol, which we termed X10 microscopy, achieves a resolution of 25-30 nm on conventional epifluorescence microscopes. X10 provides multi-color images similar or even superior to those produced with more challenging methods, such as STED, STORM, and iterative expansion microscopy (iExM). X10 is therefore the cheapest and easiest option for high-quality super-resolution imaging currently available. X10 should be usable in any laboratory, irrespective of the machinery owned or of the technical knowledge.","author":[{"dropping-particle":"","family":"Truckenbrodt","given":"Sven","non-dropping-particle":"","parse-names":false,"suffix":""},{"dropping-particle":"","family":"Maidorn","given":"Manuel","non-dropping-particle":"","parse-names":false,"suffix":""},{"dropping-particle":"","family":"Crzan","given":"Dagmar","non-dropping-particle":"","parse-names":false,"suffix":""},{"dropping-particle":"","family":"Wildhagen","given":"Hanna","non-dropping-particle":"","parse-names":false,"suffix":""},{"dropping-particle":"","family":"Kabatas","given":"Selda","non-dropping-particle":"","parse-names":false,"suffix":""},{"dropping-particle":"","family":"Rizzoli","given":"Silvio O","non-dropping-particle":"","parse-names":false,"suffix":""}],"container-title":"EMBO reports","id":"ITEM-1","issue":"9","issued":{"date-parts":[["2018"]]},"page":"1-12","title":"X10 expansion microscopy enables 25</w:instrText>
      </w:r>
      <w:r w:rsidR="008C387C">
        <w:rPr>
          <w:rFonts w:ascii="Cambria Math" w:hAnsi="Cambria Math" w:cs="Cambria Math"/>
          <w:sz w:val="24"/>
          <w:szCs w:val="24"/>
        </w:rPr>
        <w:instrText>‐</w:instrText>
      </w:r>
      <w:r w:rsidR="008C387C">
        <w:rPr>
          <w:rFonts w:ascii="Arial" w:hAnsi="Arial" w:cs="Arial"/>
          <w:sz w:val="24"/>
          <w:szCs w:val="24"/>
        </w:rPr>
        <w:instrText xml:space="preserve">nm resolution on conventional microscopes","type":"article-journal","volume":"19"},"uris":["http://www.mendeley.com/documents/?uuid=0dc71e04-a21c-482f-8e65-28d7ba59e01d"]},{"id":"ITEM-2","itemData":{"DOI":"10.7554/eLife.73775","ISSN":"2050-084X","abstract":"Expansion microscopy (ExM) is a powerful technique to overcome the diffraction limit of light microscopy that can be applied in both tissues and cells. In ExM, samples are embedded in a swellable polymer gel to physically expand the sample and isotropically increase resolution in x, y, and z. The maximum resolution increase is limited by the expansion factor of the gel, which is four-fold for the original ExM protocol. Variations on the original ExM method have been reported that allow for greater expansion factors but at the cost of ease of adoption or versatility. Here, we systematically explore the ExM recipe space and present a novel method termed Ten-fold Robust Expansion Microscopy (TREx) that, like the original ExM method, requires no specialized equipment or procedures. We demonstrate that TREx gels expand 10-fold, can be handled easily, and can be applied to both thick mouse brain tissue sections and cultured human cells enabling high-resolution subcellular imaging with a single expansion step. Furthermore, we show that TREx can provide ultrastructural context to subcellular protein localization by combining antibody-stained samples with off-the-shelf small-molecule stains for both total protein and membranes.","author":[{"dropping-particle":"","family":"Damstra","given":"Hugo GJ","non-dropping-particle":"","parse-names":false,"suffix":""},{"dropping-particle":"","family":"Mohar","given":"Boaz","non-dropping-particle":"","parse-names":false,"suffix":""},{"dropping-particle":"","family":"Eddison","given":"Mark","non-dropping-particle":"","parse-names":false,"suffix":""},{"dropping-particle":"","family":"Akhmanova","given":"Anna","non-dropping-particle":"","parse-names":false,"suffix":""},{"dropping-particle":"","family":"Kapitein","given":"Lukas C","non-dropping-particle":"","parse-names":false,"suffix":""},{"dropping-particle":"","family":"Tillberg","given":"Paul W","non-dropping-particle":"","parse-names":false,"suffix":""}],"container-title":"eLife","id":"ITEM-2","issued":{"date-parts":[["2022","2","18"]]},"page":"1-52","title":"Visualizing cellular and tissue ultrastructure using Ten-fold Robust Expansion Microscopy (TREx)","type":"article-journal","volume":"11"},"uris":["http://www.mendeley.com/documents/?uuid=2b80bc6c-61d5-4ce7-b011-5c74ba2273aa"]},{"id":"ITEM-3","itemData":{"DOI":"10.1038/nmeth.4261","ISSN":"15487105","abstract":"We recently developed a method called expansion microscopy, in which preserved biological specimens are physically magnified by embedding them in a densely crosslinked polyelectrolyte gel, anchoring key labels or biomolecules to the gel, mechanically homogenizing the specimen, and then swelling the gel-specimen composite by </w:instrText>
      </w:r>
      <w:r w:rsidR="008C387C">
        <w:rPr>
          <w:rFonts w:ascii="Cambria Math" w:hAnsi="Cambria Math" w:cs="Cambria Math"/>
          <w:sz w:val="24"/>
          <w:szCs w:val="24"/>
        </w:rPr>
        <w:instrText>∼</w:instrText>
      </w:r>
      <w:r w:rsidR="008C387C">
        <w:rPr>
          <w:rFonts w:ascii="Arial" w:hAnsi="Arial" w:cs="Arial"/>
          <w:sz w:val="24"/>
          <w:szCs w:val="24"/>
        </w:rPr>
        <w:instrText xml:space="preserve">4.5× in linear dimension. Here we describe iterative expansion microscopy (iExM), in which a sample is expanded </w:instrText>
      </w:r>
      <w:r w:rsidR="008C387C">
        <w:rPr>
          <w:rFonts w:ascii="Cambria Math" w:hAnsi="Cambria Math" w:cs="Cambria Math"/>
          <w:sz w:val="24"/>
          <w:szCs w:val="24"/>
        </w:rPr>
        <w:instrText>∼</w:instrText>
      </w:r>
      <w:r w:rsidR="008C387C">
        <w:rPr>
          <w:rFonts w:ascii="Arial" w:hAnsi="Arial" w:cs="Arial"/>
          <w:sz w:val="24"/>
          <w:szCs w:val="24"/>
        </w:rPr>
        <w:instrText xml:space="preserve">20×. After preliminary expansion a second swellable polymer mesh is formed in the space newly opened up by the first expansion, and the sample is expanded again. iExM expands biological specimens </w:instrText>
      </w:r>
      <w:r w:rsidR="008C387C">
        <w:rPr>
          <w:rFonts w:ascii="Cambria Math" w:hAnsi="Cambria Math" w:cs="Cambria Math"/>
          <w:sz w:val="24"/>
          <w:szCs w:val="24"/>
        </w:rPr>
        <w:instrText>∼</w:instrText>
      </w:r>
      <w:r w:rsidR="008C387C">
        <w:rPr>
          <w:rFonts w:ascii="Arial" w:hAnsi="Arial" w:cs="Arial"/>
          <w:sz w:val="24"/>
          <w:szCs w:val="24"/>
        </w:rPr>
        <w:instrText xml:space="preserve">4.5 × 4.5, or </w:instrText>
      </w:r>
      <w:r w:rsidR="008C387C">
        <w:rPr>
          <w:rFonts w:ascii="Cambria Math" w:hAnsi="Cambria Math" w:cs="Cambria Math"/>
          <w:sz w:val="24"/>
          <w:szCs w:val="24"/>
        </w:rPr>
        <w:instrText>∼</w:instrText>
      </w:r>
      <w:r w:rsidR="008C387C">
        <w:rPr>
          <w:rFonts w:ascii="Arial" w:hAnsi="Arial" w:cs="Arial"/>
          <w:sz w:val="24"/>
          <w:szCs w:val="24"/>
        </w:rPr>
        <w:instrText xml:space="preserve">20×, and enables </w:instrText>
      </w:r>
      <w:r w:rsidR="008C387C">
        <w:rPr>
          <w:rFonts w:ascii="Cambria Math" w:hAnsi="Cambria Math" w:cs="Cambria Math"/>
          <w:sz w:val="24"/>
          <w:szCs w:val="24"/>
        </w:rPr>
        <w:instrText>∼</w:instrText>
      </w:r>
      <w:r w:rsidR="008C387C">
        <w:rPr>
          <w:rFonts w:ascii="Arial" w:hAnsi="Arial" w:cs="Arial"/>
          <w:sz w:val="24"/>
          <w:szCs w:val="24"/>
        </w:rPr>
        <w:instrText>25-nm-resolution imaging of cells and tissues on conventional microscopes. We used iExM to visualize synaptic proteins, as well as the detailed architecture of dendritic spines, in mouse brain circuitry.","author":[{"dropping-particle":"","family":"Chang","given":"Jae Byum","non-dropping-particle":"","parse-names":false,"suffix":""},{"dropping-particle":"","family":"Chen","given":"Fei","non-dropping-particle":"","parse-names":false,"suffix":""},{"dropping-particle":"","family":"Yoon","given":"Young Gyu","non-dropping-particle":"","parse-names":false,"suffix":""},{"dropping-particle":"","family":"Jung","given":"Erica E.","non-dropping-particle":"","parse-names":false,"suffix":""},{"dropping-particle":"","family":"Babcock","given":"Hazen","non-dropping-particle":"","parse-names":false,"suffix":""},{"dropping-particle":"","family":"Kang","given":"Jeong Seuk","non-dropping-particle":"","parse-names":false,"suffix":""},{"dropping-particle":"","family":"Asano","given":"Shoh","non-dropping-particle":"","parse-names":false,"suffix":""},{"dropping-particle":"","family":"Suk","given":"Ho Jun","non-dropping-particle":"","parse-names":false,"suffix":""},{"dropping-particle":"","family":"Pak","given":"Nikita","non-dropping-particle":"","parse-names":false,"suffix":""},{"dropping-particle":"","family":"Tillberg","given":"Paul W.","non-dropping-particle":"","parse-names":false,"suffix":""},{"dropping-particle":"","family":"Wassie","given":"Asmamaw T.","non-dropping-particle":"","parse-names":false,"suffix":""},{"dropping-particle":"","family":"Cai","given":"Dawen","non-dropping-particle":"","parse-names":false,"suffix":""},{"dropping-particle":"","family":"Boyden","given":"Edward S.","non-dropping-particle":"","parse-names":false,"suffix":""}],"container-title":"Nature Methods","id":"ITEM-3","issue":"6","issued":{"date-parts":[["2017"]]},"page":"593-599","title":"Iterative expansion microscopy","type":"article-journal","volume":"14"},"uris":["http://www.mendeley.com/documents/?uuid=7ba2ec46-0389-470a-bdc5-645e31a88161"]},{"id":"ITEM-4","itemData":{"DOI":"10.1038/s41467-020-17523-8","ISSN":"2041-1723","abstract":"Resolving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Communications","id":"ITEM-4","issue":"1","issued":{"date-parts":[["2020","12","31"]]},"page":"3850","publisher":"Springer US","title":"Light microscopy of proteins in their ultrastructural context","type":"article-journal","volume":"11"},"uris":["http://www.mendeley.com/documents/?uuid=4a540ae9-cfd4-4c46-9883-3156d444641e"]}],"mendeley":{"formattedCitation":"&lt;sup&gt;280,288–290&lt;/sup&gt;","plainTextFormattedCitation":"280,288–290","previouslyFormattedCitation":"&lt;sup&gt;280,288–290&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280,288–290</w:t>
      </w:r>
      <w:r w:rsidRPr="000D3D4F">
        <w:rPr>
          <w:rFonts w:ascii="Arial" w:hAnsi="Arial" w:cs="Arial"/>
          <w:sz w:val="24"/>
          <w:szCs w:val="24"/>
        </w:rPr>
        <w:fldChar w:fldCharType="end"/>
      </w:r>
      <w:r w:rsidRPr="000D3D4F">
        <w:rPr>
          <w:rFonts w:ascii="Arial" w:hAnsi="Arial" w:cs="Arial"/>
          <w:sz w:val="24"/>
          <w:szCs w:val="24"/>
        </w:rPr>
        <w:t xml:space="preserve"> Expansion microscopy protocols have demonstrated utility for various applications, including the computational diagnosis in early breast lesions,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{"citationItems":[{"id":"ITEM-1","itemData":{"DOI":"10.1038/nbt.3892","ISSN":"15461696","abstract":"Expansion microscopy (ExM), a method for improving the resolution of light microscopy by physically expanding a specimen, has not been applied to clinical tissue samples. Here we report a clinically optimized form of ExM that supports nanoscale imaging of human tissue specimens that have been fixed with formalin, embedded in paraffin, stained with hematoxylin and eosin, and/or fresh frozen. The method, which we call expansion pathology (ExPath), converts clinical samples into an ExM-compatible state, then applies an ExM protocol with protein anchoring and mechanical homogenization steps optimized for clinical samples. ExPath enables ~70-nm-resolution imaging of diverse biomolecules in intact tissues using conventional diffraction-limited microscopes and standard antibody and fluorescent DNA in situ hybridization reagents. We use ExPath for optical diagnosis of kidney minimal-change disease, a process that previously required electron microscopy, and we demonstrate high-fidelity computational discrimination between early breast neoplastic lesions for which pathologists often disagree in classification. ExPath may enable the routine use of nanoscale imaging in pathology and clinical research.","author":[{"dropping-particle":"","family":"Zhao","given":"Yongxin","non-dropping-particle":"","parse-names":false,"suffix":""},{"dropping-particle":"","family":"Bucur","given":"Octavian","non-dropping-particle":"","parse-names":false,"suffix":""},{"dropping-particle":"","family":"Irshad","given":"Humayun","non-dropping-particle":"","parse-names":false,"suffix":""},{"dropping-particle":"","family":"Chen","given":"Fei","non-dropping-particle":"","parse-names":false,"suffix":""},{"dropping-particle":"","family":"Weins","given":"Astrid","non-dropping-particle":"","parse-names":false,"suffix":""},{"dropping-particle":"","family":"Stancu","given":"Andreea L.","non-dropping-particle":"","parse-names":false,"suffix":""},{"dropping-particle":"","family":"Oh","given":"Eun Young","non-dropping-particle":"","parse-names":false,"suffix":""},{"dropping-particle":"","family":"Distasio","given":"Marcello","non-dropping-particle":"","parse-names":false,"suffix":""},{"dropping-particle":"","family":"Torous","given":"Vanda","non-dropping-particle":"","parse-names":false,"suffix":""},{"dropping-particle":"","family":"Glass","given":"Benjamin","non-dropping-particle":"","parse-names":false,"suffix":""},{"dropping-particle":"","family":"Stillman","given":"Isaac E.","non-dropping-particle":"","parse-names":false,"suffix":""},{"dropping-particle":"","family":"Schnitt","given":"Stuart J.","non-dropping-particle":"","parse-names":false,"suffix":""},{"dropping-particle":"","family":"Beck","given":"Andrew H.","non-dropping-particle":"","parse-names":false,"suffix":""},{"dropping-particle":"","family":"Boyden","given":"Edward S.","non-dropping-particle":"","parse-names":false,"suffix":""}],"container-title":"Nature Biotechnology","id":"ITEM-1","issue":"8","issued":{"date-parts":[["2017"]]},"page":"757-764","publisher":"Nature Publishing Group","title":"Nanoscale imaging of clinical specimens using pathology-optimized expansion microscopy","type":"article-journal","volume":"35"},"uris":["http://www.mendeley.com/documents/?uuid=6aa14727-9a70-4357-8662-aa48c9bc9b9c"]}],"mendeley":{"formattedCitation":"&lt;sup&gt;247&lt;/sup&gt;","plainTextFormattedCitation":"247","previouslyFormattedCitation":"&lt;sup&gt;247&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247</w:t>
      </w:r>
      <w:r w:rsidRPr="000D3D4F">
        <w:rPr>
          <w:rFonts w:ascii="Arial" w:hAnsi="Arial" w:cs="Arial"/>
          <w:sz w:val="24"/>
          <w:szCs w:val="24"/>
        </w:rPr>
        <w:fldChar w:fldCharType="end"/>
      </w:r>
      <w:r w:rsidRPr="000D3D4F">
        <w:rPr>
          <w:rFonts w:ascii="Arial" w:hAnsi="Arial" w:cs="Arial"/>
          <w:sz w:val="24"/>
          <w:szCs w:val="24"/>
        </w:rPr>
        <w:t xml:space="preserve"> studying cell-material interfaces,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{"citationItems":[{"id":"ITEM-1","itemData":{"DOI":"10.1021/acsnano.1c11015","ISSN":"1936-0851","author":[{"dropping-particle":"","family":"Nakamoto","given":"Melissa L","non-dropping-particle":"","parse-names":false,"suffix":""},{"dropping-particle":"","family":"Forró","given":"Csaba","non-dropping-particle":"","parse-names":false,"suffix":""},{"dropping-particle":"","family":"Zhang","given":"Wei","non-dropping-particle":"","parse-names":false,"suffix":""},{"dropping-particle":"","family":"Tsai","given":"Ching-ting","non-dropping-particle":"","parse-names":false,"suffix":""},{"dropping-particle":"","family":"Cui","given":"Bianxiao","non-dropping-particle":"","parse-names":false,"suffix":""}],"container-title":"ACS Nano","id":"ITEM-1","issued":{"date-parts":[["2022","5","9"]]},"title":"Expansion Microscopy for Imaging the Cell–Material Interface","type":"article-journal"},"uris":["http://www.mendeley.com/documents/?uuid=3dc3facb-d166-4799-8c4f-e68e0f4f00b8"]}],"mendeley":{"formattedCitation":"&lt;sup&gt;291&lt;/sup&gt;","plainTextFormattedCitation":"291","previouslyFormattedCitation":"&lt;sup&gt;291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291</w:t>
      </w:r>
      <w:r w:rsidRPr="000D3D4F">
        <w:rPr>
          <w:rFonts w:ascii="Arial" w:hAnsi="Arial" w:cs="Arial"/>
          <w:sz w:val="24"/>
          <w:szCs w:val="24"/>
        </w:rPr>
        <w:fldChar w:fldCharType="end"/>
      </w:r>
      <w:r w:rsidRPr="000D3D4F">
        <w:rPr>
          <w:rFonts w:ascii="Arial" w:hAnsi="Arial" w:cs="Arial"/>
          <w:sz w:val="24"/>
          <w:szCs w:val="24"/>
        </w:rPr>
        <w:t xml:space="preserve"> and visualizing the anatomical structures of whole zebrafish larvae.</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{"citationItems":[{"id":"ITEM-1","itemData":{"DOI":"10.1101/2021.05.18.443629","ISSN":"26928205","abstract":"Nanoscale imaging of all anatomical structures over whole vertebrates is needed for a systematic understanding of human diseases, but this has not yet been achieved. Here, we demonstrate whole-ExM, which enables nanoscale imaging of all anatomical structures of whole zebrafish larvae by labeling the proteins of the larvae with fluorophores and expanding them four-fold. We first optimize the fluorophore selection and labeling procedure to visualize a broader range of anatomical structures. We then develop an expansion protocol for zebrafish larvae having calcified body parts. Through this process, we visualize the nanoscale details of diverse larvae organs, which have corresponding organ counterparts in humans, over the intact larvae. We show that whole-ExM retains the fluorescence signals of fluorescent proteins, and its resolution is high enough to visualize various structures that can be imaged only with electron microscopy. Whole-ExM would enable the nanoscale study of the molecular mechanisms of human diseases.","author":[{"dropping-particle":"","family":"Sim","given":"Jueun","non-dropping-particle":"","parse-names":false,"suffix":""},{"dropping-particle":"","family":"Park","given":"C.E.","non-dropping-particle":"","parse-names":false,"suffix":""},{"dropping-particle":"","family":"Cho","given":"In","non-dropping-particle":"","parse-names":false,"suffix":""},{"dropping-particle":"","family":"Min","given":"Kyeongbae","non-dropping-particle":"","parse-names":false,"suffix":""},{"dropping-particle":"","family":"Lee","given":"J.-S.","non-dropping-particle":"","parse-names":false,"suffix":""},{"dropping-particle":"","family":"Chong","given":"Yosep","non-dropping-particle":"","parse-names":false,"suffix":""},{"dropping-particle":"","family":"Kim","given":"J.","non-dropping-particle":"","parse-names":false,"suffix":""},{"dropping-particle":"","family":"Kang","given":"J.S.","non-dropping-particle":"","parse-names":false,"suffix":""},{"dropping-particle":"","family":"Piatkevich","given":"K.D.","non-dropping-particle":"","parse-names":false,"suffix":""},{"dropping-particle":"","family":"Jung","given":"E.E.","non-dropping-particle":"","parse-names":false,"suffix":""},{"dropping-particle":"","family":"Kwon","given":"S.-K.","non-dropping-particle":"","parse-names":false,"suffix":""},{"dropping-particle":"","family":"Yoon","given":"Y.-G.","non-dropping-particle":"","parse-names":false,"suffix":""},{"dropping-particle":"","family":"Boyden","given":"E.S.","non-dropping-particle":"","parse-names":false,"suffix":""},{"dropping-particle":"","family":"Chang","given":"J.-B.","non-dropping-particle":"","parse-names":false,"suffix":""}],"container-title":"bioRxiv","id":"ITEM-1","issued":{"date-parts":[["2022"]]},"title":"Nanoscale resolution imaging of the whole mouse embryos and larval zebrafish using expansion microscopy","type":"article"},"uris":["http://www.mendeley.com/documents/?uuid=780b1554-8f51-40d6-864c-20d07184d393"]}],"mendeley":{"formattedCitation":"&lt;sup&gt;292&lt;/sup&gt;","plainTextFormattedCitation":"292","previouslyFormattedCitation":"&lt;sup&gt;292&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292</w:t>
      </w:r>
      <w:r w:rsidRPr="000D3D4F">
        <w:rPr>
          <w:rFonts w:ascii="Arial" w:hAnsi="Arial" w:cs="Arial"/>
          <w:sz w:val="24"/>
          <w:szCs w:val="24"/>
        </w:rPr>
        <w:fldChar w:fldCharType="end"/>
      </w:r>
      <w:r w:rsidRPr="000D3D4F">
        <w:rPr>
          <w:rFonts w:ascii="Arial" w:hAnsi="Arial" w:cs="Arial"/>
          <w:sz w:val="24"/>
          <w:szCs w:val="24"/>
        </w:rPr>
        <w:t xml:space="preserve"> We combined different expansion microscopy protocols with label-free scattered light imaging of intracellular metallic nanoparticles, as shown in Figure </w:t>
      </w:r>
      <w:r w:rsidR="000E44BA">
        <w:rPr>
          <w:rFonts w:ascii="Arial" w:hAnsi="Arial" w:cs="Arial"/>
          <w:sz w:val="24"/>
          <w:szCs w:val="24"/>
        </w:rPr>
        <w:t>2.</w:t>
      </w:r>
      <w:r w:rsidRPr="000D3D4F">
        <w:rPr>
          <w:rFonts w:ascii="Arial" w:hAnsi="Arial" w:cs="Arial"/>
          <w:sz w:val="24"/>
          <w:szCs w:val="24"/>
        </w:rPr>
        <w:t>1.</w:t>
      </w:r>
    </w:p>
    <w:p w14:paraId="6AE847B3" w14:textId="77777777" w:rsidR="0045567B" w:rsidRDefault="0045567B">
      <w:pPr>
        <w:rPr>
          <w:rFonts w:ascii="Arial" w:hAnsi="Arial" w:cs="Arial"/>
          <w:sz w:val="24"/>
          <w:szCs w:val="24"/>
        </w:rPr>
      </w:pPr>
      <w:r>
        <w:rPr>
          <w:rFonts w:ascii="Arial" w:hAnsi="Arial" w:cs="Arial"/>
          <w:sz w:val="24"/>
          <w:szCs w:val="24"/>
        </w:rPr>
        <w:br w:type="page"/>
      </w:r>
    </w:p>
    <w:p w14:paraId="34FE8F3C" w14:textId="77777777" w:rsidR="0045567B" w:rsidRDefault="0045567B" w:rsidP="0045567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8B54BD2" wp14:editId="0E2AAA28">
            <wp:extent cx="5937885" cy="4203700"/>
            <wp:effectExtent l="0" t="0" r="5715" b="6350"/>
            <wp:docPr id="2063791114" name="Picture 2063791114"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91114" name="Picture 2063791114" descr="A diagram of a cell&#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7885" cy="4203700"/>
                    </a:xfrm>
                    <a:prstGeom prst="rect">
                      <a:avLst/>
                    </a:prstGeom>
                    <a:noFill/>
                    <a:ln>
                      <a:noFill/>
                    </a:ln>
                  </pic:spPr>
                </pic:pic>
              </a:graphicData>
            </a:graphic>
          </wp:inline>
        </w:drawing>
      </w:r>
    </w:p>
    <w:p w14:paraId="65337C04" w14:textId="777C1CF4" w:rsidR="0045567B" w:rsidRPr="00E57377" w:rsidRDefault="0045567B" w:rsidP="00E57377">
      <w:pPr>
        <w:jc w:val="both"/>
        <w:rPr>
          <w:rFonts w:ascii="Arial" w:hAnsi="Arial" w:cs="Arial"/>
          <w:sz w:val="24"/>
          <w:szCs w:val="24"/>
        </w:rPr>
      </w:pPr>
      <w:r w:rsidRPr="00E57377">
        <w:rPr>
          <w:rFonts w:ascii="Arial" w:hAnsi="Arial" w:cs="Arial"/>
          <w:b/>
          <w:bCs/>
          <w:sz w:val="24"/>
          <w:szCs w:val="24"/>
        </w:rPr>
        <w:t xml:space="preserve">Figure 2.1. Overview of the combination of expansion microscopy and scattered light imaging of label-free nanoparticles. (a) </w:t>
      </w:r>
      <w:r w:rsidRPr="00E57377">
        <w:rPr>
          <w:rFonts w:ascii="Arial" w:hAnsi="Arial" w:cs="Arial"/>
          <w:sz w:val="24"/>
          <w:szCs w:val="24"/>
        </w:rPr>
        <w:t>We first treated cultured cells with gold nanoparticles (AuNPs). Following fixation with paraformaldehyde, we processed the cells through protein retention expansion microscopy (proExM). In proExM, the proteome of the cells is treated with Acryloyl-X, SE, a molecule that binds to primary amines in proteins, which then gets incorporated into a swellable gel matrix. The protein corona adsorbed onto the surface of intracellular AuNPs, is also incorporated into the gel matrix by the Acryloyl-X, SE treatment. We then homogenized the samples with Proteinase K before swelling them in ultrapure H</w:t>
      </w:r>
      <w:r w:rsidRPr="00E57377">
        <w:rPr>
          <w:rFonts w:ascii="Arial" w:hAnsi="Arial" w:cs="Arial"/>
          <w:sz w:val="24"/>
          <w:szCs w:val="24"/>
          <w:vertAlign w:val="subscript"/>
        </w:rPr>
        <w:t>2</w:t>
      </w:r>
      <w:r w:rsidRPr="00E57377">
        <w:rPr>
          <w:rFonts w:ascii="Arial" w:hAnsi="Arial" w:cs="Arial"/>
          <w:sz w:val="24"/>
          <w:szCs w:val="24"/>
        </w:rPr>
        <w:t xml:space="preserve">O. While the AuNPs do not physically expand along with the anchored intracellular protein, they remain in their initial relative positions within the cells. </w:t>
      </w:r>
      <w:r w:rsidRPr="00E57377">
        <w:rPr>
          <w:rFonts w:ascii="Arial" w:hAnsi="Arial" w:cs="Arial"/>
          <w:b/>
          <w:bCs/>
          <w:sz w:val="24"/>
          <w:szCs w:val="24"/>
        </w:rPr>
        <w:t>(b)</w:t>
      </w:r>
      <w:r w:rsidRPr="00E57377">
        <w:rPr>
          <w:rFonts w:ascii="Arial" w:hAnsi="Arial" w:cs="Arial"/>
          <w:sz w:val="24"/>
          <w:szCs w:val="24"/>
        </w:rPr>
        <w:t xml:space="preserve"> We accomplished label-free nanoparticle imaging by exploiting the efficient light scattering properties of inorganic nanoparticles.</w:t>
      </w:r>
      <w:r w:rsidRPr="00E57377">
        <w:rPr>
          <w:rFonts w:ascii="Arial" w:hAnsi="Arial" w:cs="Arial"/>
          <w:sz w:val="24"/>
          <w:szCs w:val="24"/>
          <w:vertAlign w:val="superscript"/>
        </w:rPr>
        <w:t xml:space="preserve"> </w:t>
      </w:r>
      <w:r w:rsidRPr="00E57377">
        <w:rPr>
          <w:rFonts w:ascii="Arial" w:hAnsi="Arial" w:cs="Arial"/>
          <w:sz w:val="24"/>
          <w:szCs w:val="24"/>
        </w:rPr>
        <w:t xml:space="preserve">We used a narrow light detection window around the illumination laser wavelength (+/- 5 nm) to collect the scattered light, while effectively rejecting the emission light from standard fluorophores. This imaging method allows the nanoparticle light scattering signal to be overlayed with the fluorescence signal from stained expanded cells to allow for the localization of nanoparticles within individual vesicles. </w:t>
      </w:r>
      <w:r w:rsidRPr="00E57377">
        <w:rPr>
          <w:rFonts w:ascii="Arial" w:hAnsi="Arial" w:cs="Arial"/>
          <w:sz w:val="24"/>
          <w:szCs w:val="24"/>
        </w:rPr>
        <w:br w:type="page"/>
      </w:r>
    </w:p>
    <w:p w14:paraId="25EAAF8F" w14:textId="23B24829" w:rsidR="000D3D4F" w:rsidRDefault="000D3D4F" w:rsidP="00721691">
      <w:pPr>
        <w:pStyle w:val="Heading2"/>
      </w:pPr>
      <w:bookmarkStart w:id="24" w:name="_Toc151032419"/>
      <w:r w:rsidRPr="000D3D4F">
        <w:lastRenderedPageBreak/>
        <w:t>2.2</w:t>
      </w:r>
      <w:r>
        <w:t xml:space="preserve"> </w:t>
      </w:r>
      <w:r w:rsidRPr="000D3D4F">
        <w:t>Results and Discussion</w:t>
      </w:r>
      <w:bookmarkEnd w:id="24"/>
    </w:p>
    <w:p w14:paraId="5277B921" w14:textId="77777777" w:rsidR="00721691" w:rsidRPr="00721691" w:rsidRDefault="00721691" w:rsidP="00721691"/>
    <w:p w14:paraId="375DB5C6" w14:textId="4026F7E2" w:rsidR="000D3D4F" w:rsidRDefault="000D3D4F" w:rsidP="00721691">
      <w:pPr>
        <w:pStyle w:val="Heading3"/>
      </w:pPr>
      <w:bookmarkStart w:id="25" w:name="_Toc151032420"/>
      <w:r>
        <w:t xml:space="preserve">2.2.1 </w:t>
      </w:r>
      <w:r w:rsidRPr="000D3D4F">
        <w:t>Achieving super-resolution imaging with expansion microscopy</w:t>
      </w:r>
      <w:bookmarkEnd w:id="25"/>
    </w:p>
    <w:p w14:paraId="1046ECF1" w14:textId="77777777" w:rsidR="00721691" w:rsidRPr="00721691" w:rsidRDefault="00721691" w:rsidP="00721691"/>
    <w:p w14:paraId="211348F2" w14:textId="1A0CFF6E" w:rsidR="000D3D4F" w:rsidRPr="000D3D4F" w:rsidRDefault="000D3D4F" w:rsidP="000D3D4F">
      <w:pPr>
        <w:spacing w:line="480" w:lineRule="auto"/>
        <w:jc w:val="both"/>
        <w:rPr>
          <w:rFonts w:ascii="Arial" w:hAnsi="Arial" w:cs="Arial"/>
          <w:sz w:val="24"/>
          <w:szCs w:val="24"/>
        </w:rPr>
      </w:pPr>
      <w:r w:rsidRPr="000D3D4F">
        <w:rPr>
          <w:rFonts w:ascii="Arial" w:hAnsi="Arial" w:cs="Arial"/>
          <w:sz w:val="24"/>
          <w:szCs w:val="24"/>
        </w:rPr>
        <w:t xml:space="preserve">The diffraction limit of visible light microscopy presents a barrier to the ultrastructural imaging and analysis of intracellular nanoparticles. This challenge is illustrated in Figure </w:t>
      </w:r>
      <w:r w:rsidR="000E44BA">
        <w:rPr>
          <w:rFonts w:ascii="Arial" w:hAnsi="Arial" w:cs="Arial"/>
          <w:sz w:val="24"/>
          <w:szCs w:val="24"/>
        </w:rPr>
        <w:t>2.</w:t>
      </w:r>
      <w:r w:rsidRPr="000D3D4F">
        <w:rPr>
          <w:rFonts w:ascii="Arial" w:hAnsi="Arial" w:cs="Arial"/>
          <w:sz w:val="24"/>
          <w:szCs w:val="24"/>
        </w:rPr>
        <w:t>2a, showing a diffraction-limited confocal laser scanning microscopy (CLSM) image of cultured murine triple-negative breast cancer epithelial (4T1) cells. Since most intracellular features are smaller in size than the optical diffraction limit,</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{"citationItems":[{"id":"ITEM-1","itemData":{"DOI":"10.1002/adfm.202007363","ISSN":"16163028","abstract":"Nanoparticle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author":[{"dropping-particle":"","family":"Sheth","given":"Vinit","non-dropping-particle":"","parse-names":false,"suffix":""},{"dropping-particle":"","family":"Wang","given":"Lin","non-dropping-particle":"","parse-names":false,"suffix":""},{"dropping-particle":"","family":"Bhattacharya","given":"Resham","non-dropping-particle":"","parse-names":false,"suffix":""},{"dropping-particle":"","family":"Mukherjee","given":"Priyabrata","non-dropping-particle":"","parse-names":false,"suffix":""},{"dropping-particle":"","family":"Wilhelm","given":"Stefan","non-dropping-particle":"","parse-names":false,"suffix":""}],"container-title":"Advanced Functional Materials","id":"ITEM-1","issued":{"date-parts":[["2020"]]},"page":"1-20","title":"Strategies for Delivering Nanoparticles across Tumor Blood Vessels","type":"article-journal","volume":"2007363"},"uris":["http://www.mendeley.com/documents/?uuid=d3808e64-da19-47ce-a20e-69ce117f4790"]}],"mendeley":{"formattedCitation":"&lt;sup&gt;293&lt;/sup&gt;","plainTextFormattedCitation":"293","previouslyFormattedCitation":"&lt;sup&gt;293&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293</w:t>
      </w:r>
      <w:r w:rsidRPr="000D3D4F">
        <w:rPr>
          <w:rFonts w:ascii="Arial" w:hAnsi="Arial" w:cs="Arial"/>
          <w:sz w:val="24"/>
          <w:szCs w:val="24"/>
        </w:rPr>
        <w:fldChar w:fldCharType="end"/>
      </w:r>
      <w:r w:rsidRPr="000D3D4F">
        <w:rPr>
          <w:rFonts w:ascii="Arial" w:hAnsi="Arial" w:cs="Arial"/>
          <w:sz w:val="24"/>
          <w:szCs w:val="24"/>
        </w:rPr>
        <w:t xml:space="preserve"> super-resolution microscopy is needed to resolve nanoparticle distributions with ultrastructural context and accuracy. </w:t>
      </w:r>
    </w:p>
    <w:p w14:paraId="7BE2217C" w14:textId="60C6F698"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To address this need, we adopted the protein retention expansion microscopy (proExM) protocol, a protease-based variant of the original expansion microscopy protocol where cellular proteins are anchored directly to a swellable gel matrix.</w:t>
      </w:r>
      <w:r w:rsidRPr="000D3D4F">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{"citationItems":[{"id":"ITEM-1","itemData":{"DOI":"10.1002/cpcb.56","ISSN":"19342616","abstract":"Expansion microscopy (ExM) is a recently developed technique that enables nanoscale-resolution imaging of preserved cells and tissues on conventional diffraction-limited microscopes via isotropic physical expansion of the specimens before imaging. In ExM, biomolecules and/or fluorescent labels in the specimen are linked to a dense, expandable polymer matrix synthesized evenly throughout the specimen, which undergoes 3-dimensional expansion by </w:instrText>
      </w:r>
      <w:r w:rsidR="008C387C">
        <w:rPr>
          <w:rFonts w:ascii="Cambria Math" w:hAnsi="Cambria Math" w:cs="Cambria Math"/>
          <w:sz w:val="24"/>
          <w:szCs w:val="24"/>
        </w:rPr>
        <w:instrText>∼</w:instrText>
      </w:r>
      <w:r w:rsidR="008C387C">
        <w:rPr>
          <w:rFonts w:ascii="Arial" w:hAnsi="Arial" w:cs="Arial"/>
          <w:sz w:val="24"/>
          <w:szCs w:val="24"/>
        </w:rPr>
        <w:instrText>4.5 fold linearly when immersed in water. Since our first report, versions of ExM optimized for visualization of proteins, RNA, and other biomolecules have emerged. Here we describe best-practice, step-by-step ExM protocols for performing analysis of proteins (protein retention ExM, or proExM) as well as RNAs (expansion fluorescence in situ hybridization, or ExFISH), using chemicals and hardware found in a typical biology lab. Furthermore, a detailed protocol for handling and mounting expanded samples and for imaging them with confocal and light-sheet microscopes is provided. © 2018 by John Wiley &amp; Sons, Inc.","author":[{"dropping-particle":"","family":"Asano","given":"Shoh M.","non-dropping-particle":"","parse-names":false,"suffix":""},{"dropping-particle":"","family":"Gao","given":"Ruixuan","non-dropping-particle":"","parse-names":false,"suffix":""},{"dropping-particle":"","family":"Wassie","given":"Asmamaw T.","non-dropping-particle":"","parse-names":false,"suffix":""},{"dropping-particle":"","family":"Tillberg","given":"Paul W.","non-dropping-particle":"","parse-names":false,"suffix":""},{"dropping-particle":"","family":"Chen","given":"Fei","non-dropping-particle":"","parse-names":false,"suffix":""},{"dropping-particle":"","family":"Boyden","given":"Edward S.","non-dropping-particle":"","parse-names":false,"suffix":""}],"container-title":"Current Protocols in Cell Biology","id":"ITEM-1","issue":"1","issued":{"date-parts":[["2018"]]},"page":"1-41","title":"Expansion Microscopy: Protocols for Imaging Proteins and RNA in Cells and Tissues","type":"article-journal","volume":"80"},"uris":["http://www.mendeley.com/documents/?uuid=5b441f14-4fba-4b6e-91c8-060c0441e136"]},{"id":"ITEM-2","itemData":{"DOI":"10.1038/nbt.3625","ISSN":"15461696","PMID":"27376584","abstract":"Expansion microscopy (ExM) enables imaging of preserved specimens with nanoscale precision on diffraction-limited instead of specialized super-resolution microscopes. ExM works by physically separating fluorescent probes after anchoring them to a swellable gel. The first ExM method did not result in the retention of native proteins in the gel and relied on custom-made reagents that are not widely available. Here we describe protein retention ExM (proExM), a variant of ExM in which proteins are anchored to the swellable gel, allowing the use of conventional fluorescently labeled antibodies and streptavidin, and fluorescent proteins. We validated and demonstrated the utility of proExM for multicolor super-resolution (</w:instrText>
      </w:r>
      <w:r w:rsidR="008C387C">
        <w:rPr>
          <w:rFonts w:ascii="Cambria Math" w:hAnsi="Cambria Math" w:cs="Cambria Math"/>
          <w:sz w:val="24"/>
          <w:szCs w:val="24"/>
        </w:rPr>
        <w:instrText>∼</w:instrText>
      </w:r>
      <w:r w:rsidR="008C387C">
        <w:rPr>
          <w:rFonts w:ascii="Arial" w:hAnsi="Arial" w:cs="Arial"/>
          <w:sz w:val="24"/>
          <w:szCs w:val="24"/>
        </w:rPr>
        <w:instrText>1/470 nm) imaging of cells and mammalian tissues on conventional microscopes.","author":[{"dropping-particle":"","family":"Tillberg","given":"Paul W.","non-dropping-particle":"","parse-names":false,"suffix":""},{"dropping-particle":"","family":"Chen","given":"Fei","non-dropping-particle":"","parse-names":false,"suffix":""},{"dropping-particle":"","family":"Piatkevich","given":"Kiryl D.","non-dropping-particle":"","parse-names":false,"suffix":""},{"dropping-particle":"","family":"Zhao","given":"Yongxin","non-dropping-particle":"","parse-names":false,"suffix":""},{"dropping-particle":"","family":"Yu","given":"C. C.","non-dropping-particle":"","parse-names":false,"suffix":""},{"dropping-particle":"","family":"English","given":"Brian P.","non-dropping-particle":"","parse-names":false,"suffix":""},{"dropping-particle":"","family":"Gao","given":"Linyi","non-dropping-particle":"","parse-names":false,"suffix":""},{"dropping-particle":"","family":"Martorell","given":"Anthony","non-dropping-particle":"","parse-names":false,"suffix":""},{"dropping-particle":"","family":"Suk","given":"Ho Jun","non-dropping-particle":"","parse-names":false,"suffix":""},{"dropping-particle":"","family":"Yoshida","given":"Fumiaki","non-dropping-particle":"","parse-names":false,"suffix":""},{"dropping-particle":"","family":"Degennaro","given":"Ellen M.","non-dropping-particle":"","parse-names":false,"suffix":""},{"dropping-particle":"","family":"Roossien","given":"Douglas H.","non-dropping-particle":"","parse-names":false,"suffix":""},{"dropping-particle":"","family":"Gong","given":"Guanyu","non-dropping-particle":"","parse-names":false,"suffix":""},{"dropping-particle":"","family":"Seneviratne","given":"Uthpala","non-dropping-particle":"","parse-names":false,"suffix":""},{"dropping-particle":"","family":"Tannenbaum","given":"Steven R.","non-dropping-particle":"","parse-names":false,"suffix":""},{"dropping-particle":"","family":"Desimone","given":"Robert","non-dropping-particle":"","parse-names":false,"suffix":""},{"dropping-particle":"","family":"Cai","given":"Dawen","non-dropping-particle":"","parse-names":false,"suffix":""},{"dropping-particle":"","family":"Boyden","given":"Edward S.","non-dropping-particle":"","parse-names":false,"suffix":""}],"container-title":"Nature Biotechnology","id":"ITEM-2","issue":"9","issued":{"date-parts":[["2016"]]},"page":"987-992","title":"Protein-retention expansion microscopy of cells and tissues labeled using standard fluorescent proteins and antibodies","type":"article-journal","volume":"34"},"uris":["http://www.mendeley.com/documents/?uuid=7d5436d4-04f0-4aea-87c6-1a3f25267be2"]}],"mendeley":{"formattedCitation":"&lt;sup&gt;287,294&lt;/sup&gt;","plainTextFormattedCitation":"287,294","previouslyFormattedCitation":"&lt;sup&gt;287,294&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287,294</w:t>
      </w:r>
      <w:r w:rsidRPr="000D3D4F">
        <w:rPr>
          <w:rFonts w:ascii="Arial" w:hAnsi="Arial" w:cs="Arial"/>
          <w:sz w:val="24"/>
          <w:szCs w:val="24"/>
        </w:rPr>
        <w:fldChar w:fldCharType="end"/>
      </w:r>
      <w:r w:rsidRPr="000D3D4F">
        <w:rPr>
          <w:rFonts w:ascii="Arial" w:hAnsi="Arial" w:cs="Arial"/>
          <w:sz w:val="24"/>
          <w:szCs w:val="24"/>
        </w:rPr>
        <w:t xml:space="preserve"> Using this protocol, we achieved a ~4X linear expansion of cultured cells resulting in super-resolved images. Figures </w:t>
      </w:r>
      <w:r w:rsidR="000E44BA">
        <w:rPr>
          <w:rFonts w:ascii="Arial" w:hAnsi="Arial" w:cs="Arial"/>
          <w:sz w:val="24"/>
          <w:szCs w:val="24"/>
        </w:rPr>
        <w:t>2.</w:t>
      </w:r>
      <w:r w:rsidRPr="000D3D4F">
        <w:rPr>
          <w:rFonts w:ascii="Arial" w:hAnsi="Arial" w:cs="Arial"/>
          <w:sz w:val="24"/>
          <w:szCs w:val="24"/>
        </w:rPr>
        <w:t>2b, S</w:t>
      </w:r>
      <w:r w:rsidR="000E44BA">
        <w:rPr>
          <w:rFonts w:ascii="Arial" w:hAnsi="Arial" w:cs="Arial"/>
          <w:sz w:val="24"/>
          <w:szCs w:val="24"/>
        </w:rPr>
        <w:t>2.</w:t>
      </w:r>
      <w:r w:rsidRPr="000D3D4F">
        <w:rPr>
          <w:rFonts w:ascii="Arial" w:hAnsi="Arial" w:cs="Arial"/>
          <w:sz w:val="24"/>
          <w:szCs w:val="24"/>
        </w:rPr>
        <w:t>1</w:t>
      </w:r>
      <w:r w:rsidRPr="000D3D4F">
        <w:rPr>
          <w:rFonts w:ascii="Arial" w:hAnsi="Arial" w:cs="Arial"/>
          <w:b/>
          <w:bCs/>
          <w:sz w:val="24"/>
          <w:szCs w:val="24"/>
        </w:rPr>
        <w:t xml:space="preserve"> </w:t>
      </w:r>
      <w:r w:rsidRPr="000D3D4F">
        <w:rPr>
          <w:rFonts w:ascii="Arial" w:hAnsi="Arial" w:cs="Arial"/>
          <w:sz w:val="24"/>
          <w:szCs w:val="24"/>
        </w:rPr>
        <w:t xml:space="preserve">show 4T1 cells processed with the proExM protocol. In Figure </w:t>
      </w:r>
      <w:r w:rsidR="000E44BA">
        <w:rPr>
          <w:rFonts w:ascii="Arial" w:hAnsi="Arial" w:cs="Arial"/>
          <w:sz w:val="24"/>
          <w:szCs w:val="24"/>
        </w:rPr>
        <w:t>2.</w:t>
      </w:r>
      <w:r w:rsidRPr="000D3D4F">
        <w:rPr>
          <w:rFonts w:ascii="Arial" w:hAnsi="Arial" w:cs="Arial"/>
          <w:sz w:val="24"/>
          <w:szCs w:val="24"/>
        </w:rPr>
        <w:t>2c, we determined a linear expansion factor of 4.1X. We then further quantified the increase in image resolution in Figure S</w:t>
      </w:r>
      <w:r w:rsidR="000E44BA">
        <w:rPr>
          <w:rFonts w:ascii="Arial" w:hAnsi="Arial" w:cs="Arial"/>
          <w:sz w:val="24"/>
          <w:szCs w:val="24"/>
        </w:rPr>
        <w:t>2.</w:t>
      </w:r>
      <w:r w:rsidRPr="000D3D4F">
        <w:rPr>
          <w:rFonts w:ascii="Arial" w:hAnsi="Arial" w:cs="Arial"/>
          <w:sz w:val="24"/>
          <w:szCs w:val="24"/>
        </w:rPr>
        <w:t xml:space="preserve">2a. We found that line profiles across non-expanded nuclei had 1.3 +/- </w:t>
      </w:r>
      <w:proofErr w:type="gramStart"/>
      <w:r w:rsidRPr="000D3D4F">
        <w:rPr>
          <w:rFonts w:ascii="Arial" w:hAnsi="Arial" w:cs="Arial"/>
          <w:sz w:val="24"/>
          <w:szCs w:val="24"/>
        </w:rPr>
        <w:t>0.1 pixel</w:t>
      </w:r>
      <w:proofErr w:type="gramEnd"/>
      <w:r w:rsidRPr="000D3D4F">
        <w:rPr>
          <w:rFonts w:ascii="Arial" w:hAnsi="Arial" w:cs="Arial"/>
          <w:sz w:val="24"/>
          <w:szCs w:val="24"/>
        </w:rPr>
        <w:t xml:space="preserve"> intensity peaks/µm, whereas expanded nuclei had 5.4 +/- 0.1 pixel intensity peaks/µm (following correction for expansion factors, see Methods section) (</w:t>
      </w:r>
      <w:r w:rsidRPr="000D3D4F">
        <w:rPr>
          <w:rFonts w:ascii="Arial" w:hAnsi="Arial" w:cs="Arial"/>
          <w:i/>
          <w:iCs/>
          <w:sz w:val="24"/>
          <w:szCs w:val="24"/>
        </w:rPr>
        <w:t>n</w:t>
      </w:r>
      <w:r w:rsidRPr="000D3D4F">
        <w:rPr>
          <w:rFonts w:ascii="Arial" w:hAnsi="Arial" w:cs="Arial"/>
          <w:sz w:val="24"/>
          <w:szCs w:val="24"/>
        </w:rPr>
        <w:t>=3).</w:t>
      </w:r>
    </w:p>
    <w:p w14:paraId="2B172E87" w14:textId="77777777" w:rsidR="0045567B" w:rsidRDefault="0045567B">
      <w:pPr>
        <w:rPr>
          <w:rFonts w:ascii="Arial" w:hAnsi="Arial" w:cs="Arial"/>
          <w:sz w:val="24"/>
          <w:szCs w:val="24"/>
        </w:rPr>
      </w:pPr>
      <w:r>
        <w:rPr>
          <w:rFonts w:ascii="Arial" w:hAnsi="Arial" w:cs="Arial"/>
          <w:sz w:val="24"/>
          <w:szCs w:val="24"/>
        </w:rPr>
        <w:br w:type="page"/>
      </w:r>
    </w:p>
    <w:p w14:paraId="0E381D6D" w14:textId="77777777" w:rsidR="0045567B" w:rsidRDefault="0045567B" w:rsidP="0045567B">
      <w:pPr>
        <w:rPr>
          <w:rFonts w:ascii="Times New Roman"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7D755F90" wp14:editId="1AE01C17">
            <wp:extent cx="5936615" cy="3950970"/>
            <wp:effectExtent l="0" t="0" r="6985" b="0"/>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6615" cy="3950970"/>
                    </a:xfrm>
                    <a:prstGeom prst="rect">
                      <a:avLst/>
                    </a:prstGeom>
                    <a:noFill/>
                    <a:ln>
                      <a:noFill/>
                    </a:ln>
                  </pic:spPr>
                </pic:pic>
              </a:graphicData>
            </a:graphic>
          </wp:inline>
        </w:drawing>
      </w:r>
    </w:p>
    <w:p w14:paraId="207432E2" w14:textId="53443D0F" w:rsidR="0045567B" w:rsidRPr="00E57377" w:rsidRDefault="0045567B" w:rsidP="00E57377">
      <w:pPr>
        <w:jc w:val="both"/>
        <w:rPr>
          <w:rFonts w:ascii="Arial" w:hAnsi="Arial" w:cs="Arial"/>
          <w:sz w:val="24"/>
          <w:szCs w:val="24"/>
        </w:rPr>
      </w:pPr>
      <w:r w:rsidRPr="00E57377">
        <w:rPr>
          <w:rFonts w:ascii="Arial" w:hAnsi="Arial" w:cs="Arial"/>
          <w:b/>
          <w:bCs/>
          <w:sz w:val="24"/>
          <w:szCs w:val="24"/>
        </w:rPr>
        <w:t>Figure 2.2: Expansion microscopy of 4T1 mammary tumor mouse cells. (a)</w:t>
      </w:r>
      <w:r w:rsidRPr="00E57377">
        <w:rPr>
          <w:rFonts w:ascii="Arial" w:hAnsi="Arial" w:cs="Arial"/>
          <w:sz w:val="24"/>
          <w:szCs w:val="24"/>
        </w:rPr>
        <w:t xml:space="preserve"> Non-expanded 4T1 cells labeled </w:t>
      </w:r>
      <w:bookmarkStart w:id="26" w:name="_Hlk146623955"/>
      <w:r w:rsidRPr="00E57377">
        <w:rPr>
          <w:rFonts w:ascii="Arial" w:hAnsi="Arial" w:cs="Arial"/>
          <w:sz w:val="24"/>
          <w:szCs w:val="24"/>
        </w:rPr>
        <w:t xml:space="preserve">with the DNA stain, 4′,6-diamidino-2-phenylindole (DAPI) (blue) for nuclei visualization </w:t>
      </w:r>
      <w:bookmarkEnd w:id="26"/>
      <w:r w:rsidRPr="00E57377">
        <w:rPr>
          <w:rFonts w:ascii="Arial" w:hAnsi="Arial" w:cs="Arial"/>
          <w:sz w:val="24"/>
          <w:szCs w:val="24"/>
        </w:rPr>
        <w:t xml:space="preserve">and the glycoprotein stain, wheat germ agglutinin WGA-CF488A (green) for cell membrane visualization. </w:t>
      </w:r>
      <w:r w:rsidRPr="00E57377">
        <w:rPr>
          <w:rFonts w:ascii="Arial" w:hAnsi="Arial" w:cs="Arial"/>
          <w:b/>
          <w:bCs/>
          <w:sz w:val="24"/>
          <w:szCs w:val="24"/>
        </w:rPr>
        <w:t>(b)</w:t>
      </w:r>
      <w:r w:rsidRPr="00E57377">
        <w:rPr>
          <w:rFonts w:ascii="Arial" w:hAnsi="Arial" w:cs="Arial"/>
          <w:sz w:val="24"/>
          <w:szCs w:val="24"/>
        </w:rPr>
        <w:t xml:space="preserve"> Expanded 4T1 cells stained with DAPI and WGA-CF488A. </w:t>
      </w:r>
      <w:r w:rsidRPr="00E57377">
        <w:rPr>
          <w:rFonts w:ascii="Arial" w:hAnsi="Arial" w:cs="Arial"/>
          <w:b/>
          <w:bCs/>
          <w:sz w:val="24"/>
          <w:szCs w:val="24"/>
        </w:rPr>
        <w:t>(c)</w:t>
      </w:r>
      <w:r w:rsidRPr="00E57377">
        <w:rPr>
          <w:rFonts w:ascii="Arial" w:hAnsi="Arial" w:cs="Arial"/>
          <w:sz w:val="24"/>
          <w:szCs w:val="24"/>
        </w:rPr>
        <w:t xml:space="preserve"> Quantitative analysis of the nuclei area in µm</w:t>
      </w:r>
      <w:r w:rsidRPr="00E57377">
        <w:rPr>
          <w:rFonts w:ascii="Arial" w:hAnsi="Arial" w:cs="Arial"/>
          <w:sz w:val="24"/>
          <w:szCs w:val="24"/>
          <w:vertAlign w:val="superscript"/>
        </w:rPr>
        <w:t>2</w:t>
      </w:r>
      <w:r w:rsidRPr="00E57377">
        <w:rPr>
          <w:rFonts w:ascii="Arial" w:hAnsi="Arial" w:cs="Arial"/>
          <w:sz w:val="24"/>
          <w:szCs w:val="24"/>
        </w:rPr>
        <w:t xml:space="preserve"> of non-expanded and expanded cells, measured on ImageJ. The mean values (solid black line) were used to calculate the linear expansion factor of 4.1X (n=90) using Equation 1. An unpaired one-tailed t-test resulted in a statistically significant difference in the means of the nuclei areas between the two groups (****p&lt;0.0001). </w:t>
      </w:r>
      <w:r w:rsidRPr="00E57377">
        <w:rPr>
          <w:rFonts w:ascii="Arial" w:hAnsi="Arial" w:cs="Arial"/>
          <w:b/>
          <w:bCs/>
          <w:sz w:val="24"/>
          <w:szCs w:val="24"/>
        </w:rPr>
        <w:t>(d)</w:t>
      </w:r>
      <w:r w:rsidRPr="00E57377">
        <w:rPr>
          <w:rFonts w:ascii="Arial" w:hAnsi="Arial" w:cs="Arial"/>
          <w:sz w:val="24"/>
          <w:szCs w:val="24"/>
        </w:rPr>
        <w:t xml:space="preserve"> Non-expanded cells </w:t>
      </w:r>
      <w:bookmarkStart w:id="27" w:name="_Hlk146623983"/>
      <w:r w:rsidRPr="00E57377">
        <w:rPr>
          <w:rFonts w:ascii="Arial" w:hAnsi="Arial" w:cs="Arial"/>
          <w:sz w:val="24"/>
          <w:szCs w:val="24"/>
        </w:rPr>
        <w:t>bulk (pan) stained with NHS-AF555 to visualize the entire proteome of the cell</w:t>
      </w:r>
      <w:bookmarkEnd w:id="27"/>
      <w:r w:rsidRPr="00E57377">
        <w:rPr>
          <w:rFonts w:ascii="Arial" w:hAnsi="Arial" w:cs="Arial"/>
          <w:sz w:val="24"/>
          <w:szCs w:val="24"/>
        </w:rPr>
        <w:t xml:space="preserve"> (left) and a digital magnification of the cell in the red box by a factor of 4.1X (right). </w:t>
      </w:r>
      <w:r w:rsidRPr="00E57377">
        <w:rPr>
          <w:rFonts w:ascii="Arial" w:hAnsi="Arial" w:cs="Arial"/>
          <w:b/>
          <w:bCs/>
          <w:sz w:val="24"/>
          <w:szCs w:val="24"/>
        </w:rPr>
        <w:t>(e)</w:t>
      </w:r>
      <w:r w:rsidRPr="00E57377">
        <w:rPr>
          <w:rFonts w:ascii="Arial" w:hAnsi="Arial" w:cs="Arial"/>
          <w:sz w:val="24"/>
          <w:szCs w:val="24"/>
        </w:rPr>
        <w:t xml:space="preserve"> Expanded cells pan-stained with NHS-AF555, demonstrating a clear increase in image resolution and contrast compared to the digital magnification image. The scale bars indicate 20 µm for the unmagnified images and 5 µm for the magnified image. </w:t>
      </w:r>
      <w:bookmarkStart w:id="28" w:name="_Hlk122430245"/>
      <w:r w:rsidRPr="00E57377">
        <w:rPr>
          <w:rFonts w:ascii="Arial" w:hAnsi="Arial" w:cs="Arial"/>
          <w:sz w:val="24"/>
          <w:szCs w:val="24"/>
        </w:rPr>
        <w:t>Scale bars for images of expanded cells are the original length as obtained by the microscope (</w:t>
      </w:r>
      <w:proofErr w:type="gramStart"/>
      <w:r w:rsidRPr="00E57377">
        <w:rPr>
          <w:rFonts w:ascii="Arial" w:hAnsi="Arial" w:cs="Arial"/>
          <w:sz w:val="24"/>
          <w:szCs w:val="24"/>
        </w:rPr>
        <w:t>i.e.</w:t>
      </w:r>
      <w:proofErr w:type="gramEnd"/>
      <w:r w:rsidRPr="00E57377">
        <w:rPr>
          <w:rFonts w:ascii="Arial" w:hAnsi="Arial" w:cs="Arial"/>
          <w:sz w:val="24"/>
          <w:szCs w:val="24"/>
        </w:rPr>
        <w:t xml:space="preserve"> not corrected for expansion factors). </w:t>
      </w:r>
      <w:bookmarkEnd w:id="28"/>
      <w:r w:rsidRPr="00E57377">
        <w:rPr>
          <w:rFonts w:ascii="Arial" w:hAnsi="Arial" w:cs="Arial"/>
          <w:sz w:val="24"/>
          <w:szCs w:val="24"/>
        </w:rPr>
        <w:br w:type="page"/>
      </w:r>
    </w:p>
    <w:p w14:paraId="7ADB9B7A" w14:textId="2C94517E" w:rsidR="000D3D4F" w:rsidRDefault="000D3D4F" w:rsidP="00721691">
      <w:pPr>
        <w:pStyle w:val="Heading3"/>
        <w:rPr>
          <w:rFonts w:eastAsiaTheme="minorEastAsia"/>
        </w:rPr>
      </w:pPr>
      <w:bookmarkStart w:id="29" w:name="_Toc151032421"/>
      <w:r>
        <w:rPr>
          <w:rFonts w:eastAsiaTheme="minorEastAsia"/>
        </w:rPr>
        <w:lastRenderedPageBreak/>
        <w:t xml:space="preserve">2.2.2 </w:t>
      </w:r>
      <w:r w:rsidRPr="000D3D4F">
        <w:rPr>
          <w:rFonts w:eastAsiaTheme="minorEastAsia"/>
        </w:rPr>
        <w:t>Imaging intracellular features through bulk staining</w:t>
      </w:r>
      <w:bookmarkEnd w:id="29"/>
    </w:p>
    <w:p w14:paraId="69E1B20B" w14:textId="77777777" w:rsidR="00721691" w:rsidRPr="00721691" w:rsidRDefault="00721691" w:rsidP="00721691"/>
    <w:p w14:paraId="55E87DF9" w14:textId="3408284C" w:rsidR="000D3D4F" w:rsidRPr="000D3D4F" w:rsidRDefault="000D3D4F" w:rsidP="000D3D4F">
      <w:pPr>
        <w:spacing w:line="480" w:lineRule="auto"/>
        <w:jc w:val="both"/>
        <w:rPr>
          <w:rFonts w:ascii="Arial" w:eastAsiaTheme="minorEastAsia" w:hAnsi="Arial" w:cs="Arial"/>
          <w:sz w:val="24"/>
          <w:szCs w:val="24"/>
        </w:rPr>
      </w:pPr>
      <w:r w:rsidRPr="000D3D4F">
        <w:rPr>
          <w:rFonts w:ascii="Arial" w:eastAsiaTheme="minorEastAsia" w:hAnsi="Arial" w:cs="Arial"/>
          <w:sz w:val="24"/>
          <w:szCs w:val="24"/>
        </w:rPr>
        <w:t>Next, we adopted a bulk (pan) staining protocol to fluorescently label most of the cell’s proteome.</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mendeley":{"formattedCitation":"&lt;sup&gt;280&lt;/sup&gt;","plainTextFormattedCitation":"280","previouslyFormattedCitation":"&lt;sup&gt;280&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280</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This staining increased the overall imaging contrast and is based on an N-</w:t>
      </w:r>
      <w:proofErr w:type="spellStart"/>
      <w:r w:rsidRPr="000D3D4F">
        <w:rPr>
          <w:rFonts w:ascii="Arial" w:eastAsiaTheme="minorEastAsia" w:hAnsi="Arial" w:cs="Arial"/>
          <w:sz w:val="24"/>
          <w:szCs w:val="24"/>
        </w:rPr>
        <w:t>Hydroxysuccinimide</w:t>
      </w:r>
      <w:proofErr w:type="spellEnd"/>
      <w:r w:rsidRPr="000D3D4F" w:rsidDel="00FC711D">
        <w:rPr>
          <w:rFonts w:ascii="Arial" w:eastAsiaTheme="minorEastAsia" w:hAnsi="Arial" w:cs="Arial"/>
          <w:sz w:val="24"/>
          <w:szCs w:val="24"/>
        </w:rPr>
        <w:t xml:space="preserve"> </w:t>
      </w:r>
      <w:r w:rsidRPr="000D3D4F">
        <w:rPr>
          <w:rFonts w:ascii="Arial" w:eastAsiaTheme="minorEastAsia" w:hAnsi="Arial" w:cs="Arial"/>
          <w:sz w:val="24"/>
          <w:szCs w:val="24"/>
        </w:rPr>
        <w:t xml:space="preserve">(NHS) ester-activated fluorescent dye (NHS-AF555) that binds covalently to available primary amine groups. Figure </w:t>
      </w:r>
      <w:r w:rsidR="000E44BA">
        <w:rPr>
          <w:rFonts w:ascii="Arial" w:eastAsiaTheme="minorEastAsia" w:hAnsi="Arial" w:cs="Arial"/>
          <w:sz w:val="24"/>
          <w:szCs w:val="24"/>
        </w:rPr>
        <w:t>2.</w:t>
      </w:r>
      <w:r w:rsidRPr="000D3D4F">
        <w:rPr>
          <w:rFonts w:ascii="Arial" w:eastAsiaTheme="minorEastAsia" w:hAnsi="Arial" w:cs="Arial"/>
          <w:sz w:val="24"/>
          <w:szCs w:val="24"/>
        </w:rPr>
        <w:t xml:space="preserve">2d demonstrates non-expanded 4T1 cells stained with NHS-AF555 and a 4.1X digital magnification to compare against expanded cells stained with NHS-AF555 in Figure </w:t>
      </w:r>
      <w:r w:rsidR="000E44BA">
        <w:rPr>
          <w:rFonts w:ascii="Arial" w:eastAsiaTheme="minorEastAsia" w:hAnsi="Arial" w:cs="Arial"/>
          <w:sz w:val="24"/>
          <w:szCs w:val="24"/>
        </w:rPr>
        <w:t>2.</w:t>
      </w:r>
      <w:r w:rsidRPr="000D3D4F">
        <w:rPr>
          <w:rFonts w:ascii="Arial" w:eastAsiaTheme="minorEastAsia" w:hAnsi="Arial" w:cs="Arial"/>
          <w:sz w:val="24"/>
          <w:szCs w:val="24"/>
        </w:rPr>
        <w:t>2e. These images illustrate that the expanded cells were visually less blurry than the digitally magnified cell image, which supports that the proteome's bulk (pan) staining helps resolve the local protein densities to reveal the cellular nanoarchitecture by standard light microscopy.</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mendeley":{"formattedCitation":"&lt;sup&gt;280&lt;/sup&gt;","plainTextFormattedCitation":"280","previouslyFormattedCitation":"&lt;sup&gt;280&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280</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We quantified this observation with line profiles in the same manner as mentioned above and found that the non-expanded NHS-AF555 stained cells had 0.9 +/- 0.1 pixel intensity peaks/µm, whereas expanded NHS-AF555 cells had 4.6 +/- 0.1 pixel intensity peaks/µm (Figure S</w:t>
      </w:r>
      <w:r w:rsidR="000E44BA">
        <w:rPr>
          <w:rFonts w:ascii="Arial" w:eastAsiaTheme="minorEastAsia" w:hAnsi="Arial" w:cs="Arial"/>
          <w:sz w:val="24"/>
          <w:szCs w:val="24"/>
        </w:rPr>
        <w:t>2.</w:t>
      </w:r>
      <w:r w:rsidRPr="000D3D4F">
        <w:rPr>
          <w:rFonts w:ascii="Arial" w:eastAsiaTheme="minorEastAsia" w:hAnsi="Arial" w:cs="Arial"/>
          <w:sz w:val="24"/>
          <w:szCs w:val="24"/>
        </w:rPr>
        <w:t>2b) (</w:t>
      </w:r>
      <w:r w:rsidRPr="000D3D4F">
        <w:rPr>
          <w:rFonts w:ascii="Arial" w:eastAsiaTheme="minorEastAsia" w:hAnsi="Arial" w:cs="Arial"/>
          <w:i/>
          <w:iCs/>
          <w:sz w:val="24"/>
          <w:szCs w:val="24"/>
        </w:rPr>
        <w:t>n</w:t>
      </w:r>
      <w:r w:rsidRPr="000D3D4F">
        <w:rPr>
          <w:rFonts w:ascii="Arial" w:eastAsiaTheme="minorEastAsia" w:hAnsi="Arial" w:cs="Arial"/>
          <w:sz w:val="24"/>
          <w:szCs w:val="24"/>
        </w:rPr>
        <w:t xml:space="preserve">=3). </w:t>
      </w:r>
    </w:p>
    <w:p w14:paraId="53358D9A" w14:textId="7F983152"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eastAsiaTheme="minorEastAsia" w:hAnsi="Arial" w:cs="Arial"/>
          <w:sz w:val="24"/>
          <w:szCs w:val="24"/>
        </w:rPr>
        <w:t>The pan-staining approach further enables the imaging of intracellular compartments and vesicles of various sizes. Since intracellular vesicles are primarily fluid-filled compartments, they provide contrast against the other protein-rich and fluorescently stained areas throughout the cytoplasm.</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{"citationItems":[{"id":"ITEM-1","itemData":{"DOI":"10.1080/00219266.2002.9655847","ISSN":"0021-9266","abstract":"OBJECTIVE: The purpose of this study was to identify specific beliefs that differentiate health-care professionals whose attitudes toward diabetes agreed most strongly with a group of national diabetes experts from those whose attitudes disagreed most strongly. RESEARCH DESIGN AND METHODS: The sample for this study included 271 physicians, 834 nurses, and 546 dietitians who completed a Diabetes Attitudes Survey. The sample included specialists in diabetes care and nonspecialists. Controversial beliefs about diabetes and its care were determined by comparing the beliefs of the 10% of the sample whose attitudes were most concordant (with the national panel) with the beliefs of the 10% of the sample whose attitudes were the most discordant. Ten beliefs met the criteria for being defined as controversial. RESULTS: The most controversial beliefs concerned whether the patient or the physician should be the primary decision maker in diabetes care, the meaning of patient noncompliance, and the seriousness of non-insulin-dependent diabetes mellitus. The 10% of the sample with the most discordant attitudes contained a disproportionately large number of physicians, nonspecialists in diabetes, and health-care professionals who had been in practice longer than the other members of the sample. CONCLUSIONS: This study identifies some important differences in beliefs between younger health-care professionals who specialize in diabetes and older nonspecialists. Such beliefs should be addressed in continuing education programs with the aim being to foster the widespread adoption of a contemporary approach to diabetes care.","author":[{"dropping-particle":"","family":"Alberts","given":"Bruce","non-dropping-particle":"","parse-names":false,"suffix":""},{"dropping-particle":"","family":"Johnson","given":"Alexander","non-dropping-particle":"","parse-names":false,"suffix":""},{"dropping-particle":"","family":"Lewis","given":"Julian","non-dropping-particle":"","parse-names":false,"suffix":""},{"dropping-particle":"","family":"Raff","given":"Martin","non-dropping-particle":"","parse-names":false,"suffix":""},{"dropping-particle":"","family":"Roberts","given":"Keith","non-dropping-particle":"","parse-names":false,"suffix":""},{"dropping-particle":"","family":"Walter","given":"Peter","non-dropping-particle":"","parse-names":false,"suffix":""}],"container-title":"Garland Science","id":"ITEM-1","issue":"1","issued":{"date-parts":[["2002","12"]]},"number-of-pages":"45-47","title":"Molecular Biology of the Cell (4th Ed)","type":"book","volume":"37"},"uris":["http://www.mendeley.com/documents/?uuid=fb2d9450-ab18-4b5a-b3f6-cab31f92ff22"]}],"mendeley":{"formattedCitation":"&lt;sup&gt;295&lt;/sup&gt;","plainTextFormattedCitation":"295","previouslyFormattedCitation":"&lt;sup&gt;295&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295</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In Figure </w:t>
      </w:r>
      <w:r w:rsidR="000E44BA">
        <w:rPr>
          <w:rFonts w:ascii="Arial" w:eastAsiaTheme="minorEastAsia" w:hAnsi="Arial" w:cs="Arial"/>
          <w:sz w:val="24"/>
          <w:szCs w:val="24"/>
        </w:rPr>
        <w:t>2.</w:t>
      </w:r>
      <w:r w:rsidRPr="000D3D4F">
        <w:rPr>
          <w:rFonts w:ascii="Arial" w:eastAsiaTheme="minorEastAsia" w:hAnsi="Arial" w:cs="Arial"/>
          <w:sz w:val="24"/>
          <w:szCs w:val="24"/>
        </w:rPr>
        <w:t xml:space="preserve">2e, intracellular vesicles are seen as dark areas within the cytoplasm. A decrease in pixel intensity of nearly 99% from the highest value occurs based on the line profile analysis. Using a combination of pan-staining and proExM, we spatially resolved more individual intracellular vesicles than with pan-staining alone (Figures </w:t>
      </w:r>
      <w:r w:rsidR="000E44BA">
        <w:rPr>
          <w:rFonts w:ascii="Arial" w:eastAsiaTheme="minorEastAsia" w:hAnsi="Arial" w:cs="Arial"/>
          <w:sz w:val="24"/>
          <w:szCs w:val="24"/>
        </w:rPr>
        <w:t>2.</w:t>
      </w:r>
      <w:r w:rsidRPr="000D3D4F">
        <w:rPr>
          <w:rFonts w:ascii="Arial" w:eastAsiaTheme="minorEastAsia" w:hAnsi="Arial" w:cs="Arial"/>
          <w:sz w:val="24"/>
          <w:szCs w:val="24"/>
        </w:rPr>
        <w:t xml:space="preserve">2d and </w:t>
      </w:r>
      <w:r w:rsidR="000E44BA">
        <w:rPr>
          <w:rFonts w:ascii="Arial" w:eastAsiaTheme="minorEastAsia" w:hAnsi="Arial" w:cs="Arial"/>
          <w:sz w:val="24"/>
          <w:szCs w:val="24"/>
        </w:rPr>
        <w:t>2.</w:t>
      </w:r>
      <w:r w:rsidRPr="000D3D4F">
        <w:rPr>
          <w:rFonts w:ascii="Arial" w:eastAsiaTheme="minorEastAsia" w:hAnsi="Arial" w:cs="Arial"/>
          <w:sz w:val="24"/>
          <w:szCs w:val="24"/>
        </w:rPr>
        <w:t>2e).</w:t>
      </w:r>
    </w:p>
    <w:p w14:paraId="4886261C" w14:textId="77777777" w:rsidR="000D3D4F" w:rsidRPr="000D3D4F" w:rsidRDefault="000D3D4F" w:rsidP="000D3D4F">
      <w:pPr>
        <w:spacing w:line="480" w:lineRule="auto"/>
        <w:jc w:val="both"/>
        <w:rPr>
          <w:rFonts w:ascii="Arial" w:eastAsiaTheme="minorEastAsia" w:hAnsi="Arial" w:cs="Arial"/>
          <w:sz w:val="24"/>
          <w:szCs w:val="24"/>
        </w:rPr>
      </w:pPr>
    </w:p>
    <w:p w14:paraId="5D70DFDB" w14:textId="07118C86" w:rsidR="000D3D4F" w:rsidRDefault="000D3D4F" w:rsidP="00721691">
      <w:pPr>
        <w:pStyle w:val="Heading3"/>
        <w:rPr>
          <w:rFonts w:eastAsiaTheme="minorEastAsia"/>
        </w:rPr>
      </w:pPr>
      <w:bookmarkStart w:id="30" w:name="_Toc151032422"/>
      <w:r>
        <w:rPr>
          <w:rFonts w:eastAsiaTheme="minorEastAsia"/>
        </w:rPr>
        <w:lastRenderedPageBreak/>
        <w:t xml:space="preserve">2.2.3 </w:t>
      </w:r>
      <w:r w:rsidRPr="000D3D4F">
        <w:rPr>
          <w:rFonts w:eastAsiaTheme="minorEastAsia"/>
        </w:rPr>
        <w:t>Label-free nanoparticle imaging in cells through light scattering</w:t>
      </w:r>
      <w:bookmarkEnd w:id="30"/>
    </w:p>
    <w:p w14:paraId="1D4C2DE0" w14:textId="77777777" w:rsidR="00721691" w:rsidRPr="00721691" w:rsidRDefault="00721691" w:rsidP="00721691"/>
    <w:p w14:paraId="4E48ACAC" w14:textId="77E60507" w:rsidR="000D3D4F" w:rsidRPr="000D3D4F" w:rsidRDefault="000D3D4F" w:rsidP="004D2BDD">
      <w:pPr>
        <w:spacing w:line="480" w:lineRule="auto"/>
        <w:ind w:firstLine="360"/>
        <w:jc w:val="both"/>
        <w:rPr>
          <w:rFonts w:ascii="Arial" w:eastAsiaTheme="minorEastAsia" w:hAnsi="Arial" w:cs="Arial"/>
          <w:sz w:val="24"/>
          <w:szCs w:val="24"/>
        </w:rPr>
      </w:pPr>
      <w:r w:rsidRPr="000D3D4F">
        <w:rPr>
          <w:rFonts w:ascii="Arial" w:eastAsiaTheme="minorEastAsia" w:hAnsi="Arial" w:cs="Arial"/>
          <w:sz w:val="24"/>
          <w:szCs w:val="24"/>
        </w:rPr>
        <w:t>We then confirmed the feasibility of label-free nanoparticle imaging within cells using 55-nm gold nanoparticles (AuNPs) as a model nanoparticle system. Label-free imaging enables studying interactions between nanoparticles and cells of interest without adding fluorophores to the nanoparticles. This label-free approach is desirable because fluorophore labeling can change the nanoparticle surface chemistry and physicochemical properties resulting in differing cellular interactions.</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{"citationItems":[{"id":"ITEM-1","itemData":{"DOI":"10.1016/j.addr.2019.04.008","ISSN":"0169409X","abstract":"Nanoparticle-based therapeutics and diagnostics are commonly referred to as nanomedicine and may significantly impact the future of healthcare. However, the clinical translation of these technologies is challenging. One of these challenges is the efficient delivery of nanoparticles to specific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benefit. In this overview article, we review and discuss cellular internalization pathways, summarize the field`s understanding of how nanoparticle physicochemical properties affect cellular interactions, and explore and discuss intracellular nanoparticle trafficking and kinetics. Our overview may provide a valuable resource for researchers and may inspire new studies to expand our current understanding of nanotechnology-biology interactions at cellular and subcellular levels with the goal to improve clinical translation of nanomedicines.","author":[{"dropping-particle":"","family":"Donahue","given":"Nathan D.","non-dropping-particle":"","parse-names":false,"suffix":""},{"dropping-particle":"","family":"Acar","given":"Handan","non-dropping-particle":"","parse-names":false,"suffix":""},{"dropping-particle":"","family":"Wilhelm","given":"Stefan","non-dropping-particle":"","parse-names":false,"suffix":""}],"container-title":"Advanced Drug Delivery Reviews","id":"ITEM-1","issued":{"date-parts":[["2019","3"]]},"page":"68-96","publisher":"Elsevier B.V.","title":"Concepts of nanoparticle cellular uptake, intracellular trafficking, and kinetics in nanomedicine","type":"article-journal","volume":"143"},"uris":["http://www.mendeley.com/documents/?uuid=894c3c80-f0b3-3f80-94f0-703b7b15d7d3"]},{"id":"ITEM-2","itemData":{"DOI":"10.1021/acsomega.0c05162","ISSN":"24701343","abstract":"Endocytosis is a cellular process in which substances are engulfed by the cellular membrane and budded off inside the cells to form vesicles. It plays key roles in controlling nutritional component uptake, immune responses, and other biological functions. A comprehensive understanding of endocytosis gives insights into such physiological functions and informs the design of medical nanodevices that need to enter cells. So far, endocytosis has been studied mostly using established cell lines. However, the established cell lines generally originate from cancer cells or are transformed from normal cells into immortalized cells. Therefore, primary cells may give us more reliable information about the endocytosis process of nanoparticles into cells. In this research, we studied the uptake of gold nanorods (AuNRs) with four different surface modifications (anionic/cationic polymers and anionic/cationic silica) by two kinds of primary cells (human monocyte-derived macrophages and human umbilical vein endothelial cells) and two kinds of established cell lines (HeLa cells and RAW 264.7 cells). We found that the surface properties of AuNRs affected their cellular uptake, and the cationic surface tended was advantageous for uptake, but it depended on the cell types. Control experiments using inhibitors of representative endocytosis pathways (macropinocytosis, clathrin-mediated endocytosis, and caveolae-mediated endocytosis) indicated that primary cells had a dominant uptake pathway for internalization of the AuNRs, whereas the established cell lines had multiple pathways. Our results provide us with novel insights into cellular uptake of AuNRs in that they depend not only on surface characters of the nanoparticles but also cell types, such as primary cells and established cell lines.","author":[{"dropping-particle":"","family":"Xiao","given":"Yuxiang","non-dropping-particle":"","parse-names":false,"suffix":""},{"dropping-particle":"","family":"Xu","given":"Wei","non-dropping-particle":"","parse-names":false,"suffix":""},{"dropping-particle":"","family":"Komohara","given":"Yoshihiro","non-dropping-particle":"","parse-names":false,"suffix":""},{"dropping-particle":"","family":"Fujiwara","given":"Yukio","non-dropping-particle":"","parse-names":false,"suffix":""},{"dropping-particle":"","family":"Hirose","given":"Hisaaki","non-dropping-particle":"","parse-names":false,"suffix":""},{"dropping-particle":"","family":"Futaki","given":"Shiroh","non-dropping-particle":"","parse-names":false,"suffix":""},{"dropping-particle":"","family":"Niidome","given":"Takuro","non-dropping-particle":"","parse-names":false,"suffix":""}],"container-title":"ACS Omega","id":"ITEM-2","issue":"50","issued":{"date-parts":[["2020"]]},"page":"32744-32752","title":"Effect of Surface Modifications on Cellular Uptake of Gold Nanorods in Human Primary Cells and Established Cell Lines","type":"article-journal","volume":"5"},"uris":["http://www.mendeley.com/documents/?uuid=6e952108-83a9-4000-96a5-92762bb31307"]},{"id":"ITEM-3","itemData":{"DOI":"10.1002/smll.201302889","ISSN":"16136810","PMID":"24482355","abstract":"In order to harness the unique properties of nanoparticles for novel clinical applications and to modulate their uptake into specific immune cells we designed a new library of homo- and hetero-functional fluorescence-encoded gold nanoparticles (Au-NPs) using different poly(vinyl alcohol) and poly(ethylene glycol)-based polymers for particle coating and stabilization. The encoded particles were fully characterized by UV-Vis and fluorescence spectroscopy, zeta potential and dynamic light scattering. The uptake by human monocyte derived dendritic cells in vitro was studied by confocal laser scanning microscopy and quantified by fluorescence-activated cell sorting and inductively coupled plasma atomic emission spectroscopy. We show how the chemical modification of particle surfaces, for instance by attaching fluorescent dyes, can conceal fundamental particle properties and modulate cellular uptake. In order to mask the influence of fluorescent dyes on cellular uptake while still exploiting its fluorescence for detection, we have created hetero-functionalized Au-NPs, which again show typical particle dependent cellular interactions. Our study clearly prove that the thorough characterization of nanoparticles at each modification step in the engineering process is absolutely essential and that it can be necessary to make substantial adjustments of the particles in order to obtain reliable cellular uptake data, which truly reflects particle properties. The parameters that modulate the cellular uptake into human dendritic cells in vitro are identified through the fabrication of homo- and hetero-functional fluorescence encoded gold nanoparticles. This study shows how the addition of surface molecules (such as fluorescent dyes) can impact cellular uptake and how this issue can be overcome. © 2014 WILEY-VCH Verlag GmbH &amp; Co. KGaA, Weinheim.","author":[{"dropping-particle":"","family":"Rodriguez-Lorenzo","given":"Laura","non-dropping-particle":"","parse-names":false,"suffix":""},{"dropping-particle":"","family":"Fytianos","given":"Kleanthis","non-dropping-particle":"","parse-names":false,"suffix":""},{"dropping-particle":"","family":"Blank","given":"Fabian","non-dropping-particle":"","parse-names":false,"suffix":""},{"dropping-particle":"","family":"Garnier","given":"Christophe","non-dropping-particle":"von","parse-names":false,"suffix":""},{"dropping-particle":"","family":"Rothen-Rutishauser","given":"Barbara","non-dropping-particle":"","parse-names":false,"suffix":""},{"dropping-particle":"","family":"Petri-Fink","given":"Alke","non-dropping-particle":"","parse-names":false,"suffix":""}],"container-title":"Small","id":"ITEM-3","issue":"7","issued":{"date-parts":[["2014","4"]]},"page":"1341-1350","title":"Fluorescence-Encoded Gold Nanoparticles: Library Design and Modulation of Cellular Uptake into Dendritic Cells","type":"article-journal","volume":"10"},"uris":["http://www.mendeley.com/documents/?uuid=8027c427-f3fd-4615-8054-80af33419936"]},{"id":"ITEM-4","itemData":{"DOI":"10.3390/ijms21144847","ISSN":"14220067","PMID":"32659908","abstract":"The rather limited success of translation from basic research to clinical application has been highlighted as a major issue in the nanomedicine field. To identify the factors influencing the applicability of nanosystems as drug carriers and potential nanomedicine, we focused on following their fate through fluorescence-based assays, namely flow cytometry and imaging. These methods are often used to follow the nanocarrier internalization and targeting; however, the validity of the obtained results strictly depends on how much the nanosystem’s fate can be inferred from the fate of fluorescent dyes. To evaluate the parameters that affect the physicochemical and biological stability of the labeled nanosystems, we studied the versatility of two lipid dyes, TopFluor®-PC and Cy5-DSPE, in conventional liposomes utilizing well-defined in vitro assays. Our results suggest that the dye can affect the major characteristics of the system, such as vesicle size and zeta-potential. However, a nanocarrier can also affect the dye properties. Medium, temperature, time, fluorophore localization and its concentration, as well as their interplay, affect the outcome of tracing experiments. Therefore, an in-depth characterization of the labeled nanosystem should be fundamental to understand the conditions that validate the results within the screening process in optimization of nanocarrier.","author":[{"dropping-particle":"","family":"Cauzzo","given":"Jennifer","non-dropping-particle":"","parse-names":false,"suffix":""},{"dropping-particle":"","family":"Nystad","given":"Mona","non-dropping-particle":"","parse-names":false,"suffix":""},{"dropping-particle":"","family":"Holsæter","given":"Ann Mari","non-dropping-particle":"","parse-names":false,"suffix":""},{"dropping-particle":"","family":"Basnet","given":"Purusotam","non-dropping-particle":"","parse-names":false,"suffix":""},{"dropping-particle":"","family":"Škalko-Basnet","given":"Nataša","non-dropping-particle":"","parse-names":false,"suffix":""}],"container-title":"International Journal of Molecular Sciences","id":"ITEM-4","issue":"14","issued":{"date-parts":[["2020"]]},"page":"1-17","title":"Following the fate of dye-containing liposomes in vitro","type":"article-journal","volume":"21"},"uris":["http://www.mendeley.com/documents/?uuid=964afce0-94c2-4dfa-a909-f74b8f7259aa"]}],"mendeley":{"formattedCitation":"&lt;sup&gt;107,282–284&lt;/sup&gt;","plainTextFormattedCitation":"107,282–284","previouslyFormattedCitation":"&lt;sup&gt;107,282–284&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107,282–284</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We selected quasi-spherical 55-nm AuNPs because the size-dependent uptake of AuNPs into mammalian epithelial cells peaks at around 50 nm in diameter.</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{"citationItems":[{"id":"ITEM-1","itemData":{"DOI":"10.1186/s11671-018-2728-6","ISSN":"1556276X","PMID":"30361809","abstract":"Nanoparticle science is rapidly changing the landscape of various scientific fields and defining new technological platforms. This is perhaps even more evident in the field of nanomedicine whereby nanoparticles have been used as a tool for the treatment and diagnosis of many diseases. However, despite the tremendous benefit conferred, common pitfalls of this technology is its potential short and long-term effects on the human body. To understand these issues, many scientific studies have been carried out. This review attempts to shed light on some of these studies and its outcomes. The topics that were examined in this review include the different possible uptake pathways of nanoparticles and intracellular trafficking routes. Additionally, the effect of physicochemical properties of nanoparticle such as size, shape, charge and surface chemistry in determining the mechanism of uptake and biological function of nanoparticles are also addressed.","author":[{"dropping-particle":"","family":"Foroozandeh","given":"Parisa","non-dropping-particle":"","parse-names":false,"suffix":""},{"dropping-particle":"","family":"Aziz","given":"Azlan Abdul","non-dropping-particle":"","parse-names":false,"suffix":""}],"container-title":"Nanoscale Research Letters","id":"ITEM-1","issued":{"date-parts":[["2018"]]},"publisher":"Nanoscale Research Letters","title":"Insight into Cellular Uptake and Intracellular Trafficking of Nanoparticles","type":"article-journal","volume":"13"},"uris":["http://www.mendeley.com/documents/?uuid=f79a2e9f-afb8-4cec-a7a1-e278402864df"]}],"mendeley":{"formattedCitation":"&lt;sup&gt;296&lt;/sup&gt;","plainTextFormattedCitation":"296","previouslyFormattedCitation":"&lt;sup&gt;296&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296</w:t>
      </w:r>
      <w:r w:rsidRPr="000D3D4F">
        <w:rPr>
          <w:rFonts w:ascii="Arial" w:eastAsiaTheme="minorEastAsia" w:hAnsi="Arial" w:cs="Arial"/>
          <w:sz w:val="24"/>
          <w:szCs w:val="24"/>
        </w:rPr>
        <w:fldChar w:fldCharType="end"/>
      </w:r>
      <w:r w:rsidRPr="000D3D4F">
        <w:rPr>
          <w:rFonts w:ascii="Arial" w:eastAsiaTheme="minorEastAsia" w:hAnsi="Arial" w:cs="Arial"/>
          <w:sz w:val="24"/>
          <w:szCs w:val="24"/>
          <w:vertAlign w:val="superscript"/>
        </w:rPr>
        <w:t>,</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{"citationItems":[{"id":"ITEM-1","itemData":{"DOI":"10.1021/nl052396o","ISSN":"15306984","PMID":"16608261","abstract":"We investigated the intracellular uptake of different sized and shaped colloidal gold nanoparticles. We showed that kinetics and saturation concentrations are highly dependent upon the physical dimensions of the nanoparticles (e.g., uptake half-life of 14, 50, and 74 nm nanoparticles is 2.10, 1.90, and 2.24 h, respectively). The findings from this study will have implications in the chemical design of nanostructures for biomedical applications (e.g., tuning intracellular delivery rates and amounts by nanoscale dimensions and engineering complex, multifunctional nanostructures for imaging and therapeutics). © 2006 American Chemical Society.","author":[{"dropping-particle":"","family":"Chithrani","given":"B. Devika","non-dropping-particle":"","parse-names":false,"suffix":""},{"dropping-particle":"","family":"Ghazani","given":"Arezou A.","non-dropping-particle":"","parse-names":false,"suffix":""},{"dropping-particle":"","family":"Chan","given":"Warren C.W.","non-dropping-particle":"","parse-names":false,"suffix":""}],"container-title":"Nano Letters","id":"ITEM-1","issue":"4","issued":{"date-parts":[["2006"]]},"page":"662-668","title":"Determining the size and shape dependence of gold nanoparticle uptake into mammalian cells","type":"article-journal","volume":"6"},"uris":["http://www.mendeley.com/documents/?uuid=cba50949-a948-4b7d-9d00-4814ee56b812"]}],"mendeley":{"formattedCitation":"&lt;sup&gt;297&lt;/sup&gt;","plainTextFormattedCitation":"297","previouslyFormattedCitation":"&lt;sup&gt;297&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297</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Furthermore, this nanoparticle size limits the potential for size restrictions on uptake since most intracellular vesicles of interest for nanoparticle uptake are larger than 60 nm.</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{"citationItems":[{"id":"ITEM-1","itemData":{"DOI":"10.1002/adfm.202007363","ISSN":"16163028","abstract":"Nanoparticle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author":[{"dropping-particle":"","family":"Sheth","given":"Vinit","non-dropping-particle":"","parse-names":false,"suffix":""},{"dropping-particle":"","family":"Wang","given":"Lin","non-dropping-particle":"","parse-names":false,"suffix":""},{"dropping-particle":"","family":"Bhattacharya","given":"Resham","non-dropping-particle":"","parse-names":false,"suffix":""},{"dropping-particle":"","family":"Mukherjee","given":"Priyabrata","non-dropping-particle":"","parse-names":false,"suffix":""},{"dropping-particle":"","family":"Wilhelm","given":"Stefan","non-dropping-particle":"","parse-names":false,"suffix":""}],"container-title":"Advanced Functional Materials","id":"ITEM-1","issued":{"date-parts":[["2020"]]},"page":"1-20","title":"Strategies for Delivering Nanoparticles across Tumor Blood Vessels","type":"article-journal","volume":"2007363"},"uris":["http://www.mendeley.com/documents/?uuid=d3808e64-da19-47ce-a20e-69ce117f4790"]}],"mendeley":{"formattedCitation":"&lt;sup&gt;293&lt;/sup&gt;","plainTextFormattedCitation":"293","previouslyFormattedCitation":"&lt;sup&gt;293&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293</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w:t>
      </w:r>
    </w:p>
    <w:p w14:paraId="551533B3" w14:textId="209D0356"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eastAsiaTheme="minorEastAsia" w:hAnsi="Arial" w:cs="Arial"/>
          <w:sz w:val="24"/>
          <w:szCs w:val="24"/>
        </w:rPr>
        <w:t>We accomplished label-free nanoparticle imaging by exploiting the efficient light scattering properties of inorganic nanoparticles.</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{"citationItems":[{"id":"ITEM-1","itemData":{"DOI":"10.1021/jacs.9b05894","ISSN":"15205126","abstract":"Simultaneously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author":[{"dropping-particle":"","family":"Wang","given":"Fengbang","non-dropping-particle":"","parse-names":false,"suffix":""},{"dropping-particle":"","family":"Chen","given":"Bolei","non-dropping-particle":"","parse-names":false,"suffix":""},{"dropping-particle":"","family":"Yan","given":"Bing","non-dropping-particle":"","parse-names":false,"suffix":""},{"dropping-particle":"","family":"Yin","given":"Yongguang","non-dropping-particle":"","parse-names":false,"suffix":""},{"dropping-particle":"","family":"Hu","given":"Ligang","non-dropping-particle":"","parse-names":false,"suffix":""},{"dropping-particle":"","family":"Liang","given":"Yong","non-dropping-particle":"","parse-names":false,"suffix":""},{"dropping-particle":"","family":"Song","given":"Maoyong","non-dropping-particle":"","parse-names":false,"suffix":""},{"dropping-particle":"","family":"Jiang","given":"Guibin","non-dropping-particle":"","parse-names":false,"suffix":""}],"container-title":"Journal of the American Chemical Society","id":"ITEM-1","issue":"36","issued":{"date-parts":[["2019"]]},"page":"14043-14047","title":"Scattered Light Imaging Enables Real-Time Monitoring of Label-Free Nanoparticles and Fluorescent Biomolecules in Live Cells","type":"article-journal","volume":"141"},"uris":["http://www.mendeley.com/documents/?uuid=4e571579-ee39-4a4a-8a2b-9d537cbe338e"]}],"mendeley":{"formattedCitation":"&lt;sup&gt;286&lt;/sup&gt;","plainTextFormattedCitation":"286","previouslyFormattedCitation":"&lt;sup&gt;286&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286</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We used a narrow light detection window around the illumination laser wavelength (typically +/- 5-10 nm) to collect the scattered light. (Figure </w:t>
      </w:r>
      <w:r w:rsidR="000E44BA">
        <w:rPr>
          <w:rFonts w:ascii="Arial" w:eastAsiaTheme="minorEastAsia" w:hAnsi="Arial" w:cs="Arial"/>
          <w:sz w:val="24"/>
          <w:szCs w:val="24"/>
        </w:rPr>
        <w:t>2.</w:t>
      </w:r>
      <w:r w:rsidRPr="000D3D4F">
        <w:rPr>
          <w:rFonts w:ascii="Arial" w:eastAsiaTheme="minorEastAsia" w:hAnsi="Arial" w:cs="Arial"/>
          <w:sz w:val="24"/>
          <w:szCs w:val="24"/>
        </w:rPr>
        <w:t>1b) This approach further helps to efficiently reject any potential stray emission light from fluorophores, which is an elegant way of adding another imaging channel to the CLSM system to exclusively image the nanoparticles.</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{"citationItems":[{"id":"ITEM-1","itemData":{"DOI":"10.1021/jacs.7b04022","ISSN":"0002-7863","author":[{"dropping-particle":"","family":"Syed","given":"Abdullah Muhammad","non-dropping-particle":"","parse-names":false,"suffix":""},{"dropping-particle":"","family":"Sindhwani","given":"Shrey","non-dropping-particle":"","parse-names":false,"suffix":""},{"dropping-particle":"","family":"Wilhelm","given":"Stefan","non-dropping-particle":"","parse-names":false,"suffix":""},{"dropping-particle":"","family":"Kingston","given":"Benjamin R.","non-dropping-particle":"","parse-names":false,"suffix":""},{"dropping-particle":"","family":"Lee","given":"Dennis S. W.","non-dropping-particle":"","parse-names":false,"suffix":""},{"dropping-particle":"","family":"Gommerman","given":"Jennifer L.","non-dropping-particle":"","parse-names":false,"suffix":""},{"dropping-particle":"","family":"Chan","given":"Warren C. W.","non-dropping-particle":"","parse-names":false,"suffix":""}],"container-title":"Journal of the American Chemical Society","id":"ITEM-1","issue":"29","issued":{"date-parts":[["2017","7","26"]]},"page":"9961-9971","title":"Three-Dimensional Imaging of Transparent Tissues via Metal Nanoparticle Labeling","type":"article-journal","volume":"139"},"uris":["http://www.mendeley.com/documents/?uuid=c1e0c606-4d64-4079-8bda-209d4890a628"]}],"mendeley":{"formattedCitation":"&lt;sup&gt;265&lt;/sup&gt;","plainTextFormattedCitation":"265","previouslyFormattedCitation":"&lt;sup&gt;265&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265</w:t>
      </w:r>
      <w:r w:rsidRPr="000D3D4F">
        <w:rPr>
          <w:rFonts w:ascii="Arial" w:eastAsiaTheme="minorEastAsia" w:hAnsi="Arial" w:cs="Arial"/>
          <w:sz w:val="24"/>
          <w:szCs w:val="24"/>
        </w:rPr>
        <w:fldChar w:fldCharType="end"/>
      </w:r>
    </w:p>
    <w:p w14:paraId="296D457A" w14:textId="12DA779A"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eastAsiaTheme="minorEastAsia" w:hAnsi="Arial" w:cs="Arial"/>
          <w:sz w:val="24"/>
          <w:szCs w:val="24"/>
        </w:rPr>
        <w:t>Next, we synthesized citrate-coated 55-nm AuNPs based on previously reported methods.</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{"citationItems":[{"id":"ITEM-1","itemData":{"DOI":"10.1021/ja907069u","ISSN":"00027863","abstract":"(Graph Presented) Elucidating the impact of nanoparticle size and shape on biological systems is of fundamental importance to nanotoxicology and biomedicine. Currently, the ability to determine this is limited by the lack of a model nanoparticle system having a narrow size and shape distribution over the relevant size range (2-200 nm). Hydroquinone can be used to produce 50-200 nm gold nanoparticles that are relatively monodispersed in size with nearly spherical shapes. © 2009 American Chemical Society.","author":[{"dropping-particle":"","family":"Perrault","given":"Steven D.","non-dropping-particle":"","parse-names":false,"suffix":""},{"dropping-particle":"","family":"Chan","given":"Warren C.W.","non-dropping-particle":"","parse-names":false,"suffix":""}],"container-title":"Journal of the American Chemical Society","id":"ITEM-1","issue":"47","issued":{"date-parts":[["2009"]]},"page":"17042-17043","title":"Synthesis and surface modification of highly monodispersed, spherical gold nanoparticles of 50-200 nm","type":"article-journal","volume":"131"},"uris":["http://www.mendeley.com/documents/?uuid=cfddc67f-c431-427d-96dc-5f9c58cfd44f"]},{"id":"ITEM-2","itemData":{"DOI":"10.1021/acsanm.9b02541","ISSN":"25740970","abstract":"Nanoparticle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8C387C">
        <w:rPr>
          <w:rFonts w:ascii="Cambria Math" w:eastAsiaTheme="minorEastAsia" w:hAnsi="Cambria Math" w:cs="Cambria Math"/>
          <w:sz w:val="24"/>
          <w:szCs w:val="24"/>
        </w:rPr>
        <w:instrText>∼</w:instrText>
      </w:r>
      <w:r w:rsidR="008C387C">
        <w:rPr>
          <w:rFonts w:ascii="Arial" w:eastAsiaTheme="minorEastAsia" w:hAnsi="Arial" w:cs="Arial"/>
          <w:sz w:val="24"/>
          <w:szCs w:val="24"/>
        </w:rPr>
        <w:instrText>;30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nanomedicine.","author":[{"dropping-particle":"","family":"Lee","given":"Joanne C","non-dropping-particle":"","parse-names":false,"suffix":""},{"dropping-particle":"","family":"Donahue","given":"Nathan D","non-dropping-particle":"","parse-names":false,"suffix":""},{"dropping-particle":"","family":"Mao","given":"Angelina S","non-dropping-particle":"","parse-names":false,"suffix":""},{"dropping-particle":"","family":"Karim","given":"Amber","non-dropping-particle":"","parse-names":false,"suffix":""},{"dropping-particle":"","family":"Komarneni","given":"Mallikharjuna","non-dropping-particle":"","parse-names":false,"suffix":""},{"dropping-particle":"","family":"Thomas","given":"Emily E","non-dropping-particle":"","parse-names":false,"suffix":""},{"dropping-particle":"","family":"Francek","given":"Emmy R","non-dropping-particle":"","parse-names":false,"suffix":""},{"dropping-particle":"","family":"Yang","given":"Wen","non-dropping-particle":"","parse-names":false,"suffix":""},{"dropping-particle":"","family":"Wilhelm","given":"Stefan","non-dropping-particle":"","parse-names":false,"suffix":""}],"container-title":"ACS Applied Nano Materials","id":"ITEM-2","issued":{"date-parts":[["2020"]]},"title":"Exploring Maleimide-Based Nanoparticle Surface Engineering to Control Cellular Interactions","type":"article-journal"},"uris":["http://www.mendeley.com/documents/?uuid=c75908a1-fe3e-4789-b8a7-471d12f0984d"]},{"id":"ITEM-3","itemData":{"DOI":"10.1007/s00216-023-04540-x","ISBN":"0123456789","ISSN":"16182650","abstract":"Bioanalytical and biomedical applications often require nanoparticles that exhibit narrow size distributions and biocompatibility. Here, we demonstrate how different synthesis methods affect gold nanoparticle (AuNPs) monodispersity and cytotoxicity. Using single particle inductively coupled plasma mass spectrometry (SP-ICP-MS), we found that the size distribution of AuNPs synthesized with a cetyltrimethylammonium chloride (CTAC) cap was significantly improved compared to AuNPs synthesized with citrate capping agents. We determined an up to 4× decrease in the full width at half maximum (FWHM) value of the normal distributions of AuNP diameter and up to a 12% decrease in relative standard deviation (RSD). While the CTAC-capped AuNPs exhibit narrow nanoparticle size distributions, they are cytotoxic, which limits safe and effective bioanalytical and biomedical applications. We sought to impart biocompatibility to CTAC-capped AuNPs through a PEGylation-based surface ligand exchange. We developed a unique ligand exchange method driven by physical force. We demonstrated the successful PEGylation using various PEG derivatives and used these PEGylated nanoparticles to further bioconjugate nucleic acids and peptides. Using cell viability quantification, we confirmed that the monodisperse PEGylated AuNPs were biocompatible. Our monodisperse and biocompatible nanoparticles may advance safe and effective bioanalytical and biomedical applications of nanomaterials. Graphical Abstract: [Figure not available: see fulltext.].","author":[{"dropping-particle":"","family":"Frickenstein","given":"Alex N.","non-dropping-particle":"","parse-names":false,"suffix":""},{"dropping-particle":"","family":"Mukherjee","given":"Shirsha","non-dropping-particle":"","parse-names":false,"suffix":""},{"dropping-particle":"","family":"Harcourt","given":"Tekena","non-dropping-particle":"","parse-names":false,"suffix":""},{"dropping-particle":"","family":"He","given":"Yuxin","non-dropping-particle":"","parse-names":false,"suffix":""},{"dropping-particle":"","family":"Sheth","given":"Vinit","non-dropping-particle":"","parse-names":false,"suffix":""},{"dropping-particle":"","family":"Wang","given":"Lin","non-dropping-particle":"","parse-names":false,"suffix":""},{"dropping-particle":"","family":"Malik","given":"Zain","non-dropping-particle":"","parse-names":false,"suffix":""},{"dropping-particle":"","family":"Wilhelm","given":"Stefan","non-dropping-particle":"","parse-names":false,"suffix":""}],"container-title":"Analytical and Bioanalytical Chemistry","id":"ITEM-3","issue":"0123456789","issued":{"date-parts":[["2023"]]},"publisher":"Springer Berlin Heidelberg","title":"Quantification of monodisperse and biocompatible gold nanoparticles by single-particle ICP-MS","type":"article-journal"},"uris":["http://www.mendeley.com/documents/?uuid=cd6ca1be-c1a6-4973-b39b-49ca955ead46"]}],"mendeley":{"formattedCitation":"&lt;sup&gt;154,298,299&lt;/sup&gt;","plainTextFormattedCitation":"154,298,299","previouslyFormattedCitation":"&lt;sup&gt;154,298,299&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154,298,299</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We characterized the AuNPs with dynamic light scattering (DLS) (Table S1) to quantify nanoparticle size and polydispersity, determined the zeta potential (Table S2), and used UV-Vis spectrophotometry (Figure S</w:t>
      </w:r>
      <w:r w:rsidR="000E44BA">
        <w:rPr>
          <w:rFonts w:ascii="Arial" w:eastAsiaTheme="minorEastAsia" w:hAnsi="Arial" w:cs="Arial"/>
          <w:sz w:val="24"/>
          <w:szCs w:val="24"/>
        </w:rPr>
        <w:t>2.</w:t>
      </w:r>
      <w:r w:rsidRPr="000D3D4F">
        <w:rPr>
          <w:rFonts w:ascii="Arial" w:eastAsiaTheme="minorEastAsia" w:hAnsi="Arial" w:cs="Arial"/>
          <w:sz w:val="24"/>
          <w:szCs w:val="24"/>
        </w:rPr>
        <w:t>3a) to estimate the nanoparticle molar concentrations. Furthermore, we also characterized the AuNPs with transmission electron microscopy (TEM) (Figure S</w:t>
      </w:r>
      <w:r w:rsidR="000E44BA">
        <w:rPr>
          <w:rFonts w:ascii="Arial" w:eastAsiaTheme="minorEastAsia" w:hAnsi="Arial" w:cs="Arial"/>
          <w:sz w:val="24"/>
          <w:szCs w:val="24"/>
        </w:rPr>
        <w:t>2.</w:t>
      </w:r>
      <w:r w:rsidRPr="000D3D4F">
        <w:rPr>
          <w:rFonts w:ascii="Arial" w:eastAsiaTheme="minorEastAsia" w:hAnsi="Arial" w:cs="Arial"/>
          <w:sz w:val="24"/>
          <w:szCs w:val="24"/>
        </w:rPr>
        <w:t xml:space="preserve">4a-b). We then coated the AuNPs </w:t>
      </w:r>
      <w:r w:rsidRPr="000D3D4F">
        <w:rPr>
          <w:rFonts w:ascii="Arial" w:eastAsiaTheme="minorEastAsia" w:hAnsi="Arial" w:cs="Arial"/>
          <w:sz w:val="24"/>
          <w:szCs w:val="24"/>
        </w:rPr>
        <w:lastRenderedPageBreak/>
        <w:t xml:space="preserve">with 10-kDa methoxy-terminated </w:t>
      </w:r>
      <w:proofErr w:type="gramStart"/>
      <w:r w:rsidRPr="000D3D4F">
        <w:rPr>
          <w:rFonts w:ascii="Arial" w:eastAsiaTheme="minorEastAsia" w:hAnsi="Arial" w:cs="Arial"/>
          <w:sz w:val="24"/>
          <w:szCs w:val="24"/>
        </w:rPr>
        <w:t>poly(</w:t>
      </w:r>
      <w:proofErr w:type="gramEnd"/>
      <w:r w:rsidRPr="000D3D4F">
        <w:rPr>
          <w:rFonts w:ascii="Arial" w:eastAsiaTheme="minorEastAsia" w:hAnsi="Arial" w:cs="Arial"/>
          <w:sz w:val="24"/>
          <w:szCs w:val="24"/>
        </w:rPr>
        <w:t>ethylene glycol)-</w:t>
      </w:r>
      <w:bookmarkStart w:id="31" w:name="_Hlk146911929"/>
      <w:r w:rsidRPr="000D3D4F">
        <w:rPr>
          <w:rFonts w:ascii="Arial" w:eastAsiaTheme="minorEastAsia" w:hAnsi="Arial" w:cs="Arial"/>
          <w:sz w:val="24"/>
          <w:szCs w:val="24"/>
        </w:rPr>
        <w:t xml:space="preserve">orthopyridyl disulfide </w:t>
      </w:r>
      <w:bookmarkEnd w:id="31"/>
      <w:r w:rsidRPr="000D3D4F">
        <w:rPr>
          <w:rFonts w:ascii="Arial" w:eastAsiaTheme="minorEastAsia" w:hAnsi="Arial" w:cs="Arial"/>
          <w:sz w:val="24"/>
          <w:szCs w:val="24"/>
        </w:rPr>
        <w:t>(mPEG-OPSS) polymers for increased colloidal stability. The successful conjugation of PEG polymers to the AuNPs surface was confirmed by DLS measurements that showed an increase in the hydrodynamic diameter by ~35.9 +/- 0.7 nm for PEG-AuNPs compared to citrate-coated AuNPs, with the expected zeta potential being near neutral</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Letters","id":"ITEM-1","issued":{"date-parts":[["2022","9","1"]]},"title":"Controlling Nanoparticle Uptake in Innate Immune Cells with Heparosan Polysaccharides","type":"article-journal"},"uris":["http://www.mendeley.com/documents/?uuid=61b07701-018f-44b3-aaaa-a732980c0276"]}],"mendeley":{"formattedCitation":"&lt;sup&gt;300&lt;/sup&gt;","plainTextFormattedCitation":"300","previouslyFormattedCitation":"&lt;sup&gt;300&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300</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(Table S1, S2) (</w:t>
      </w:r>
      <w:r w:rsidRPr="000D3D4F">
        <w:rPr>
          <w:rFonts w:ascii="Arial" w:eastAsiaTheme="minorEastAsia" w:hAnsi="Arial" w:cs="Arial"/>
          <w:i/>
          <w:iCs/>
          <w:sz w:val="24"/>
          <w:szCs w:val="24"/>
        </w:rPr>
        <w:t>n</w:t>
      </w:r>
      <w:r w:rsidRPr="000D3D4F">
        <w:rPr>
          <w:rFonts w:ascii="Arial" w:eastAsiaTheme="minorEastAsia" w:hAnsi="Arial" w:cs="Arial"/>
          <w:sz w:val="24"/>
          <w:szCs w:val="24"/>
        </w:rPr>
        <w:t>=3). The observed hydrodynamic diameter size increase aligns with our previous work involving similar successful conjugations.</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id":"ITEM-2","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Letters","id":"ITEM-2","issued":{"date-parts":[["2022","9","1"]]},"title":"Controlling Nanoparticle Uptake in Innate Immune Cells with Heparosan Polysaccharides","type":"article-journal"},"uris":["http://www.mendeley.com/documents/?uuid=61b07701-018f-44b3-aaaa-a732980c0276"]}],"mendeley":{"formattedCitation":"&lt;sup&gt;300,301&lt;/sup&gt;","plainTextFormattedCitation":"300,301","previouslyFormattedCitation":"&lt;sup&gt;300,301&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300,301</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We further confirmed the surface conjugation of mPEG-OPSS to the AuNPs qualitatively with TEM through negative staining with uranyl acetate, resulting in a visible halo around the AuNPs (Figure S</w:t>
      </w:r>
      <w:r w:rsidR="000E44BA">
        <w:rPr>
          <w:rFonts w:ascii="Arial" w:eastAsiaTheme="minorEastAsia" w:hAnsi="Arial" w:cs="Arial"/>
          <w:sz w:val="24"/>
          <w:szCs w:val="24"/>
        </w:rPr>
        <w:t>2.</w:t>
      </w:r>
      <w:r w:rsidRPr="000D3D4F">
        <w:rPr>
          <w:rFonts w:ascii="Arial" w:eastAsiaTheme="minorEastAsia" w:hAnsi="Arial" w:cs="Arial"/>
          <w:sz w:val="24"/>
          <w:szCs w:val="24"/>
        </w:rPr>
        <w:t xml:space="preserve">4c). </w:t>
      </w:r>
    </w:p>
    <w:p w14:paraId="600F1EED" w14:textId="29405E24" w:rsidR="00E57377" w:rsidRDefault="000D3D4F" w:rsidP="000D3D4F">
      <w:pPr>
        <w:spacing w:line="480" w:lineRule="auto"/>
        <w:ind w:firstLine="360"/>
        <w:jc w:val="both"/>
        <w:rPr>
          <w:rFonts w:ascii="Arial" w:hAnsi="Arial" w:cs="Arial"/>
          <w:sz w:val="24"/>
          <w:szCs w:val="24"/>
        </w:rPr>
      </w:pPr>
      <w:r w:rsidRPr="000D3D4F">
        <w:rPr>
          <w:rFonts w:ascii="Arial" w:eastAsiaTheme="minorEastAsia" w:hAnsi="Arial" w:cs="Arial"/>
          <w:sz w:val="24"/>
          <w:szCs w:val="24"/>
        </w:rPr>
        <w:t xml:space="preserve">Next, we incubated 4T1 cells with 200-pM PEG-AuNPs for 24 hours. We then washed, fixed, and stained the cells with either DAPI and </w:t>
      </w:r>
      <w:r w:rsidRPr="000D3D4F">
        <w:rPr>
          <w:rFonts w:ascii="Arial" w:hAnsi="Arial" w:cs="Arial"/>
          <w:sz w:val="24"/>
          <w:szCs w:val="24"/>
        </w:rPr>
        <w:t>a glycoprotein stain, wheat germ agglutinin</w:t>
      </w:r>
      <w:r w:rsidRPr="000D3D4F">
        <w:rPr>
          <w:rFonts w:ascii="Arial" w:eastAsiaTheme="minorEastAsia" w:hAnsi="Arial" w:cs="Arial"/>
          <w:sz w:val="24"/>
          <w:szCs w:val="24"/>
        </w:rPr>
        <w:t xml:space="preserve"> (WGA-CF488A), or NHS-AF555 alone. </w:t>
      </w:r>
      <w:r w:rsidRPr="000D3D4F">
        <w:rPr>
          <w:rFonts w:ascii="Arial" w:hAnsi="Arial" w:cs="Arial"/>
          <w:sz w:val="24"/>
          <w:szCs w:val="24"/>
        </w:rPr>
        <w:t>While cell membranes and other biological features can also scatter light, the light scattering efficiencies of these biological materials are orders of magnitude lower than that of metallic nanoparticles.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{"citationItems":[{"id":"ITEM-1","itemData":{"DOI":"10.1021/jacs.7b04022","ISSN":"0002-7863","author":[{"dropping-particle":"","family":"Syed","given":"Abdullah Muhammad","non-dropping-particle":"","parse-names":false,"suffix":""},{"dropping-particle":"","family":"Sindhwani","given":"Shrey","non-dropping-particle":"","parse-names":false,"suffix":""},{"dropping-particle":"","family":"Wilhelm","given":"Stefan","non-dropping-particle":"","parse-names":false,"suffix":""},{"dropping-particle":"","family":"Kingston","given":"Benjamin R.","non-dropping-particle":"","parse-names":false,"suffix":""},{"dropping-particle":"","family":"Lee","given":"Dennis S. W.","non-dropping-particle":"","parse-names":false,"suffix":""},{"dropping-particle":"","family":"Gommerman","given":"Jennifer L.","non-dropping-particle":"","parse-names":false,"suffix":""},{"dropping-particle":"","family":"Chan","given":"Warren C. W.","non-dropping-particle":"","parse-names":false,"suffix":""}],"container-title":"Journal of the American Chemical Society","id":"ITEM-1","issue":"29","issued":{"date-parts":[["2017","7","26"]]},"page":"9961-9971","title":"Three-Dimensional Imaging of Transparent Tissues via Metal Nanoparticle Labeling","type":"article-journal","volume":"139"},"uris":["http://www.mendeley.com/documents/?uuid=c1e0c606-4d64-4079-8bda-209d4890a628"]}],"mendeley":{"formattedCitation":"&lt;sup&gt;265&lt;/sup&gt;","plainTextFormattedCitation":"265","previouslyFormattedCitation":"&lt;sup&gt;265&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265</w:t>
      </w:r>
      <w:r w:rsidRPr="000D3D4F">
        <w:rPr>
          <w:rFonts w:ascii="Arial" w:hAnsi="Arial" w:cs="Arial"/>
          <w:sz w:val="24"/>
          <w:szCs w:val="24"/>
        </w:rPr>
        <w:fldChar w:fldCharType="end"/>
      </w:r>
      <w:r w:rsidRPr="000D3D4F">
        <w:rPr>
          <w:rFonts w:ascii="Arial" w:hAnsi="Arial" w:cs="Arial"/>
          <w:sz w:val="24"/>
          <w:szCs w:val="24"/>
        </w:rPr>
        <w:t xml:space="preserve"> We used cells without nanoparticle treatment as a threshold baseline to remove the light scattering background signal. Figure </w:t>
      </w:r>
      <w:r w:rsidR="000E44BA">
        <w:rPr>
          <w:rFonts w:ascii="Arial" w:hAnsi="Arial" w:cs="Arial"/>
          <w:sz w:val="24"/>
          <w:szCs w:val="24"/>
        </w:rPr>
        <w:t>2.</w:t>
      </w:r>
      <w:r w:rsidRPr="000D3D4F">
        <w:rPr>
          <w:rFonts w:ascii="Arial" w:hAnsi="Arial" w:cs="Arial"/>
          <w:sz w:val="24"/>
          <w:szCs w:val="24"/>
        </w:rPr>
        <w:t xml:space="preserve">3a shows the light scattering signal obtained from intracellular AuNPs using CLSM following the thresholding method. We then demonstrated that the nanoparticle light scattering imaging did not interfere with the emission of fluorophores that were excited using the same laser wavelength. Using the NHS-AF555 dye and a laser illumination wavelength of 561 nm, we show in Figure </w:t>
      </w:r>
      <w:r w:rsidR="000E44BA">
        <w:rPr>
          <w:rFonts w:ascii="Arial" w:hAnsi="Arial" w:cs="Arial"/>
          <w:sz w:val="24"/>
          <w:szCs w:val="24"/>
        </w:rPr>
        <w:t>2.</w:t>
      </w:r>
      <w:r w:rsidRPr="000D3D4F">
        <w:rPr>
          <w:rFonts w:ascii="Arial" w:hAnsi="Arial" w:cs="Arial"/>
          <w:sz w:val="24"/>
          <w:szCs w:val="24"/>
        </w:rPr>
        <w:t xml:space="preserve">3b that nanoparticle light scattering imaging is compatible with the NHS-AF555 pan staining. No visible signal from the NHS-AF555 dye is detected in the nanoparticle light scattering imaging channel following thresholding to remove the background light. Our approach </w:t>
      </w:r>
      <w:r w:rsidRPr="000D3D4F">
        <w:rPr>
          <w:rFonts w:ascii="Arial" w:hAnsi="Arial" w:cs="Arial"/>
          <w:sz w:val="24"/>
          <w:szCs w:val="24"/>
        </w:rPr>
        <w:lastRenderedPageBreak/>
        <w:t xml:space="preserve">allows the label-free detection of intracellular nanoparticles and is fully compatible with conventional fluorescence staining and imaging. </w:t>
      </w:r>
    </w:p>
    <w:p w14:paraId="78CB386E" w14:textId="77777777" w:rsidR="00E57377" w:rsidRDefault="00E57377">
      <w:pPr>
        <w:rPr>
          <w:rFonts w:ascii="Arial" w:hAnsi="Arial" w:cs="Arial"/>
          <w:sz w:val="24"/>
          <w:szCs w:val="24"/>
        </w:rPr>
      </w:pPr>
      <w:r>
        <w:rPr>
          <w:rFonts w:ascii="Arial" w:hAnsi="Arial" w:cs="Arial"/>
          <w:sz w:val="24"/>
          <w:szCs w:val="24"/>
        </w:rPr>
        <w:br w:type="page"/>
      </w:r>
    </w:p>
    <w:p w14:paraId="443F9E10" w14:textId="77777777" w:rsidR="00E57377" w:rsidRDefault="00E57377" w:rsidP="00E57377">
      <w:pPr>
        <w:spacing w:line="48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2038C526" wp14:editId="551AAE82">
            <wp:extent cx="4517763" cy="7588155"/>
            <wp:effectExtent l="0" t="0" r="0" b="0"/>
            <wp:docPr id="161656752" name="Picture 161656752"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6752" name="Picture 161656752" descr="A collage of images of cell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24629" cy="7599687"/>
                    </a:xfrm>
                    <a:prstGeom prst="rect">
                      <a:avLst/>
                    </a:prstGeom>
                    <a:noFill/>
                    <a:ln>
                      <a:noFill/>
                    </a:ln>
                  </pic:spPr>
                </pic:pic>
              </a:graphicData>
            </a:graphic>
          </wp:inline>
        </w:drawing>
      </w:r>
    </w:p>
    <w:p w14:paraId="655290BA" w14:textId="1D9BB66D" w:rsidR="00E57377" w:rsidRPr="00E57377" w:rsidRDefault="00E57377" w:rsidP="00E57377">
      <w:pPr>
        <w:jc w:val="both"/>
        <w:rPr>
          <w:rFonts w:ascii="Arial" w:hAnsi="Arial" w:cs="Arial"/>
          <w:sz w:val="24"/>
          <w:szCs w:val="24"/>
        </w:rPr>
      </w:pPr>
      <w:r w:rsidRPr="00E57377">
        <w:rPr>
          <w:rFonts w:ascii="Arial" w:hAnsi="Arial" w:cs="Arial"/>
          <w:b/>
          <w:bCs/>
          <w:sz w:val="24"/>
          <w:szCs w:val="24"/>
        </w:rPr>
        <w:t xml:space="preserve">Figure </w:t>
      </w:r>
      <w:r>
        <w:rPr>
          <w:rFonts w:ascii="Arial" w:hAnsi="Arial" w:cs="Arial"/>
          <w:b/>
          <w:bCs/>
          <w:sz w:val="24"/>
          <w:szCs w:val="24"/>
        </w:rPr>
        <w:t>2.</w:t>
      </w:r>
      <w:r w:rsidRPr="00E57377">
        <w:rPr>
          <w:rFonts w:ascii="Arial" w:hAnsi="Arial" w:cs="Arial"/>
          <w:b/>
          <w:bCs/>
          <w:sz w:val="24"/>
          <w:szCs w:val="24"/>
        </w:rPr>
        <w:t xml:space="preserve">3: Label-free imaging of nanoparticles in non-expanded 4T1 cells via light scattering imaging. </w:t>
      </w:r>
      <w:r w:rsidRPr="00E57377">
        <w:rPr>
          <w:rFonts w:ascii="Arial" w:hAnsi="Arial" w:cs="Arial"/>
          <w:sz w:val="24"/>
          <w:szCs w:val="24"/>
        </w:rPr>
        <w:t xml:space="preserve">4T1 cells were incubated with 55-nm PEG-AuNPs for 24 h before </w:t>
      </w:r>
      <w:r w:rsidRPr="00E57377">
        <w:rPr>
          <w:rFonts w:ascii="Arial" w:hAnsi="Arial" w:cs="Arial"/>
          <w:sz w:val="24"/>
          <w:szCs w:val="24"/>
        </w:rPr>
        <w:lastRenderedPageBreak/>
        <w:t>being washed, fixed, and stained. The overlay of the stained cells and light scattering (red) are shown first, followed by a magnification of all the channels, and then only the light scattering channel for cells with or without PEG-AuNPs shown in grayscale. Images were thresholded against parallel controls not incubated with AuNPs to remove the light scattering background signal.</w:t>
      </w:r>
      <w:r w:rsidRPr="00E57377">
        <w:rPr>
          <w:rFonts w:ascii="Arial" w:hAnsi="Arial" w:cs="Arial"/>
          <w:b/>
          <w:bCs/>
          <w:sz w:val="24"/>
          <w:szCs w:val="24"/>
        </w:rPr>
        <w:t xml:space="preserve"> (a) </w:t>
      </w:r>
      <w:r w:rsidRPr="00E57377">
        <w:rPr>
          <w:rFonts w:ascii="Arial" w:hAnsi="Arial" w:cs="Arial"/>
          <w:sz w:val="24"/>
          <w:szCs w:val="24"/>
        </w:rPr>
        <w:t xml:space="preserve">Cells stained with DAPI (blue) and WGA-CF488A (green). </w:t>
      </w:r>
      <w:r w:rsidRPr="00E57377">
        <w:rPr>
          <w:rFonts w:ascii="Arial" w:hAnsi="Arial" w:cs="Arial"/>
          <w:b/>
          <w:bCs/>
          <w:sz w:val="24"/>
          <w:szCs w:val="24"/>
        </w:rPr>
        <w:t>(b)</w:t>
      </w:r>
      <w:r w:rsidRPr="00E57377">
        <w:rPr>
          <w:rFonts w:ascii="Arial" w:hAnsi="Arial" w:cs="Arial"/>
          <w:sz w:val="24"/>
          <w:szCs w:val="24"/>
        </w:rPr>
        <w:t xml:space="preserve"> Cells stained with NHS-AF555 (gray). The scale bars indicate 50 µm for the unmagnified images and 15 µm for the magnified images. The nanoparticle light scattering signal intensity from the PEG-AuNPs was measured on ImageJ by the integrated density of the light scattering signal in regions of interest drawn around the membrane of the cells stained with (</w:t>
      </w:r>
      <w:r w:rsidRPr="00E57377">
        <w:rPr>
          <w:rFonts w:ascii="Arial" w:hAnsi="Arial" w:cs="Arial"/>
          <w:b/>
          <w:bCs/>
          <w:sz w:val="24"/>
          <w:szCs w:val="24"/>
        </w:rPr>
        <w:t>c</w:t>
      </w:r>
      <w:r w:rsidRPr="00E57377">
        <w:rPr>
          <w:rFonts w:ascii="Arial" w:hAnsi="Arial" w:cs="Arial"/>
          <w:sz w:val="24"/>
          <w:szCs w:val="24"/>
        </w:rPr>
        <w:t>) DAPI and WGA-CF488A or (</w:t>
      </w:r>
      <w:r w:rsidRPr="00E57377">
        <w:rPr>
          <w:rFonts w:ascii="Arial" w:hAnsi="Arial" w:cs="Arial"/>
          <w:b/>
          <w:bCs/>
          <w:sz w:val="24"/>
          <w:szCs w:val="24"/>
        </w:rPr>
        <w:t>d)</w:t>
      </w:r>
      <w:r w:rsidRPr="00E57377">
        <w:rPr>
          <w:rFonts w:ascii="Arial" w:hAnsi="Arial" w:cs="Arial"/>
          <w:sz w:val="24"/>
          <w:szCs w:val="24"/>
        </w:rPr>
        <w:t xml:space="preserve"> NHS-AF555. An unpaired one-tailed t-test resulted in a significant statistical difference in the means of the two groups (****p&lt;0.0001) (</w:t>
      </w:r>
      <w:r w:rsidRPr="00E57377">
        <w:rPr>
          <w:rFonts w:ascii="Arial" w:hAnsi="Arial" w:cs="Arial"/>
          <w:i/>
          <w:iCs/>
          <w:sz w:val="24"/>
          <w:szCs w:val="24"/>
        </w:rPr>
        <w:t>n</w:t>
      </w:r>
      <w:r w:rsidRPr="00E57377">
        <w:rPr>
          <w:rFonts w:ascii="Arial" w:hAnsi="Arial" w:cs="Arial"/>
          <w:sz w:val="24"/>
          <w:szCs w:val="24"/>
        </w:rPr>
        <w:t xml:space="preserve">=9). </w:t>
      </w:r>
      <w:r w:rsidRPr="00E57377">
        <w:rPr>
          <w:rFonts w:ascii="Arial" w:hAnsi="Arial" w:cs="Arial"/>
          <w:b/>
          <w:bCs/>
          <w:sz w:val="24"/>
          <w:szCs w:val="24"/>
        </w:rPr>
        <w:t xml:space="preserve">(e) </w:t>
      </w:r>
      <w:r w:rsidRPr="00E57377">
        <w:rPr>
          <w:rFonts w:ascii="Arial" w:hAnsi="Arial" w:cs="Arial"/>
          <w:sz w:val="24"/>
          <w:szCs w:val="24"/>
        </w:rPr>
        <w:t>Inductively coupled plasma mass spectrometry (ICP-MS) measurements of 4T1 cells with or without PEG-AuNP incubation to quantify gold nanoparticle cell uptake. Unpaired one-tailed t-test (****p&lt;0.0001) (</w:t>
      </w:r>
      <w:r w:rsidRPr="00E57377">
        <w:rPr>
          <w:rFonts w:ascii="Arial" w:hAnsi="Arial" w:cs="Arial"/>
          <w:i/>
          <w:iCs/>
          <w:sz w:val="24"/>
          <w:szCs w:val="24"/>
        </w:rPr>
        <w:t>n</w:t>
      </w:r>
      <w:r w:rsidRPr="00E57377">
        <w:rPr>
          <w:rFonts w:ascii="Arial" w:hAnsi="Arial" w:cs="Arial"/>
          <w:sz w:val="24"/>
          <w:szCs w:val="24"/>
        </w:rPr>
        <w:t>=4). Bars indicate mean +/- standard deviation (SD).</w:t>
      </w:r>
      <w:r w:rsidRPr="00E57377">
        <w:rPr>
          <w:rFonts w:ascii="Arial" w:hAnsi="Arial" w:cs="Arial"/>
          <w:sz w:val="24"/>
          <w:szCs w:val="24"/>
        </w:rPr>
        <w:br w:type="page"/>
      </w:r>
    </w:p>
    <w:p w14:paraId="7271E69B" w14:textId="77777777" w:rsidR="000D3D4F" w:rsidRPr="000D3D4F" w:rsidRDefault="000D3D4F" w:rsidP="000D3D4F">
      <w:pPr>
        <w:spacing w:line="480" w:lineRule="auto"/>
        <w:ind w:firstLine="360"/>
        <w:jc w:val="both"/>
        <w:rPr>
          <w:rFonts w:ascii="Arial" w:hAnsi="Arial" w:cs="Arial"/>
          <w:sz w:val="24"/>
          <w:szCs w:val="24"/>
        </w:rPr>
      </w:pPr>
    </w:p>
    <w:p w14:paraId="3F22607C" w14:textId="54187A43"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We then quantified the signal intensity of the nanoparticle light scattering channel as a measurement of relative intracellular AuNP content. Figures </w:t>
      </w:r>
      <w:r w:rsidR="000E44BA">
        <w:rPr>
          <w:rFonts w:ascii="Arial" w:hAnsi="Arial" w:cs="Arial"/>
          <w:sz w:val="24"/>
          <w:szCs w:val="24"/>
        </w:rPr>
        <w:t>2.</w:t>
      </w:r>
      <w:r w:rsidRPr="000D3D4F">
        <w:rPr>
          <w:rFonts w:ascii="Arial" w:hAnsi="Arial" w:cs="Arial"/>
          <w:sz w:val="24"/>
          <w:szCs w:val="24"/>
        </w:rPr>
        <w:t xml:space="preserve">3c and </w:t>
      </w:r>
      <w:r w:rsidR="000E44BA">
        <w:rPr>
          <w:rFonts w:ascii="Arial" w:hAnsi="Arial" w:cs="Arial"/>
          <w:sz w:val="24"/>
          <w:szCs w:val="24"/>
        </w:rPr>
        <w:t>2.</w:t>
      </w:r>
      <w:r w:rsidRPr="000D3D4F">
        <w:rPr>
          <w:rFonts w:ascii="Arial" w:hAnsi="Arial" w:cs="Arial"/>
          <w:sz w:val="24"/>
          <w:szCs w:val="24"/>
        </w:rPr>
        <w:t xml:space="preserve">3d demonstrate the ImageJ software-based quantification of the nanoparticle light scattering intensity of individual cells stained with DAPI and WGA-CF488A or NHS-AF555, respectively. In both cases, there was a statistically significant difference (****p&lt;0.0001) in the light scattering intensity measured from the cells treated with PEG-AuNPs compared to those not treated. Furthermore, the measured signal intensity of the cells not treated with PEG-AuNPs was close to the expected background signal. </w:t>
      </w:r>
    </w:p>
    <w:p w14:paraId="24DC4E97" w14:textId="3F0FDB70"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hAnsi="Arial" w:cs="Arial"/>
          <w:sz w:val="24"/>
          <w:szCs w:val="24"/>
        </w:rPr>
        <w:t>We then validated that the nanoparticle light scattering signal can be acquired at various wavelengths using multiple laser types. Figure S</w:t>
      </w:r>
      <w:r w:rsidR="000E44BA">
        <w:rPr>
          <w:rFonts w:ascii="Arial" w:hAnsi="Arial" w:cs="Arial"/>
          <w:sz w:val="24"/>
          <w:szCs w:val="24"/>
        </w:rPr>
        <w:t>2.</w:t>
      </w:r>
      <w:r w:rsidRPr="000D3D4F">
        <w:rPr>
          <w:rFonts w:ascii="Arial" w:hAnsi="Arial" w:cs="Arial"/>
          <w:sz w:val="24"/>
          <w:szCs w:val="24"/>
        </w:rPr>
        <w:t xml:space="preserve">5 shows RAW 264.7 macrophages that were incubated with 55-nm AuNPs coated with </w:t>
      </w:r>
      <w:r w:rsidRPr="000D3D4F">
        <w:rPr>
          <w:rFonts w:ascii="Arial" w:eastAsiaTheme="minorEastAsia" w:hAnsi="Arial" w:cs="Arial"/>
          <w:sz w:val="24"/>
          <w:szCs w:val="24"/>
        </w:rPr>
        <w:t xml:space="preserve">5-kDa methoxy-terminated </w:t>
      </w:r>
      <w:proofErr w:type="gramStart"/>
      <w:r w:rsidRPr="000D3D4F">
        <w:rPr>
          <w:rFonts w:ascii="Arial" w:eastAsiaTheme="minorEastAsia" w:hAnsi="Arial" w:cs="Arial"/>
          <w:sz w:val="24"/>
          <w:szCs w:val="24"/>
        </w:rPr>
        <w:t>poly(</w:t>
      </w:r>
      <w:proofErr w:type="gramEnd"/>
      <w:r w:rsidRPr="000D3D4F">
        <w:rPr>
          <w:rFonts w:ascii="Arial" w:eastAsiaTheme="minorEastAsia" w:hAnsi="Arial" w:cs="Arial"/>
          <w:sz w:val="24"/>
          <w:szCs w:val="24"/>
        </w:rPr>
        <w:t xml:space="preserve">ethylene glycol)-thiol (mPEG-SH) (Table S1). </w:t>
      </w:r>
      <w:bookmarkStart w:id="32" w:name="_Hlk129728893"/>
      <w:r w:rsidRPr="000D3D4F">
        <w:rPr>
          <w:rFonts w:ascii="Arial" w:eastAsiaTheme="minorEastAsia" w:hAnsi="Arial" w:cs="Arial"/>
          <w:sz w:val="24"/>
          <w:szCs w:val="24"/>
        </w:rPr>
        <w:t xml:space="preserve">The AuNPs within the same group of cells were visualized using four different laser lines: a 488-nm argon laser, a 561-nm diode-pumped solid-state laser, a 594-nm helium-neon laser, and a 633-nm helium-neon laser. </w:t>
      </w:r>
      <w:bookmarkEnd w:id="32"/>
      <w:r w:rsidRPr="000D3D4F">
        <w:rPr>
          <w:rFonts w:ascii="Arial" w:eastAsiaTheme="minorEastAsia" w:hAnsi="Arial" w:cs="Arial"/>
          <w:sz w:val="24"/>
          <w:szCs w:val="24"/>
        </w:rPr>
        <w:t xml:space="preserve">Our results confirm that nanoparticle light scattering imaging is broadly attainable and independent of a specific laser wavelength. </w:t>
      </w:r>
      <w:bookmarkStart w:id="33" w:name="_Hlk129729823"/>
      <w:r w:rsidRPr="000D3D4F">
        <w:rPr>
          <w:rFonts w:ascii="Arial" w:eastAsiaTheme="minorEastAsia" w:hAnsi="Arial" w:cs="Arial"/>
          <w:sz w:val="24"/>
          <w:szCs w:val="24"/>
        </w:rPr>
        <w:t>We observed in Figure S</w:t>
      </w:r>
      <w:r w:rsidR="000E44BA">
        <w:rPr>
          <w:rFonts w:ascii="Arial" w:eastAsiaTheme="minorEastAsia" w:hAnsi="Arial" w:cs="Arial"/>
          <w:sz w:val="24"/>
          <w:szCs w:val="24"/>
        </w:rPr>
        <w:t>2.</w:t>
      </w:r>
      <w:r w:rsidRPr="000D3D4F">
        <w:rPr>
          <w:rFonts w:ascii="Arial" w:eastAsiaTheme="minorEastAsia" w:hAnsi="Arial" w:cs="Arial"/>
          <w:sz w:val="24"/>
          <w:szCs w:val="24"/>
        </w:rPr>
        <w:t>5 that the 561-nm laser provided the strongest nanoparticle light scattering signal, which was expected given that the 561-nm laser has the closest wavelength to the peak extinction wavelength of 55-nm AuNPs (Figure S</w:t>
      </w:r>
      <w:r w:rsidR="000E44BA">
        <w:rPr>
          <w:rFonts w:ascii="Arial" w:eastAsiaTheme="minorEastAsia" w:hAnsi="Arial" w:cs="Arial"/>
          <w:sz w:val="24"/>
          <w:szCs w:val="24"/>
        </w:rPr>
        <w:t>2.</w:t>
      </w:r>
      <w:r w:rsidRPr="000D3D4F">
        <w:rPr>
          <w:rFonts w:ascii="Arial" w:eastAsiaTheme="minorEastAsia" w:hAnsi="Arial" w:cs="Arial"/>
          <w:sz w:val="24"/>
          <w:szCs w:val="24"/>
        </w:rPr>
        <w:t xml:space="preserve">3). </w:t>
      </w:r>
      <w:bookmarkEnd w:id="33"/>
      <w:r w:rsidRPr="000D3D4F">
        <w:rPr>
          <w:rFonts w:ascii="Arial" w:eastAsiaTheme="minorEastAsia" w:hAnsi="Arial" w:cs="Arial"/>
          <w:sz w:val="24"/>
          <w:szCs w:val="24"/>
        </w:rPr>
        <w:t xml:space="preserve">Therefore, we continued to use this laser wavelength for all subsequent nanoparticle light scattering imaging. </w:t>
      </w:r>
    </w:p>
    <w:p w14:paraId="32BFACA8" w14:textId="1AD3DB33"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hAnsi="Arial" w:cs="Arial"/>
          <w:sz w:val="24"/>
          <w:szCs w:val="24"/>
        </w:rPr>
        <w:t xml:space="preserve">Next, </w:t>
      </w:r>
      <w:r w:rsidRPr="000D3D4F">
        <w:rPr>
          <w:rFonts w:ascii="Arial" w:eastAsiaTheme="minorEastAsia" w:hAnsi="Arial" w:cs="Arial"/>
          <w:sz w:val="24"/>
          <w:szCs w:val="24"/>
        </w:rPr>
        <w:t xml:space="preserve">we validated that the detected imaging signal in the nanoparticle light scattering channel was indeed due to the presence of gold within the cells. We used inductively </w:t>
      </w:r>
      <w:r w:rsidRPr="000D3D4F">
        <w:rPr>
          <w:rFonts w:ascii="Arial" w:eastAsiaTheme="minorEastAsia" w:hAnsi="Arial" w:cs="Arial"/>
          <w:sz w:val="24"/>
          <w:szCs w:val="24"/>
        </w:rPr>
        <w:lastRenderedPageBreak/>
        <w:t>coupled plasma mass spectrometry (ICP-MS) as a quantitative elemental analysis method to determine the gold content of cells with and without PEG-AuNPs incubation.</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Letters","id":"ITEM-1","issued":{"date-parts":[["2022","9","1"]]},"title":"Controlling Nanoparticle Uptake in Innate Immune Cells with Heparosan Polysaccharides","type":"article-journal"},"uris":["http://www.mendeley.com/documents/?uuid=61b07701-018f-44b3-aaaa-a732980c0276"]},{"id":"ITEM-2","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Letters","id":"ITEM-2","issue":"5","issued":{"date-parts":[["2022","3","9"]]},"page":"2103-2111","title":"Nanoparticle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300,301&lt;/sup&gt;","plainTextFormattedCitation":"300,301","previouslyFormattedCitation":"&lt;sup&gt;300,301&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300,301</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The ICP-MS results revealed a cellular gold content equivalent to ~290 +/- 13 PEG-AuNPs/cell for 4T1 cell samples incubated with PEG-AuNPs, while the non-treated control cells exhibited a gold content that was close to the background </w:t>
      </w:r>
      <w:r w:rsidRPr="000D3D4F">
        <w:rPr>
          <w:rFonts w:ascii="Arial" w:hAnsi="Arial" w:cs="Arial"/>
          <w:sz w:val="24"/>
          <w:szCs w:val="24"/>
        </w:rPr>
        <w:t xml:space="preserve">(Figure </w:t>
      </w:r>
      <w:r w:rsidR="000E44BA">
        <w:rPr>
          <w:rFonts w:ascii="Arial" w:hAnsi="Arial" w:cs="Arial"/>
          <w:sz w:val="24"/>
          <w:szCs w:val="24"/>
        </w:rPr>
        <w:t>2.</w:t>
      </w:r>
      <w:r w:rsidRPr="000D3D4F">
        <w:rPr>
          <w:rFonts w:ascii="Arial" w:hAnsi="Arial" w:cs="Arial"/>
          <w:sz w:val="24"/>
          <w:szCs w:val="24"/>
        </w:rPr>
        <w:t>3e) (</w:t>
      </w:r>
      <w:r w:rsidRPr="000D3D4F">
        <w:rPr>
          <w:rFonts w:ascii="Arial" w:hAnsi="Arial" w:cs="Arial"/>
          <w:i/>
          <w:iCs/>
          <w:sz w:val="24"/>
          <w:szCs w:val="24"/>
        </w:rPr>
        <w:t>n</w:t>
      </w:r>
      <w:r w:rsidRPr="000D3D4F">
        <w:rPr>
          <w:rFonts w:ascii="Arial" w:hAnsi="Arial" w:cs="Arial"/>
          <w:sz w:val="24"/>
          <w:szCs w:val="24"/>
        </w:rPr>
        <w:t>=4)</w:t>
      </w:r>
      <w:r w:rsidRPr="000D3D4F">
        <w:rPr>
          <w:rFonts w:ascii="Arial" w:eastAsiaTheme="minorEastAsia" w:hAnsi="Arial" w:cs="Arial"/>
          <w:sz w:val="24"/>
          <w:szCs w:val="24"/>
        </w:rPr>
        <w:t xml:space="preserve">. </w:t>
      </w:r>
    </w:p>
    <w:p w14:paraId="7E4F6C8A" w14:textId="2C5B680A"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hAnsi="Arial" w:cs="Arial"/>
          <w:sz w:val="24"/>
          <w:szCs w:val="24"/>
        </w:rPr>
        <w:t>To further validate that the nanoparticle light scattering signal was due to intracellular AuNPs, we treated 4T1 cells that were incubated with PEG-AuNPs with a gold etching solution consisting of KI and I</w:t>
      </w:r>
      <w:r w:rsidRPr="000D3D4F">
        <w:rPr>
          <w:rFonts w:ascii="Arial" w:hAnsi="Arial" w:cs="Arial"/>
          <w:sz w:val="24"/>
          <w:szCs w:val="24"/>
          <w:vertAlign w:val="subscript"/>
        </w:rPr>
        <w:t>2</w:t>
      </w:r>
      <w:r w:rsidRPr="000D3D4F">
        <w:rPr>
          <w:rFonts w:ascii="Arial" w:hAnsi="Arial" w:cs="Arial"/>
          <w:sz w:val="24"/>
          <w:szCs w:val="24"/>
        </w:rPr>
        <w:t>.</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{"citationItems":[{"id":"ITEM-1","itemData":{"DOI":"10.1007/s13404-014-0143-z","ISBN":"1340401401","ISSN":"21907579","abstract":"The etching of gold is a key enabling technology in the fabrication of many microdevices and is widely used in the electronic, optoelectronic and microelectromechanical systems (MEMS) industries. In this review, we examine some of the available methods for patterning gold thin films using dry and wet etching techniques. Dry methods which utilise reactive ion etching (RIE) have a number of important advantages over other methods, but the low volatility of gold etch products has made the development of suitable processes problematic. More recently, the adoption of high-density plasma reactors with optimised chlorine-based chemistries has allowed improved processes to be developed, and etching in hydrogen plasmas also shows promise. Wet etching methods for gold have also been critically reviewed. Traditionally, iodine- and cyanide-based etch processes have been used, but in the last decade, a number of alternative etchants have been studied. Of particular interest is the recent development of a range of novel non-aqueous-based gold etchants, and the suitability of these etchants for microfabrication is assessed. © 2014 The Author(s).","author":[{"dropping-particle":"","family":"Green","given":"T. A.","non-dropping-particle":"","parse-names":false,"suffix":""}],"container-title":"Gold Bulletin","id":"ITEM-1","issue":"3","issued":{"date-parts":[["2014"]]},"page":"205-216","title":"Gold etching for microfabrication","type":"article-journal","volume":"47"},"uris":["http://www.mendeley.com/documents/?uuid=6a45e2e5-a077-4670-b351-4a9765a0bd47"]}],"mendeley":{"formattedCitation":"&lt;sup&gt;302&lt;/sup&gt;","plainTextFormattedCitation":"302","previouslyFormattedCitation":"&lt;sup&gt;302&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302</w:t>
      </w:r>
      <w:r w:rsidRPr="000D3D4F">
        <w:rPr>
          <w:rFonts w:ascii="Arial" w:hAnsi="Arial" w:cs="Arial"/>
          <w:sz w:val="24"/>
          <w:szCs w:val="24"/>
        </w:rPr>
        <w:fldChar w:fldCharType="end"/>
      </w:r>
      <w:r w:rsidRPr="000D3D4F">
        <w:rPr>
          <w:rFonts w:ascii="Arial" w:hAnsi="Arial" w:cs="Arial"/>
          <w:sz w:val="24"/>
          <w:szCs w:val="24"/>
        </w:rPr>
        <w:t xml:space="preserve"> Given that the cells were permeabilized with 0.1% (V/V) Triton X-100 following fixation, the KI/I</w:t>
      </w:r>
      <w:r w:rsidRPr="000D3D4F">
        <w:rPr>
          <w:rFonts w:ascii="Arial" w:hAnsi="Arial" w:cs="Arial"/>
          <w:sz w:val="24"/>
          <w:szCs w:val="24"/>
          <w:vertAlign w:val="subscript"/>
        </w:rPr>
        <w:t>2</w:t>
      </w:r>
      <w:r w:rsidRPr="000D3D4F">
        <w:rPr>
          <w:rFonts w:ascii="Arial" w:hAnsi="Arial" w:cs="Arial"/>
          <w:sz w:val="24"/>
          <w:szCs w:val="24"/>
        </w:rPr>
        <w:t xml:space="preserve"> etchant dissolved both intracellular and extracellular AuNPs. We imaged the same group of cells before and after the gold etchant treatment (Figure S</w:t>
      </w:r>
      <w:r w:rsidR="000E44BA">
        <w:rPr>
          <w:rFonts w:ascii="Arial" w:hAnsi="Arial" w:cs="Arial"/>
          <w:sz w:val="24"/>
          <w:szCs w:val="24"/>
        </w:rPr>
        <w:t>2.</w:t>
      </w:r>
      <w:r w:rsidRPr="000D3D4F">
        <w:rPr>
          <w:rFonts w:ascii="Arial" w:hAnsi="Arial" w:cs="Arial"/>
          <w:sz w:val="24"/>
          <w:szCs w:val="24"/>
        </w:rPr>
        <w:t>6a-b). Qualitatively, the images confirm that the nanoparticle light scattering signal visibly disappears after the etching. We then quantified the corresponding decrease in nanoparticle light scattering signal intensities in these cells. Figure S6c demonstrates that the nanoparticle light scattering signal was reduced to near background levels following etching. This result further confirms that intact AuNPs are needed to produce an efficient nanoparticle light scattering signal.</w:t>
      </w:r>
      <w:r w:rsidRPr="000D3D4F">
        <w:rPr>
          <w:rFonts w:ascii="Arial" w:eastAsiaTheme="minorEastAsia" w:hAnsi="Arial" w:cs="Arial"/>
          <w:sz w:val="24"/>
          <w:szCs w:val="24"/>
        </w:rPr>
        <w:t xml:space="preserve"> </w:t>
      </w:r>
    </w:p>
    <w:p w14:paraId="4803DD39" w14:textId="77777777" w:rsidR="000D3D4F" w:rsidRPr="000D3D4F" w:rsidRDefault="000D3D4F" w:rsidP="000D3D4F">
      <w:pPr>
        <w:spacing w:line="480" w:lineRule="auto"/>
        <w:jc w:val="both"/>
        <w:rPr>
          <w:rFonts w:ascii="Arial" w:hAnsi="Arial" w:cs="Arial"/>
          <w:sz w:val="24"/>
          <w:szCs w:val="24"/>
        </w:rPr>
      </w:pPr>
    </w:p>
    <w:p w14:paraId="574AAD8C" w14:textId="0158B6A6" w:rsidR="000D3D4F" w:rsidRDefault="000D3D4F" w:rsidP="00721691">
      <w:pPr>
        <w:pStyle w:val="Heading3"/>
      </w:pPr>
      <w:bookmarkStart w:id="34" w:name="_Toc151032423"/>
      <w:r>
        <w:t xml:space="preserve">2.2.4 </w:t>
      </w:r>
      <w:r w:rsidRPr="000D3D4F">
        <w:t>Nanoparticle light scattering signal is not affected by photobleaching</w:t>
      </w:r>
      <w:bookmarkEnd w:id="34"/>
    </w:p>
    <w:p w14:paraId="2EAF554B" w14:textId="77777777" w:rsidR="00721691" w:rsidRPr="00721691" w:rsidRDefault="00721691" w:rsidP="00721691"/>
    <w:p w14:paraId="66F0A587" w14:textId="10C7B862" w:rsidR="000D3D4F" w:rsidRPr="000D3D4F" w:rsidRDefault="000D3D4F" w:rsidP="000D3D4F">
      <w:pPr>
        <w:spacing w:line="480" w:lineRule="auto"/>
        <w:jc w:val="both"/>
        <w:rPr>
          <w:rFonts w:ascii="Arial" w:hAnsi="Arial" w:cs="Arial"/>
          <w:sz w:val="24"/>
          <w:szCs w:val="24"/>
        </w:rPr>
      </w:pPr>
      <w:r w:rsidRPr="000D3D4F">
        <w:rPr>
          <w:rFonts w:ascii="Arial" w:hAnsi="Arial" w:cs="Arial"/>
          <w:sz w:val="24"/>
          <w:szCs w:val="24"/>
        </w:rPr>
        <w:t xml:space="preserve">We then confirmed one of the major advantages of the nanoparticle light scattering imaging method, which is the signal’s imperviousness to photobleaching. Photobleaching is a common challenge in fluorescence imaging that involves the irreversible degradation </w:t>
      </w:r>
      <w:r w:rsidRPr="000D3D4F">
        <w:rPr>
          <w:rFonts w:ascii="Arial" w:hAnsi="Arial" w:cs="Arial"/>
          <w:sz w:val="24"/>
          <w:szCs w:val="24"/>
        </w:rPr>
        <w:lastRenderedPageBreak/>
        <w:t>of organic fluorophores due to repetitive excitation and emission cycles, i.e. repeated or continuous laser exposure.</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{"citationItems":[{"id":"ITEM-1","itemData":{"DOI":"10.1088/2050-6120/ab7365","ISSN":"20506120","PMID":"32028269","abstract":"Photochemical stability is one of the most important parameters that determine the usefulness of organic dyes in different applications. This Review addresses key factors that determine the dye photostability. It is shown that photodegradation can follow different oxygen-dependent and oxygen-independent mechanisms and may involve both 1S1-3T1 and higher-energy 1Sn-3Tn excited states. Their involvement and contribution depends on dye structure, medium conditions, irradiation power. Fluorescein, rhodamine, BODIPY and cyanine dyes, as well as conjugated polymers are discussed as selected examples illustrating photobleaching mechanisms. The strategies for modulating and improving the photostability are overviewed. They include the improvement of fluorophore design, particularly by attaching protective and anti-fading groups, creating proper medium conditions in liquid, solid and nanoscale environments. The special conditions for biological labeling, sensing and imaging are outlined.","author":[{"dropping-particle":"","family":"Demchenko","given":"Alexander P.","non-dropping-particle":"","parse-names":false,"suffix":""}],"container-title":"Methods and Applications in Fluorescence","id":"ITEM-1","issue":"2","issued":{"date-parts":[["2020"]]},"publisher":"IOP Publishing","title":"Photobleaching of organic fluorophores: Quantitative characterization, mechanisms, protection","type":"article-journal","volume":"8"},"uris":["http://www.mendeley.com/documents/?uuid=d0ae8e80-efb3-4fdf-9aea-d466aa249704"]}],"mendeley":{"formattedCitation":"&lt;sup&gt;303&lt;/sup&gt;","plainTextFormattedCitation":"303","previouslyFormattedCitation":"&lt;sup&gt;303&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303</w:t>
      </w:r>
      <w:r w:rsidRPr="000D3D4F">
        <w:rPr>
          <w:rFonts w:ascii="Arial" w:hAnsi="Arial" w:cs="Arial"/>
          <w:sz w:val="24"/>
          <w:szCs w:val="24"/>
        </w:rPr>
        <w:fldChar w:fldCharType="end"/>
      </w:r>
      <w:r w:rsidRPr="000D3D4F">
        <w:rPr>
          <w:rFonts w:ascii="Arial" w:hAnsi="Arial" w:cs="Arial"/>
          <w:sz w:val="24"/>
          <w:szCs w:val="24"/>
        </w:rPr>
        <w:t xml:space="preserve"> In contrast, nanoparticle light scattering imaging takes advantage of the inherent scattering properties of metallic nanoparticles. This property is not altered by laser exposure. Therefore, the nanoparticle light scattering signal does not photobleach. </w:t>
      </w:r>
    </w:p>
    <w:p w14:paraId="390B2BCC" w14:textId="130E9E9C"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hAnsi="Arial" w:cs="Arial"/>
          <w:sz w:val="24"/>
          <w:szCs w:val="24"/>
        </w:rPr>
        <w:t>To demonstrate this advantage, we first synthesized fluorescently tagged 55-nm AuNPs. We selected the organic fluorophore cyanine 5 (Cy5) for its commonly reported use in nanoparticle labeling.</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{"citationItems":[{"id":"ITEM-1","itemData":{"DOI":"10.1021/acsnano.1c07418","ISSN":"1936-0851","author":[{"dropping-particle":"","family":"Ho","given":"Lok Wai Cola","non-dropping-particle":"","parse-names":false,"suffix":""},{"dropping-particle":"","family":"Chan","given":"Cecilia Ka Wing","non-dropping-particle":"","parse-names":false,"suffix":""},{"dropping-particle":"","family":"Han","given":"Ruifang","non-dropping-particle":"","parse-names":false,"suffix":""},{"dropping-particle":"","family":"Lau","given":"Yolanda Fong Yung","non-dropping-particle":"","parse-names":false,"suffix":""},{"dropping-particle":"","family":"Li","given":"Huize","non-dropping-particle":"","parse-names":false,"suffix":""},{"dropping-particle":"","family":"Ho","given":"Yi-ping","non-dropping-particle":"","parse-names":false,"suffix":""},{"dropping-particle":"","family":"Zhuang","given":"Xiaohong","non-dropping-particle":"","parse-names":false,"suffix":""},{"dropping-particle":"","family":"Choi","given":"Chung Hang Jonathan","non-dropping-particle":"","parse-names":false,"suffix":""}],"container-title":"ACS Nano","id":"ITEM-1","issued":{"date-parts":[["2022","2","9"]]},"page":"acsnano.1c07418","title":"Mammalian Cells Exocytose Alkylated Gold Nanoparticles via Extracellular Vesicles","type":"article-journal"},"uris":["http://www.mendeley.com/documents/?uuid=9e95fe12-552b-426a-a20b-c42b425f552b"]},{"id":"ITEM-2","itemData":{"DOI":"10.1038/s41598-020-59146-5","ISBN":"4159802059146","ISSN":"20452322","PMID":"32047170","abstract":"Mortality of glioblastoma multiforme (GBM) has not improved over the last two decades despite medical breakthroughs in the treatment of other types of cancers. Nanoparticles hold tremendous promise to overcome the pharmacokinetic challenges and off-target adverse effects. However, an inhibitory effect of nanoparticles by themselves on metastasis has not been explored. In this study, we developed transferrin-conjugated porous silicon nanoparticles (Tf@pSiNP) and studied their effect on inhibiting GBM migration by means of a microfluidic-based migration chip. This platform, designed to mimic the tight extracellular migration tracts in brain parenchyma, allowed high-content time-resolved imaging of cell migration. Tf@pSiNP were colloidally stable, biocompatible, and their uptake into GBM cells was enhanced by receptor-mediated internalisation. The migration of Tf@pSiNP-exposed cells across the confined microchannels was suppressed, but unconfined migration was unaffected. The pSiNP-induced destabilisation of focal adhesions at the leading front may partially explain the migration inhibition. More corroborating evidence suggests that pSiNP uptake reduced the plasticity of GBM cells in reducing cell volume, an effect that proved crucial in facilitating migration across the tight confined tracts. We believe that the inhibitory effect of Tf@pSiNP on cell migration, together with the drug-delivery capability of pSiNP, could potentially offer a disruptive strategy to treat GBM.","author":[{"dropping-particle":"","family":"Sheykhzadeh","given":"Sana","non-dropping-particle":"","parse-names":false,"suffix":""},{"dropping-particle":"","family":"Luo","given":"Meihua","non-dropping-particle":"","parse-names":false,"suffix":""},{"dropping-particle":"","family":"Peng","given":"Bo","non-dropping-particle":"","parse-names":false,"suffix":""},{"dropping-particle":"","family":"White","given":"Jacinta","non-dropping-particle":"","parse-names":false,"suffix":""},{"dropping-particle":"","family":"Abdalla","given":"Youssef","non-dropping-particle":"","parse-names":false,"suffix":""},{"dropping-particle":"","family":"Tang","given":"Tweety","non-dropping-particle":"","parse-names":false,"suffix":""},{"dropping-particle":"","family":"Mäkilä","given":"Ermei","non-dropping-particle":"","parse-names":false,"suffix":""},{"dropping-particle":"","family":"Voelcker","given":"Nicolas H.","non-dropping-particle":"","parse-names":false,"suffix":""},{"dropping-particle":"","family":"Tong","given":"Wing Yin","non-dropping-particle":"","parse-names":false,"suffix":""}],"container-title":"Scientific Reports","id":"ITEM-2","issue":"1","issued":{"date-parts":[["2020"]]},"page":"1-16","title":"Transferrin-targeted porous silicon nanoparticles reduce glioblastoma cell migration across tight extracellular space","type":"article-journal","volume":"10"},"uris":["http://www.mendeley.com/documents/?uuid=b916e80a-f3f3-457b-80bd-cf2f7b988e6d"]},{"id":"ITEM-3","itemData":{"DOI":"10.1021/acsnano.9b01383","ISSN":"1936086X","PMID":"30990673","abstract":"Understanding how nanoparticles are eliminated from the body is required for their successful clinical translation. Many promising nanoparticle formulations for in vivo medical applications are large (&gt;5.5 nm) and nonbiodegradable, so they cannot be eliminated renally. A proposed pathway for these nanoparticles is hepatobiliary elimination, but their transport has not been well-studied. Here, we explored the barriers that determined the elimination of nanoparticles through the hepatobiliary route. The route of hepatobiliary elimination is usually through the following pathway: (1) liver sinusoid, (2) space of Disse, (3) hepatocytes, (4) bile ducts, (5) intestines, and (6) out of the body. We discovered that the interaction of nanoparticles with liver nonparenchymal cells (e.g., Kupffer cells and liver sinusoidal endothelial cells) determines the elimination fate. Each step in the route contains cells that can sequester and chemically or physically alter the nanoparticles, which influences their fecal elimination. We showed that the removal of Kupffer cells increased fecal elimination by &gt;10 times. Combining our results with those of prior studies, we can start to build a systematic view of nanoparticle elimination pathways as it relates to particle size and other design parameters. This is critical to engineering medically useful and translatable nanotechnologies.","author":[{"dropping-particle":"","family":"Poon","given":"Wilson","non-dropping-particle":"","parse-names":false,"suffix":""},{"dropping-particle":"","family":"Zhang","given":"Yi Nan","non-dropping-particle":"","parse-names":false,"suffix":""},{"dropping-particle":"","family":"Ouyang","given":"Ben","non-dropping-particle":"","parse-names":false,"suffix":""},{"dropping-particle":"","family":"Kingston","given":"Benjamin R.","non-dropping-particle":"","parse-names":false,"suffix":""},{"dropping-particle":"","family":"Wu","given":"Jamie L.Y.","non-dropping-particle":"","parse-names":false,"suffix":""},{"dropping-particle":"","family":"Wilhelm","given":"Stefan","non-dropping-particle":"","parse-names":false,"suffix":""},{"dropping-particle":"","family":"Chan","given":"Warren C.W.","non-dropping-particle":"","parse-names":false,"suffix":""}],"container-title":"ACS Nano","id":"ITEM-3","issue":"5","issued":{"date-parts":[["2019"]]},"page":"5785-5798","title":"Elimination Pathways of Nanoparticles","type":"article-journal","volume":"13"},"uris":["http://www.mendeley.com/documents/?uuid=1f000d8f-4b3a-45f3-a5c9-e7cd468313a1"]},{"id":"ITEM-4","itemData":{"DOI":"10.1021/acsnano.6b01879","ISSN":"1936086X","abstract":"The role of tissue architecture in mediating nanoparticle transport, targeting, and biological effects is unknown due to the lack of tools for imaging nanomaterials in whole organs. Here, we developed a rapid optical mapping technique to image nanomaterials in intact organs ex vivo and in three-dimensions (3D). We engineered a high-throughput electrophoretic flow device to simultaneously transform up to 48 tissues into optically transparent structures, allowing subcellular imaging of nanomaterials more than 1 mm deep into tissues which is 25-fold greater than current techniques. A key finding is that nanomaterials can be retained in the processed tissue by chemical cross-linking of surface adsorbed serum proteins to the tissue matrix, which enables nanomaterials to be imaged with respect to cells, blood vessels, and other structures. We developed a computational algorithm to analyze and quantitatively map nanomaterial distribution. This method can be universally applied to visualize the distribution and interactions of materials in whole tissues and animals including such applications as the imaging of nanomaterials, tissue engineered constructs, and biosensors within their intact biological environment.","author":[{"dropping-particle":"","family":"Sindhwani","given":"Shrey","non-dropping-particle":"","parse-names":false,"suffix":""},{"dropping-particle":"","family":"Syed","given":"Abdullah Muhammad","non-dropping-particle":"","parse-names":false,"suffix":""},{"dropping-particle":"","family":"Wilhelm","given":"Stefan","non-dropping-particle":"","parse-names":false,"suffix":""},{"dropping-particle":"","family":"Glancy","given":"Dylan R.","non-dropping-particle":"","parse-names":false,"suffix":""},{"dropping-particle":"","family":"Chen","given":"Yih Yang","non-dropping-particle":"","parse-names":false,"suffix":""},{"dropping-particle":"","family":"Dobosz","given":"Michael","non-dropping-particle":"","parse-names":false,"suffix":""},{"dropping-particle":"","family":"Chan","given":"Warren C.W.","non-dropping-particle":"","parse-names":false,"suffix":""}],"container-title":"ACS Nano","id":"ITEM-4","issue":"5","issued":{"date-parts":[["2016"]]},"page":"5468-5478","title":"Three-Dimensional Optical Mapping of Nanoparticle Distribution in Intact Tissues","type":"article-journal","volume":"10"},"uris":["http://www.mendeley.com/documents/?uuid=11dc3ec6-06c6-4841-8057-19002e5bc809"]}],"mendeley":{"formattedCitation":"&lt;sup&gt;262,304–306&lt;/sup&gt;","plainTextFormattedCitation":"262,304–306","previouslyFormattedCitation":"&lt;sup&gt;262,304–306&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262,304–306</w:t>
      </w:r>
      <w:r w:rsidRPr="000D3D4F">
        <w:rPr>
          <w:rFonts w:ascii="Arial" w:hAnsi="Arial" w:cs="Arial"/>
          <w:sz w:val="24"/>
          <w:szCs w:val="24"/>
        </w:rPr>
        <w:fldChar w:fldCharType="end"/>
      </w:r>
      <w:r w:rsidRPr="000D3D4F">
        <w:rPr>
          <w:rFonts w:ascii="Arial" w:hAnsi="Arial" w:cs="Arial"/>
          <w:sz w:val="24"/>
          <w:szCs w:val="24"/>
        </w:rPr>
        <w:t xml:space="preserve"> </w:t>
      </w:r>
      <w:r w:rsidRPr="000D3D4F">
        <w:rPr>
          <w:rFonts w:ascii="Arial" w:eastAsiaTheme="minorEastAsia" w:hAnsi="Arial" w:cs="Arial"/>
          <w:sz w:val="24"/>
          <w:szCs w:val="24"/>
        </w:rPr>
        <w:t>Using DLS, we measured an increase in the average hydrodynamic diameter of these nanoparticles compared to citrate-coated AuNPs by 44.3 +/- 3.0 nm, confirming the successful preparation of Cy5-PEG-AuNPs (Table S1) (</w:t>
      </w:r>
      <w:r w:rsidRPr="000D3D4F">
        <w:rPr>
          <w:rFonts w:ascii="Arial" w:eastAsiaTheme="minorEastAsia" w:hAnsi="Arial" w:cs="Arial"/>
          <w:i/>
          <w:iCs/>
          <w:sz w:val="24"/>
          <w:szCs w:val="24"/>
        </w:rPr>
        <w:t>n</w:t>
      </w:r>
      <w:r w:rsidRPr="000D3D4F">
        <w:rPr>
          <w:rFonts w:ascii="Arial" w:eastAsiaTheme="minorEastAsia" w:hAnsi="Arial" w:cs="Arial"/>
          <w:sz w:val="24"/>
          <w:szCs w:val="24"/>
        </w:rPr>
        <w:t xml:space="preserve">=3). </w:t>
      </w:r>
      <w:bookmarkStart w:id="35" w:name="_Hlk129766337"/>
      <w:r w:rsidRPr="000D3D4F">
        <w:rPr>
          <w:rFonts w:ascii="Arial" w:eastAsiaTheme="minorEastAsia" w:hAnsi="Arial" w:cs="Arial"/>
          <w:sz w:val="24"/>
          <w:szCs w:val="24"/>
        </w:rPr>
        <w:t>To verify the functionality of the Cy5 fluorophore on the nanoparticle surface, we ran an agarose gel electrophoresis experiment to visualize the variations in migration distances compared to different groups as well as their corresponding fluorescence emissions through a 0.5% agarose gel (Figure S</w:t>
      </w:r>
      <w:r w:rsidR="000E44BA">
        <w:rPr>
          <w:rFonts w:ascii="Arial" w:eastAsiaTheme="minorEastAsia" w:hAnsi="Arial" w:cs="Arial"/>
          <w:sz w:val="24"/>
          <w:szCs w:val="24"/>
        </w:rPr>
        <w:t>2.</w:t>
      </w:r>
      <w:r w:rsidRPr="000D3D4F">
        <w:rPr>
          <w:rFonts w:ascii="Arial" w:eastAsiaTheme="minorEastAsia" w:hAnsi="Arial" w:cs="Arial"/>
          <w:sz w:val="24"/>
          <w:szCs w:val="24"/>
        </w:rPr>
        <w:t xml:space="preserve">7a). </w:t>
      </w:r>
      <w:bookmarkStart w:id="36" w:name="_Hlk129729887"/>
      <w:bookmarkEnd w:id="35"/>
      <w:r w:rsidRPr="000D3D4F">
        <w:rPr>
          <w:rFonts w:ascii="Arial" w:eastAsiaTheme="minorEastAsia" w:hAnsi="Arial" w:cs="Arial"/>
          <w:sz w:val="24"/>
          <w:szCs w:val="24"/>
        </w:rPr>
        <w:t>We then further validated the functionality of the Cy5 fluorophore on the nanoparticle surface by measuring the fluorescence emission spectra of Cy5-AuNPs, PEG-AuNPs, and Cy5-PEG using a spectrofluorometer. The results demonstrated highly similar fluorescence emission spectra from the Cy5-AuNPs and the Cy5-PEG with minimal detected emission from the PEG-AuNPs (Figure S</w:t>
      </w:r>
      <w:r w:rsidR="000E44BA">
        <w:rPr>
          <w:rFonts w:ascii="Arial" w:eastAsiaTheme="minorEastAsia" w:hAnsi="Arial" w:cs="Arial"/>
          <w:sz w:val="24"/>
          <w:szCs w:val="24"/>
        </w:rPr>
        <w:t>2.</w:t>
      </w:r>
      <w:r w:rsidRPr="000D3D4F">
        <w:rPr>
          <w:rFonts w:ascii="Arial" w:eastAsiaTheme="minorEastAsia" w:hAnsi="Arial" w:cs="Arial"/>
          <w:sz w:val="24"/>
          <w:szCs w:val="24"/>
        </w:rPr>
        <w:t>7b).</w:t>
      </w:r>
      <w:bookmarkEnd w:id="36"/>
    </w:p>
    <w:p w14:paraId="7C9BFF55" w14:textId="75FFA3D7"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eastAsiaTheme="minorEastAsia" w:hAnsi="Arial" w:cs="Arial"/>
          <w:sz w:val="24"/>
          <w:szCs w:val="24"/>
        </w:rPr>
        <w:t>We then incubated 4T1 cells with Cy5-PEG AuNPs for 24 hours. Figure S</w:t>
      </w:r>
      <w:r w:rsidR="000E44BA">
        <w:rPr>
          <w:rFonts w:ascii="Arial" w:eastAsiaTheme="minorEastAsia" w:hAnsi="Arial" w:cs="Arial"/>
          <w:sz w:val="24"/>
          <w:szCs w:val="24"/>
        </w:rPr>
        <w:t>2.</w:t>
      </w:r>
      <w:r w:rsidRPr="000D3D4F">
        <w:rPr>
          <w:rFonts w:ascii="Arial" w:eastAsiaTheme="minorEastAsia" w:hAnsi="Arial" w:cs="Arial"/>
          <w:sz w:val="24"/>
          <w:szCs w:val="24"/>
        </w:rPr>
        <w:t xml:space="preserve">8a shows the same group of cells imaged over a 30-minute timelapse at an imaging rate of 1 image/minute. Here, the Cy5 fluorescence signal noticeably decreased in intensity throughout the timelapse, while the nanoparticle light scattering signal did not. We </w:t>
      </w:r>
      <w:r w:rsidRPr="000D3D4F">
        <w:rPr>
          <w:rFonts w:ascii="Arial" w:eastAsiaTheme="minorEastAsia" w:hAnsi="Arial" w:cs="Arial"/>
          <w:sz w:val="24"/>
          <w:szCs w:val="24"/>
        </w:rPr>
        <w:lastRenderedPageBreak/>
        <w:t>quantified these results by measuring the signal intensities of both channels in individual cells across the timelapse with ImageJ. Figure S</w:t>
      </w:r>
      <w:r w:rsidR="000E44BA">
        <w:rPr>
          <w:rFonts w:ascii="Arial" w:eastAsiaTheme="minorEastAsia" w:hAnsi="Arial" w:cs="Arial"/>
          <w:sz w:val="24"/>
          <w:szCs w:val="24"/>
        </w:rPr>
        <w:t>2.</w:t>
      </w:r>
      <w:r w:rsidRPr="000D3D4F">
        <w:rPr>
          <w:rFonts w:ascii="Arial" w:eastAsiaTheme="minorEastAsia" w:hAnsi="Arial" w:cs="Arial"/>
          <w:sz w:val="24"/>
          <w:szCs w:val="24"/>
        </w:rPr>
        <w:t xml:space="preserve">8b demonstrates a clear imperviousness of light scattering signals to photobleaching, while the Cy5 fluorescence intensity dropped by over 50% throughout the timelapse. </w:t>
      </w:r>
    </w:p>
    <w:p w14:paraId="079F5200" w14:textId="1A0ABECB" w:rsidR="000D3D4F" w:rsidRPr="000D3D4F" w:rsidRDefault="000D3D4F" w:rsidP="000D3D4F">
      <w:pPr>
        <w:spacing w:line="480" w:lineRule="auto"/>
        <w:ind w:firstLine="360"/>
        <w:jc w:val="both"/>
        <w:rPr>
          <w:rFonts w:ascii="Arial" w:eastAsiaTheme="minorEastAsia" w:hAnsi="Arial" w:cs="Arial"/>
          <w:sz w:val="24"/>
          <w:szCs w:val="24"/>
        </w:rPr>
      </w:pPr>
      <w:r w:rsidRPr="000D3D4F">
        <w:rPr>
          <w:rFonts w:ascii="Arial" w:eastAsiaTheme="minorEastAsia" w:hAnsi="Arial" w:cs="Arial"/>
          <w:sz w:val="24"/>
          <w:szCs w:val="24"/>
        </w:rPr>
        <w:t>The imperviousness of nanoparticle light scattering imaging to photobleaching is particularly advantageous for expansion microscopy, given that large Z-stacks with many sections are required for the 3D imaging of expanded cells. Depending on the cell thickness and step size determined by the optical section thickness,</w:t>
      </w:r>
      <w:r w:rsidRPr="000D3D4F">
        <w:rPr>
          <w:rFonts w:ascii="Arial" w:eastAsiaTheme="minorEastAsia" w:hAnsi="Arial" w:cs="Arial"/>
          <w:sz w:val="24"/>
          <w:szCs w:val="24"/>
        </w:rPr>
        <w:fldChar w:fldCharType="begin" w:fldLock="1"/>
      </w:r>
      <w:r w:rsidR="008C387C">
        <w:rPr>
          <w:rFonts w:ascii="Arial" w:eastAsiaTheme="minorEastAsia" w:hAnsi="Arial" w:cs="Arial"/>
          <w:sz w:val="24"/>
          <w:szCs w:val="24"/>
        </w:rPr>
        <w:instrText>ADDIN CSL_CITATION {"citationItems":[{"id":"ITEM-1","itemData":{"DOI":"10.1002/smtd.202100279","ISSN":"23669608","PMID":"34928004","abstract":"Mapping the biochemical composition of eukaryotic cells without the use of exogenous labels is a long-sought objective in cell biology. Recently, it has been shown that composition maps on dry single bacterial cells with nanoscale spatial resolution can be inferred from quantitative nanoscale dielectric constant maps obtained with the scanning dielectric microscope. Here, it is shown that this approach can also be applied to the much more challenging case of fixed and dry eukaryotic cells, which are highly heterogeneous and show micrometric topographic variations. More importantly, it is demonstrated that the main bottleneck of the technique (the long computation times required to extract the nanoscale dielectric constant maps) can be shortcut by using supervised neural networks, decreasing them from weeks to seconds in a wokstation computer. This easy-to-use data-driven approach opens the door for in situ and on-the-fly label free nanoscale composition mapping of eukaryotic cells with scanning dielectric microscopy.","author":[{"dropping-particle":"","family":"Checa","given":"Martí","non-dropping-particle":"","parse-names":false,"suffix":""},{"dropping-particle":"","family":"Millan-Solsona","given":"Ruben","non-dropping-particle":"","parse-names":false,"suffix":""},{"dropping-particle":"","family":"Mares","given":"Adrianna Glinkowska","non-dropping-particle":"","parse-names":false,"suffix":""},{"dropping-particle":"","family":"Pujals","given":"Silvia","non-dropping-particle":"","parse-names":false,"suffix":""},{"dropping-particle":"","family":"Gomila","given":"Gabriel","non-dropping-particle":"","parse-names":false,"suffix":""}],"container-title":"Small Methods","id":"ITEM-1","issue":"7","issued":{"date-parts":[["2021"]]},"title":"Fast Label-Free Nanoscale Composition Mapping of Eukaryotic Cells Via Scanning Dielectric Force Volume Microscopy and Machine Learning","type":"article-journal","volume":"5"},"uris":["http://www.mendeley.com/documents/?uuid=b848f314-f6be-42a1-97e2-ab5bd7b680c8"]},{"id":"ITEM-2","itemData":{"DOI":"10.1038/s41596-020-0313-9","ISSN":"17502799","PMID":"32235926","abstract":"When used appropriately, a confocal fluorescence microscope is an excellent tool for making quantitative measurements in cells and tissues. The confocal microscope’s ability to block out-of-focus light and thereby perform optical sectioning through a specimen allows the researcher to quantify fluorescence with very high spatial precision. However, generating meaningful data using confocal microscopy requires careful planning and a thorough understanding of the technique. In this tutorial, the researcher is guided through all aspects of acquiring quantitative confocal microscopy images, including optimizing sample preparation for fixed and live cells, choosing the most suitable microscope for a given application and configuring the microscope parameters. Suggestions are offered for planning unbiased and rigorous confocal microscope experiments. Common pitfalls such as photobleaching and cross-talk are addressed, as well as several troubling instrumentation problems that may prevent the acquisition of quantitative data. Finally, guidelines for analyzing and presenting confocal images in a way that maintains the quantitative nature of the data are presented, and statistical analysis is discussed. A visual summary of this tutorial is available as a poster (https://doi.org/10.1038/s41596-020-0307-7).","author":[{"dropping-particle":"","family":"Jonkman","given":"James","non-dropping-particle":"","parse-names":false,"suffix":""},{"dropping-particle":"","family":"Brown","given":"Claire M.","non-dropping-particle":"","parse-names":false,"suffix":""},{"dropping-particle":"","family":"Wright","given":"Graham D.","non-dropping-particle":"","parse-names":false,"suffix":""},{"dropping-particle":"","family":"Anderson","given":"Kurt I.","non-dropping-particle":"","parse-names":false,"suffix":""},{"dropping-particle":"","family":"North","given":"Alison J.","non-dropping-particle":"","parse-names":false,"suffix":""}],"container-title":"Nature Protocols","id":"ITEM-2","issue":"5","issued":{"date-parts":[["2020"]]},"page":"1585-1611","publisher":"Springer US","title":"Tutorial: guidance for quantitative confocal microscopy","type":"article-journal","volume":"15"},"uris":["http://www.mendeley.com/documents/?uuid=caa75207-8978-402c-a578-41eee65973ff"]}],"mendeley":{"formattedCitation":"&lt;sup&gt;277,307&lt;/sup&gt;","plainTextFormattedCitation":"277,307","previouslyFormattedCitation":"&lt;sup&gt;277,307&lt;/sup&gt;"},"properties":{"noteIndex":0},"schema":"https://github.com/citation-style-language/schema/raw/master/csl-citation.json"}</w:instrText>
      </w:r>
      <w:r w:rsidRPr="000D3D4F">
        <w:rPr>
          <w:rFonts w:ascii="Arial" w:eastAsiaTheme="minorEastAsia" w:hAnsi="Arial" w:cs="Arial"/>
          <w:sz w:val="24"/>
          <w:szCs w:val="24"/>
        </w:rPr>
        <w:fldChar w:fldCharType="separate"/>
      </w:r>
      <w:r w:rsidR="009D7D40" w:rsidRPr="009D7D40">
        <w:rPr>
          <w:rFonts w:ascii="Arial" w:eastAsiaTheme="minorEastAsia" w:hAnsi="Arial" w:cs="Arial"/>
          <w:noProof/>
          <w:sz w:val="24"/>
          <w:szCs w:val="24"/>
          <w:vertAlign w:val="superscript"/>
        </w:rPr>
        <w:t>277,307</w:t>
      </w:r>
      <w:r w:rsidRPr="000D3D4F">
        <w:rPr>
          <w:rFonts w:ascii="Arial" w:eastAsiaTheme="minorEastAsia" w:hAnsi="Arial" w:cs="Arial"/>
          <w:sz w:val="24"/>
          <w:szCs w:val="24"/>
        </w:rPr>
        <w:fldChar w:fldCharType="end"/>
      </w:r>
      <w:r w:rsidRPr="000D3D4F">
        <w:rPr>
          <w:rFonts w:ascii="Arial" w:eastAsiaTheme="minorEastAsia" w:hAnsi="Arial" w:cs="Arial"/>
          <w:sz w:val="24"/>
          <w:szCs w:val="24"/>
        </w:rPr>
        <w:t xml:space="preserve"> an average non-expanded eukaryotic cell may take around 10-20 Z-steps to image at a high objective. Following an isotropic 4X expansion, 40-80 Z-steps would be needed to image an expanded cell at the same step size. The repeated exposure to the laser excitation light can cause the emission of typical fluorophores bound to the surface of nanoparticles to photobleach throughout the Z-stack acquisition. This sequential data acquisition process inherently results in signal intensities toward the top of the cell being significantly weaker than the ones detected near the bottom of the cell. Such differences in signal intensities from nanoparticles throughout a single image stack would make quantitative signal intensity analysis unreliable, demonstrating an additional advantage of nanoparticle light scattering imaging for expansion microscopy. </w:t>
      </w:r>
    </w:p>
    <w:p w14:paraId="06196FB1" w14:textId="77777777" w:rsidR="000D3D4F" w:rsidRPr="000D3D4F" w:rsidRDefault="000D3D4F" w:rsidP="000D3D4F">
      <w:pPr>
        <w:spacing w:line="480" w:lineRule="auto"/>
        <w:jc w:val="both"/>
        <w:rPr>
          <w:rFonts w:ascii="Arial" w:eastAsiaTheme="minorEastAsia" w:hAnsi="Arial" w:cs="Arial"/>
          <w:sz w:val="24"/>
          <w:szCs w:val="24"/>
        </w:rPr>
      </w:pPr>
    </w:p>
    <w:p w14:paraId="18DE9ACA" w14:textId="0B1A922C" w:rsidR="000D3D4F" w:rsidRDefault="000D3D4F" w:rsidP="00721691">
      <w:pPr>
        <w:pStyle w:val="Heading3"/>
        <w:rPr>
          <w:rFonts w:eastAsiaTheme="minorEastAsia"/>
        </w:rPr>
      </w:pPr>
      <w:bookmarkStart w:id="37" w:name="_Toc151032424"/>
      <w:r>
        <w:rPr>
          <w:rFonts w:eastAsiaTheme="minorEastAsia"/>
        </w:rPr>
        <w:t xml:space="preserve">2.2.5 </w:t>
      </w:r>
      <w:r w:rsidRPr="000D3D4F">
        <w:rPr>
          <w:rFonts w:eastAsiaTheme="minorEastAsia"/>
        </w:rPr>
        <w:t>Combining expansion microscopy with nanoparticle light scattering imaging</w:t>
      </w:r>
      <w:bookmarkEnd w:id="37"/>
    </w:p>
    <w:p w14:paraId="3A471B36" w14:textId="77777777" w:rsidR="00721691" w:rsidRPr="00721691" w:rsidRDefault="00721691" w:rsidP="00721691"/>
    <w:p w14:paraId="2EE507C8" w14:textId="3CDB063E" w:rsidR="000D3D4F" w:rsidRPr="000D3D4F" w:rsidRDefault="000D3D4F" w:rsidP="000E442D">
      <w:pPr>
        <w:spacing w:line="480" w:lineRule="auto"/>
        <w:ind w:firstLine="360"/>
        <w:jc w:val="both"/>
        <w:rPr>
          <w:rFonts w:ascii="Arial" w:hAnsi="Arial" w:cs="Arial"/>
          <w:sz w:val="24"/>
          <w:szCs w:val="24"/>
        </w:rPr>
      </w:pPr>
      <w:r w:rsidRPr="000D3D4F">
        <w:rPr>
          <w:rFonts w:ascii="Arial" w:hAnsi="Arial" w:cs="Arial"/>
          <w:sz w:val="24"/>
          <w:szCs w:val="24"/>
        </w:rPr>
        <w:t xml:space="preserve">Next, we asked whether we could combine fluorescent labeling of cells with label-free scattered light imaging of nanoparticles to determine cell uptake and intracellular </w:t>
      </w:r>
      <w:r w:rsidRPr="000D3D4F">
        <w:rPr>
          <w:rFonts w:ascii="Arial" w:hAnsi="Arial" w:cs="Arial"/>
          <w:sz w:val="24"/>
          <w:szCs w:val="24"/>
        </w:rPr>
        <w:lastRenderedPageBreak/>
        <w:t>nanoparticle distributions. We observed that the nanoparticles could be visualized in their original relative positions within cells after the hydrogel expansion. This observation is likely due to the nanoparticle protein corona being crosslinked into the polyacrylamide-based gel matrix introduced during the proExM procedure. During this process, the cellular proteome is covalently attached to the gel matrix via Acryloyl-X, SE, a small molecule that binds to primary amines in proteins. The labeled proteins are crosslinked similarly into the gel matrix as the acrylamide monomers.</w:t>
      </w:r>
      <w:r w:rsidRPr="000D3D4F">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{"citationItems":[{"id":"ITEM-1","itemData":{"DOI":"10.1002/cpcb.56","ISSN":"19342616","abstract":"Expansion microscopy (ExM) is a recently developed technique that enables nanoscale-resolution imaging of preserved cells and tissues on conventional diffraction-limited microscopes via isotropic physical expansion of the specimens before imaging. In ExM, biomolecules and/or fluorescent labels in the specimen are linked to a dense, expandable polymer matrix synthesized evenly throughout the specimen, which undergoes 3-dimensional expansion by </w:instrText>
      </w:r>
      <w:r w:rsidR="008C387C">
        <w:rPr>
          <w:rFonts w:ascii="Cambria Math" w:hAnsi="Cambria Math" w:cs="Cambria Math"/>
          <w:sz w:val="24"/>
          <w:szCs w:val="24"/>
        </w:rPr>
        <w:instrText>∼</w:instrText>
      </w:r>
      <w:r w:rsidR="008C387C">
        <w:rPr>
          <w:rFonts w:ascii="Arial" w:hAnsi="Arial" w:cs="Arial"/>
          <w:sz w:val="24"/>
          <w:szCs w:val="24"/>
        </w:rPr>
        <w:instrText>4.5 fold linearly when immersed in water. Since our first report, versions of ExM optimized for visualization of proteins, RNA, and other biomolecules have emerged. Here we describe best-practice, step-by-step ExM protocols for performing analysis of proteins (protein retention ExM, or proExM) as well as RNAs (expansion fluorescence in situ hybridization, or ExFISH), using chemicals and hardware found in a typical biology lab. Furthermore, a detailed protocol for handling and mounting expanded samples and for imaging them with confocal and light-sheet microscopes is provided. © 2018 by John Wiley &amp; Sons, Inc.","author":[{"dropping-particle":"","family":"Asano","given":"Shoh M.","non-dropping-particle":"","parse-names":false,"suffix":""},{"dropping-particle":"","family":"Gao","given":"Ruixuan","non-dropping-particle":"","parse-names":false,"suffix":""},{"dropping-particle":"","family":"Wassie","given":"Asmamaw T.","non-dropping-particle":"","parse-names":false,"suffix":""},{"dropping-particle":"","family":"Tillberg","given":"Paul W.","non-dropping-particle":"","parse-names":false,"suffix":""},{"dropping-particle":"","family":"Chen","given":"Fei","non-dropping-particle":"","parse-names":false,"suffix":""},{"dropping-particle":"","family":"Boyden","given":"Edward S.","non-dropping-particle":"","parse-names":false,"suffix":""}],"container-title":"Current Protocols in Cell Biology","id":"ITEM-1","issue":"1","issued":{"date-parts":[["2018"]]},"page":"1-41","title":"Expansion Microscopy: Protocols for Imaging Proteins and RNA in Cells and Tissues","type":"article-journal","volume":"80"},"uris":["http://www.mendeley.com/documents/?uuid=5b441f14-4fba-4b6e-91c8-060c0441e136"]}],"mendeley":{"formattedCitation":"&lt;sup&gt;294&lt;/sup&gt;","plainTextFormattedCitation":"294","previouslyFormattedCitation":"&lt;sup&gt;294&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294</w:t>
      </w:r>
      <w:r w:rsidRPr="000D3D4F">
        <w:rPr>
          <w:rFonts w:ascii="Arial" w:hAnsi="Arial" w:cs="Arial"/>
          <w:sz w:val="24"/>
          <w:szCs w:val="24"/>
        </w:rPr>
        <w:fldChar w:fldCharType="end"/>
      </w:r>
      <w:r w:rsidRPr="000D3D4F">
        <w:rPr>
          <w:rFonts w:ascii="Arial" w:hAnsi="Arial" w:cs="Arial"/>
          <w:sz w:val="24"/>
          <w:szCs w:val="24"/>
        </w:rPr>
        <w:t xml:space="preserve"> </w:t>
      </w:r>
    </w:p>
    <w:p w14:paraId="236859AD" w14:textId="27DF408C"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We can use this behavior to crosslink proteins on the nanoparticle surface within the polyacrylamide-based gel. Nanoparticles form a protein corona upon encountering biological fluids. This corona represents a protein shell that spontaneously forms around the nanoparticle surface.</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{"citationItems":[{"id":"ITEM-1","itemData":{"DOI":"10.1021/acs.nanolett.8b03434","ISSN":"15306992","PMID":"30525697","abstract":"Nanoparticles are engineered from materials such as metals, polymers, and different carbon allotropes that do not exist within the body. Exposure to these exogenous compounds raises concerns surrounding toxicity, inflammation, and immune activation. These responses could potentially be mitigated by synthesizing nanoparticles directly from molecules derived from the host. However, efforts to assemble patient-derived macromolecules into structures with the same degree of size and shape tunability as their exogenous counterparts remains a significant challenge. Here we solve this problem by creating a new class of size- and shape-tunable personalized protein nanoparticles (PNP) made entirely from patient-derived proteins. PNPs are built into different sizes and shapes with the same degree of tunability as gold nanoparticles. They are biodegradable and do not activate innate or adaptive immunity following single and repeated administrations in vivo. PNPs can be further modified with specific protein cargos that remain catalytically active even after intracellular delivery in vivo. Finally, we demonstrate that PNPs created from different human patients have unique molecular fingerprints encoded directly into the structure of the nanoparticle. This new class of personalized nanomaterial has the potential to revolutionize how we treat patients and can become an integral component in the diagnostic and therapeutic toolbox.","author":[{"dropping-particle":"","family":"Lazarovits","given":"James","non-dropping-particle":"","parse-names":false,"suffix":""},{"dropping-particle":"","family":"Chen","given":"Yih Yang","non-dropping-particle":"","parse-names":false,"suffix":""},{"dropping-particle":"","family":"Song","given":"Fayi","non-dropping-particle":"","parse-names":false,"suffix":""},{"dropping-particle":"","family":"Ngo","given":"Wayne","non-dropping-particle":"","parse-names":false,"suffix":""},{"dropping-particle":"","family":"Tavares","given":"Anthony J","non-dropping-particle":"","parse-names":false,"suffix":""},{"dropping-particle":"","family":"Zhang","given":"Yi Nan","non-dropping-particle":"","parse-names":false,"suffix":""},{"dropping-particle":"","family":"Audet","given":"Julie","non-dropping-particle":"","parse-names":false,"suffix":""},{"dropping-particle":"","family":"Tang","given":"Bo","non-dropping-particle":"","parse-names":false,"suffix":""},{"dropping-particle":"","family":"Lin","given":"Qiaochu","non-dropping-particle":"","parse-names":false,"suffix":""},{"dropping-particle":"","family":"Cruz Tleugabulova","given":"Mayra","non-dropping-particle":"","parse-names":false,"suffix":""},{"dropping-particle":"","family":"Wilhelm","given":"Stefan","non-dropping-particle":"","parse-names":false,"suffix":""},{"dropping-particle":"","family":"Krieger","given":"Jonathan R","non-dropping-particle":"","parse-names":false,"suffix":""},{"dropping-particle":"","family":"Mallevaey","given":"Thierry","non-dropping-particle":"","parse-names":false,"suffix":""},{"dropping-particle":"","family":"Chan","given":"Warren C.W.","non-dropping-particle":"","parse-names":false,"suffix":""}],"container-title":"Nano Letters","id":"ITEM-1","issue":"1","issued":{"date-parts":[["2019","1","9"]]},"page":"116-123","title":"Synthesis of Patient-Specific Nanomaterials","type":"article-journal","volume":"19"},"uris":["http://www.mendeley.com/documents/?uuid=6c9fc22c-a725-48f5-b56e-74c3b36f6965"]},{"id":"ITEM-2","itemData":{"DOI":"10.2147/IJN.S129300","ISSN":"1178-2013","abstract":"© 2017 Nguyen and Lee. After administration of nanoparticle (NP) into biological fluids, an NP-protein complex is formed, which represents the “true identity” of NP in our body. Hence, protein-NP interaction should be carefully investigated to predict and control the fate of NPs or drug-loaded NPs, including systemic circulation, biodistribution, and bioavailability. In this review, we mainly focus on the formation of protein corona and its potential applications in pharmaceutical sciences such as prediction modeling based on NP-adsorbed proteins, usage of active proteins for modifying NP to achieve toxicity reduction, circulation time enhancement, and targeting effect. Validated correlative models for NP biological responses mainly based on protein corona fingerprints of NPs are more highly accurate than the models solely set up from NP properties. Based on these models, effectiveness as well as the toxicity of NPs can be predicted without in vivo tests, while novel cell receptors could be identified from prominent proteins which play important key roles in the models. The ungoverned protein adsorption onto NPs may have generally negative effects such as rapid clearance from the bloodstream, hindrance of targeting capacity, and induction of toxicity. In contrast, controlling protein adsorption by modifying NPs with diverse functional proteins or tailoring appropriate NPs which favor selective endogenous peptides and proteins will bring promising therapeutic benefits in drug delivery and targeted cancer treatment.","author":[{"dropping-particle":"","family":"Nguyen","given":"Van Hong","non-dropping-particle":"","parse-names":false,"suffix":""},{"dropping-particle":"","family":"Lee","given":"Beom-Jin","non-dropping-particle":"","parse-names":false,"suffix":""}],"container-title":"International Journal of Nanomedicine","id":"ITEM-2","issued":{"date-parts":[["2017","4","18"]]},"page":"3137-3151","publisher":"Dove Medical Press Ltd.","title":"Protein corona: a new approach for nanomedicine design","type":"article-journal","volume":"Volume 12"},"uris":["http://www.mendeley.com/documents/?uuid=98c04fd0-d14f-3b30-9207-ef85c17f1747"]}],"mendeley":{"formattedCitation":"&lt;sup&gt;19,156&lt;/sup&gt;","plainTextFormattedCitation":"19,156","previouslyFormattedCitation":"&lt;sup&gt;19,156&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19,156</w:t>
      </w:r>
      <w:r w:rsidRPr="000D3D4F">
        <w:rPr>
          <w:rFonts w:ascii="Arial" w:hAnsi="Arial" w:cs="Arial"/>
          <w:sz w:val="24"/>
          <w:szCs w:val="24"/>
        </w:rPr>
        <w:fldChar w:fldCharType="end"/>
      </w:r>
      <w:r w:rsidRPr="000D3D4F">
        <w:rPr>
          <w:rFonts w:ascii="Arial" w:hAnsi="Arial" w:cs="Arial"/>
          <w:sz w:val="24"/>
          <w:szCs w:val="24"/>
        </w:rPr>
        <w:t xml:space="preserve"> The corona proteins will crosslink into the polyacrylamide gel matrix during the Acryloyl-X, SE treatment, allowing the nanoparticles to become crosslinked and retained within these hydrogels. We confirmed the presence of surface proteins isolated from nanoparticle surfaces upon fetal bovine serum (FBS) incubation qualitatively with </w:t>
      </w:r>
      <w:bookmarkStart w:id="38" w:name="_Hlk145586304"/>
      <w:r w:rsidRPr="000D3D4F">
        <w:rPr>
          <w:rFonts w:ascii="Arial" w:hAnsi="Arial" w:cs="Arial"/>
          <w:sz w:val="24"/>
          <w:szCs w:val="24"/>
        </w:rPr>
        <w:t xml:space="preserve">sodium dodecyl sulfate-polyacrylamide gel electrophoresis </w:t>
      </w:r>
      <w:bookmarkEnd w:id="38"/>
      <w:r w:rsidRPr="000D3D4F">
        <w:rPr>
          <w:rFonts w:ascii="Arial" w:hAnsi="Arial" w:cs="Arial"/>
          <w:sz w:val="24"/>
          <w:szCs w:val="24"/>
        </w:rPr>
        <w:t>(SDS-PAGE). We used FBS as a model protein source since we performed the cell culture and nanoparticle incubation experiments using FBS. Figure S</w:t>
      </w:r>
      <w:r w:rsidR="000E44BA">
        <w:rPr>
          <w:rFonts w:ascii="Arial" w:hAnsi="Arial" w:cs="Arial"/>
          <w:sz w:val="24"/>
          <w:szCs w:val="24"/>
        </w:rPr>
        <w:t>2.</w:t>
      </w:r>
      <w:r w:rsidRPr="000D3D4F">
        <w:rPr>
          <w:rFonts w:ascii="Arial" w:hAnsi="Arial" w:cs="Arial"/>
          <w:sz w:val="24"/>
          <w:szCs w:val="24"/>
        </w:rPr>
        <w:t xml:space="preserve">9 demonstrates the visible protein bands on the lanes of citrate-coated AuNP and PEG-AuNP upon FBS incubation. In contrast, no visible protein bands appeared on the lanes of either AuNP type without FBS incubation. </w:t>
      </w:r>
    </w:p>
    <w:p w14:paraId="75450967" w14:textId="248AACF3" w:rsidR="00E57377"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We then investigated whether the combination of expansion microscopy and nanoparticle light scattering imaging would allow for the in-depth analysis of nanoparticle accumulation within individual intracellular vesicles. Figure </w:t>
      </w:r>
      <w:r w:rsidR="000E44BA">
        <w:rPr>
          <w:rFonts w:ascii="Arial" w:hAnsi="Arial" w:cs="Arial"/>
          <w:sz w:val="24"/>
          <w:szCs w:val="24"/>
        </w:rPr>
        <w:t>2.</w:t>
      </w:r>
      <w:r w:rsidRPr="000D3D4F">
        <w:rPr>
          <w:rFonts w:ascii="Arial" w:hAnsi="Arial" w:cs="Arial"/>
          <w:sz w:val="24"/>
          <w:szCs w:val="24"/>
        </w:rPr>
        <w:t xml:space="preserve">4a shows expanded 4T1 </w:t>
      </w:r>
      <w:r w:rsidRPr="000D3D4F">
        <w:rPr>
          <w:rFonts w:ascii="Arial" w:hAnsi="Arial" w:cs="Arial"/>
          <w:sz w:val="24"/>
          <w:szCs w:val="24"/>
        </w:rPr>
        <w:lastRenderedPageBreak/>
        <w:t xml:space="preserve">cells incubated with PEG-AuNPs, stained with NHS-AF55. The intracellular vesicles are visible in expanded cells stained with NHS-AF555 as dark areas, with nanoparticles now visible within these intracellular compartments. </w:t>
      </w:r>
    </w:p>
    <w:p w14:paraId="7719BDA4" w14:textId="77777777" w:rsidR="00E57377" w:rsidRDefault="00E57377">
      <w:pPr>
        <w:rPr>
          <w:rFonts w:ascii="Arial" w:hAnsi="Arial" w:cs="Arial"/>
          <w:sz w:val="24"/>
          <w:szCs w:val="24"/>
        </w:rPr>
      </w:pPr>
      <w:r>
        <w:rPr>
          <w:rFonts w:ascii="Arial" w:hAnsi="Arial" w:cs="Arial"/>
          <w:sz w:val="24"/>
          <w:szCs w:val="24"/>
        </w:rPr>
        <w:br w:type="page"/>
      </w:r>
    </w:p>
    <w:p w14:paraId="5331ABDC" w14:textId="77777777" w:rsidR="00E57377" w:rsidRDefault="00E57377" w:rsidP="00E57377">
      <w:pPr>
        <w:spacing w:line="480" w:lineRule="auto"/>
        <w:jc w:val="both"/>
      </w:pPr>
      <w:r>
        <w:rPr>
          <w:noProof/>
        </w:rPr>
        <w:lastRenderedPageBreak/>
        <w:drawing>
          <wp:inline distT="0" distB="0" distL="0" distR="0" wp14:anchorId="5D398632" wp14:editId="02DE2361">
            <wp:extent cx="5924550" cy="3011646"/>
            <wp:effectExtent l="0" t="0" r="0" b="0"/>
            <wp:docPr id="1201816892" name="Picture 1201816892" descr="A picture containing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16892" name="Picture 1201816892" descr="A picture containing PowerPoin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4550" cy="3011646"/>
                    </a:xfrm>
                    <a:prstGeom prst="rect">
                      <a:avLst/>
                    </a:prstGeom>
                  </pic:spPr>
                </pic:pic>
              </a:graphicData>
            </a:graphic>
          </wp:inline>
        </w:drawing>
      </w:r>
    </w:p>
    <w:p w14:paraId="339B05C8" w14:textId="3EFA99E8" w:rsidR="00E57377" w:rsidRPr="00E57377" w:rsidRDefault="00E57377" w:rsidP="00E57377">
      <w:pPr>
        <w:jc w:val="both"/>
        <w:rPr>
          <w:rFonts w:ascii="Arial" w:hAnsi="Arial" w:cs="Arial"/>
          <w:sz w:val="24"/>
          <w:szCs w:val="24"/>
        </w:rPr>
      </w:pPr>
      <w:r w:rsidRPr="00E57377">
        <w:rPr>
          <w:rFonts w:ascii="Arial" w:hAnsi="Arial" w:cs="Arial"/>
          <w:b/>
          <w:bCs/>
          <w:sz w:val="24"/>
          <w:szCs w:val="24"/>
        </w:rPr>
        <w:t>Figure 2.4: Expansion microscopy is compatible with nanoparticle light scattering imaging.</w:t>
      </w:r>
      <w:r w:rsidRPr="00E57377">
        <w:rPr>
          <w:rFonts w:ascii="Arial" w:hAnsi="Arial" w:cs="Arial"/>
          <w:sz w:val="24"/>
          <w:szCs w:val="24"/>
        </w:rPr>
        <w:t xml:space="preserve"> </w:t>
      </w:r>
      <w:r w:rsidRPr="00E57377">
        <w:rPr>
          <w:rFonts w:ascii="Arial" w:hAnsi="Arial" w:cs="Arial"/>
          <w:b/>
          <w:bCs/>
          <w:sz w:val="24"/>
          <w:szCs w:val="24"/>
        </w:rPr>
        <w:t>(a)</w:t>
      </w:r>
      <w:r w:rsidRPr="00E57377">
        <w:rPr>
          <w:rFonts w:ascii="Arial" w:hAnsi="Arial" w:cs="Arial"/>
          <w:sz w:val="24"/>
          <w:szCs w:val="24"/>
        </w:rPr>
        <w:t xml:space="preserve"> Expanded 4T1 cells with or without PEG-AuNPs stained with NHS-AF555 (gray). The overlay of the stained cells and light scattering (red) are shown first, followed by a magnification of both channels, and then only the light scattering channel for cells with or without AuNPs shown in grayscale.  </w:t>
      </w:r>
      <w:r w:rsidRPr="00E57377">
        <w:rPr>
          <w:rFonts w:ascii="Arial" w:hAnsi="Arial" w:cs="Arial"/>
          <w:b/>
          <w:bCs/>
          <w:sz w:val="24"/>
          <w:szCs w:val="24"/>
        </w:rPr>
        <w:t>(b)</w:t>
      </w:r>
      <w:r w:rsidRPr="00E57377">
        <w:rPr>
          <w:rFonts w:ascii="Arial" w:hAnsi="Arial" w:cs="Arial"/>
          <w:sz w:val="24"/>
          <w:szCs w:val="24"/>
        </w:rPr>
        <w:t xml:space="preserve"> ImageJ-based quantitative analysis of the nuclei area in µm</w:t>
      </w:r>
      <w:r w:rsidRPr="00E57377">
        <w:rPr>
          <w:rFonts w:ascii="Arial" w:hAnsi="Arial" w:cs="Arial"/>
          <w:sz w:val="24"/>
          <w:szCs w:val="24"/>
          <w:vertAlign w:val="superscript"/>
        </w:rPr>
        <w:t>2</w:t>
      </w:r>
      <w:r w:rsidRPr="00E57377">
        <w:rPr>
          <w:rFonts w:ascii="Arial" w:hAnsi="Arial" w:cs="Arial"/>
          <w:sz w:val="24"/>
          <w:szCs w:val="24"/>
        </w:rPr>
        <w:t xml:space="preserve"> of non-expanded- and expanded cells both with and without AuNPs (n=90). Black lines represent means. A two-way ANOVA with </w:t>
      </w:r>
      <w:proofErr w:type="spellStart"/>
      <w:r w:rsidRPr="00E57377">
        <w:rPr>
          <w:rFonts w:ascii="Arial" w:hAnsi="Arial" w:cs="Arial"/>
          <w:sz w:val="24"/>
          <w:szCs w:val="24"/>
        </w:rPr>
        <w:t>Šidák’s</w:t>
      </w:r>
      <w:proofErr w:type="spellEnd"/>
      <w:r w:rsidRPr="00E57377">
        <w:rPr>
          <w:rFonts w:ascii="Arial" w:hAnsi="Arial" w:cs="Arial"/>
          <w:sz w:val="24"/>
          <w:szCs w:val="24"/>
        </w:rPr>
        <w:t xml:space="preserve"> multiple comparison test did not show statistical significance (p=0.99 for both groups). The scale bars indicate 50 µm in the unmagnified images and 15 µm in the magnified images, not corrected for expansion factors. </w:t>
      </w:r>
      <w:r w:rsidRPr="00E57377">
        <w:rPr>
          <w:rFonts w:ascii="Arial" w:hAnsi="Arial" w:cs="Arial"/>
          <w:sz w:val="24"/>
          <w:szCs w:val="24"/>
        </w:rPr>
        <w:br w:type="page"/>
      </w:r>
    </w:p>
    <w:p w14:paraId="7486A029" w14:textId="77777777"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lastRenderedPageBreak/>
        <w:t>We then asked whether the presence of AuNPs in a cell sample would affect the proExM expansion factor. Figure 4b shows no statistically significant difference (p=0.84) in the mean nuclei cross-sectional area of 4T1 cells containing AuNPs compared to controls for both non-expanded and expanded cells. A linear expansion factor of ~4.0X for cells containing AuNPs was determined, compared to a linear expansion factor of ~4.1X in controls. These results demonstrate the quantification of nanoparticle light scattering signals within individual vesicles in 3D.</w:t>
      </w:r>
    </w:p>
    <w:p w14:paraId="6BBB4CE3" w14:textId="51231A1B"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We then explored the use of fluorescent endocytosis tracers with proExM and nanoparticle light scattering imaging. To identify the vesicle types that the AuNPs accumulated in, we attempted a super-resolution colocalization analysis of the nanoparticle light scattering signal of AuNPs co-incubated with specific fluorescent endocytosis tracers. Here, we selected </w:t>
      </w:r>
      <w:proofErr w:type="spellStart"/>
      <w:r w:rsidRPr="000D3D4F">
        <w:rPr>
          <w:rFonts w:ascii="Arial" w:hAnsi="Arial" w:cs="Arial"/>
          <w:sz w:val="24"/>
          <w:szCs w:val="24"/>
        </w:rPr>
        <w:t>tetramethylrhodamine</w:t>
      </w:r>
      <w:proofErr w:type="spellEnd"/>
      <w:r w:rsidRPr="000D3D4F">
        <w:rPr>
          <w:rFonts w:ascii="Arial" w:hAnsi="Arial" w:cs="Arial"/>
          <w:sz w:val="24"/>
          <w:szCs w:val="24"/>
        </w:rPr>
        <w:t>-conjugated transferrin (TRITC-transferrin), a marker for clathrin-mediated endocytosis, as transferrin can be retained within cells following protein fixation.</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{"citationItems":[{"id":"ITEM-1","itemData":{"DOI":"10.1016/j.cell.2005.12.038","ISSN":"00928674","PMID":"16530046","abstract":"Cells rely on the correct sorting of endocytic ligands and receptors for proper function. Early endosomes have been considered as the initial sorting station where cargos for degradation separate from those for recycling. Using live-cell imaging to monitor individual endosomes and ligand particles in real time, we have discovered a sorting mechanism that takes place prior to early endosome entry. We show that early endosomes are in fact comprised of two distinct populations: a dynamic population that is highly mobile on microtubules and matures rapidly toward late endosomes and a static population that matures much more slowly. Several cargos destined for degradation are preferentially targeted to the dynamic endosomes, whereas the recycling ligand transferrin is nonselectively delivered to all early endosomes and effectively enriched in the larger, static population. This pre-early endosome sorting process begins at clathrin-coated vesicles, depends on microtubule-dependent motility, and appears to involve endocytic adaptors. ©2006 Elsevier Inc.","author":[{"dropping-particle":"","family":"Lakadamyali","given":"Melike","non-dropping-particle":"","parse-names":false,"suffix":""},{"dropping-particle":"","family":"Rust","given":"Michael J.","non-dropping-particle":"","parse-names":false,"suffix":""},{"dropping-particle":"","family":"Zhuang","given":"Xiaowei","non-dropping-particle":"","parse-names":false,"suffix":""}],"container-title":"Cell","id":"ITEM-1","issue":"5","issued":{"date-parts":[["2006"]]},"page":"997-1009","title":"Ligands for clathrin-mediated endocytosis are differentially sorted into distinct populations of early endosomes","type":"article-journal","volume":"124"},"uris":["http://www.mendeley.com/documents/?uuid=02d11d01-8940-4d99-bbfa-432f5325e9c4"]},{"id":"ITEM-2","itemData":{"DOI":"10.1073/pnas.97.2.680","ISSN":"00278424","PMID":"10639139","abstract":"Macrophages are specialized cells of the immune system that exhibit a prodigious capacity for phagocytosis. The ability of macrophages to internalize a substantial proportion of their plasma membrane during phagocytosis indicates that they possess a mechanism for the rapid renewal of plasma membrane. We examined the role of endocytic membrane recycling in promoting phagocytosis. In contrast to many other cell types, macrophages lack a morphologically distinct peri-centriolar recycling compartment but instead demonstrate an extensive network of transferrin receptor-positive tubules and vesicles that participated in recycling. The rate of transferrin recycling in thioglycollate-elicited murine peritoneal macrophages (thio- macrophages) was exceedingly rapid, with exocytic rate constants that were 2- to 3-fold higher than those of most other cells. Because the GTPase Rab11 has been implicated in transferrin recycling in other cells, we determined its role in transferrin recycling and phagocytosis in macrophages. Macrophages expressing epitope-tagged Rab11 demonstrated the presence of Rab11 in several intracellular membrane compartments, including endosomes and nascent phagosomes. Expression of Rab11 25N, a GTP binding-deficient allele of Rab11, led to a decreased rate of transferrin efflux and impaired Fc(γ)R-mediated phagocytosis, where Fc(γ)R is the receptor for the Fc portion of IgG. In contrast, expression of Rab11 70L, a GTPase-deficient allele of Rab11, led to an increased rate of transferrin efflux and enhanced phagocytosis. We conclude that macrophages have adapted a rapidly mobilizable, endocytic compartment to enhance phagocytosis. Rab11 participates in the recruitment of this compartment to the macrophage cell surface.","author":[{"dropping-particle":"","family":"Cox","given":"Dianne","non-dropping-particle":"","parse-names":false,"suffix":""},{"dropping-particle":"","family":"Lee","given":"Donna J.","non-dropping-particle":"","parse-names":false,"suffix":""},{"dropping-particle":"","family":"Dale","given":"Benjamin M.","non-dropping-particle":"","parse-names":false,"suffix":""},{"dropping-particle":"","family":"Calafat","given":"Jero","non-dropping-particle":"","parse-names":false,"suffix":""},{"dropping-particle":"","family":"Greenberg","given":"Steven","non-dropping-particle":"","parse-names":false,"suffix":""}],"container-title":"Proceedings of the National Academy of Sciences of the United States of America","id":"ITEM-2","issue":"2","issued":{"date-parts":[["2000"]]},"page":"680-685","title":"A Rab11-containing rapidly recycling compartment in macrophages that promotes phagocytosis","type":"article-journal","volume":"97"},"uris":["http://www.mendeley.com/documents/?uuid=a0a8af0c-d8a8-46b4-88bb-a821b50a9354"]}],"mendeley":{"formattedCitation":"&lt;sup&gt;106,308&lt;/sup&gt;","plainTextFormattedCitation":"106,308","previouslyFormattedCitation":"&lt;sup&gt;106,308&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106,308</w:t>
      </w:r>
      <w:r w:rsidRPr="000D3D4F">
        <w:rPr>
          <w:rFonts w:ascii="Arial" w:hAnsi="Arial" w:cs="Arial"/>
          <w:sz w:val="24"/>
          <w:szCs w:val="24"/>
        </w:rPr>
        <w:fldChar w:fldCharType="end"/>
      </w:r>
      <w:r w:rsidRPr="000D3D4F">
        <w:rPr>
          <w:rFonts w:ascii="Arial" w:hAnsi="Arial" w:cs="Arial"/>
          <w:sz w:val="24"/>
          <w:szCs w:val="24"/>
        </w:rPr>
        <w:t xml:space="preserve"> In Figure S</w:t>
      </w:r>
      <w:r w:rsidR="000E44BA">
        <w:rPr>
          <w:rFonts w:ascii="Arial" w:hAnsi="Arial" w:cs="Arial"/>
          <w:sz w:val="24"/>
          <w:szCs w:val="24"/>
        </w:rPr>
        <w:t>2.</w:t>
      </w:r>
      <w:r w:rsidRPr="000D3D4F">
        <w:rPr>
          <w:rFonts w:ascii="Arial" w:hAnsi="Arial" w:cs="Arial"/>
          <w:sz w:val="24"/>
          <w:szCs w:val="24"/>
        </w:rPr>
        <w:t>10, we show 4T1 cells co-incubated with PEG-AuNPs and 25 µg/mL TRITC-transferrin. Since we demonstrated that fluorescence staining and nanoparticle light scattering imaging are compatible with expansion microscopy, the super-resolution colocalization analysis for the TRITC and nanoparticle signals would be possible. However, we observed a significant decrease in the fluorescent signal from the TRITC-transferrin following proExM. This decrease is likely due to the volumetric expansion resulting in the separation or loss of fluorophores, limiting our capabilities to do accurate colocalization analysis. To potentially address this issue in future work, perhaps a fluorescent secondary antibody targeting against transferrin could be employed to improve the signal intensity.</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{"citationItems":[{"id":"ITEM-1","itemData":{"DOI":"10.1016/j.mex.2022.101796","ISSN":"22150161","abstract":"Expansion microscopy (ExM) is a microscopic imaging approach that can achieve super-resolution visualization of fluorescently labeled biological samples using conventional fluorescence microscopy. The method is based on embedding of a fluorescently labeled biological sample in a hydrogel matrix followed by the physical expansion of the specimen, which is then viewed using a conventional fluorescent microscope. Variations of the method can be used to visualize endogenously expressed fluorescent proteins, such as GFP, fluorescently tagged antibodies, nucleic acids, or other fluorescently tagged molecules. A significant challenge of the method is that the physical expansion of the specimen produces a concommitant reduction in fluorescence intensity, which can make imaging difficult. We describe an approach for amplifying fluorescence signal following expansion of immunolabeled tissue sections by applying fluorescently labeled Fab fragment secondary antibodies to intensify fluorescent signal and enhance detection of labeling using conventional fluorescent microscopy. A method to increase immunofluorescence signal intensity of Expansion Microscopy specimens is described. Method utilizes commercially available reagents. Enhances ability to acquire useful images in expanded tissue samples.","author":[{"dropping-particle":"","family":"Sherry","given":"David M.","non-dropping-particle":"","parse-names":false,"suffix":""},{"dropping-particle":"","family":"Stiles","given":"Megan A.","non-dropping-particle":"","parse-names":false,"suffix":""}],"container-title":"MethodsX","id":"ITEM-1","issue":"June","issued":{"date-parts":[["2022"]]},"page":"101796","publisher":"Elsevier B.V.","title":"Improved fluorescent signal in expansion microscopy using fluorescent Fab fragment secondary antibodies","type":"article-journal","volume":"9"},"uris":["http://www.mendeley.com/documents/?uuid=7f6cf6d2-69c7-4f34-ac6f-8594d6e7b46d"]}],"mendeley":{"formattedCitation":"&lt;sup&gt;309&lt;/sup&gt;","plainTextFormattedCitation":"309","previouslyFormattedCitation":"&lt;sup&gt;309&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309</w:t>
      </w:r>
      <w:r w:rsidRPr="000D3D4F">
        <w:rPr>
          <w:rFonts w:ascii="Arial" w:hAnsi="Arial" w:cs="Arial"/>
          <w:sz w:val="24"/>
          <w:szCs w:val="24"/>
        </w:rPr>
        <w:fldChar w:fldCharType="end"/>
      </w:r>
    </w:p>
    <w:p w14:paraId="0B819462" w14:textId="5671282B"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lastRenderedPageBreak/>
        <w:t>We next explored the different cell lines, nanomaterials, and surface conjugations to demonstrate the generalizability of our method. Previous work determined that coating the surface of 55-nm AuNPs with the polysaccharide heparosan (HEP-AuNPs) (Table S1, S2, Figure S</w:t>
      </w:r>
      <w:r w:rsidR="000E44BA">
        <w:rPr>
          <w:rFonts w:ascii="Arial" w:hAnsi="Arial" w:cs="Arial"/>
          <w:sz w:val="24"/>
          <w:szCs w:val="24"/>
        </w:rPr>
        <w:t>2.</w:t>
      </w:r>
      <w:r w:rsidRPr="000D3D4F">
        <w:rPr>
          <w:rFonts w:ascii="Arial" w:hAnsi="Arial" w:cs="Arial"/>
          <w:sz w:val="24"/>
          <w:szCs w:val="24"/>
        </w:rPr>
        <w:t>3a, S</w:t>
      </w:r>
      <w:r w:rsidR="000E44BA">
        <w:rPr>
          <w:rFonts w:ascii="Arial" w:hAnsi="Arial" w:cs="Arial"/>
          <w:sz w:val="24"/>
          <w:szCs w:val="24"/>
        </w:rPr>
        <w:t>2.</w:t>
      </w:r>
      <w:r w:rsidRPr="000D3D4F">
        <w:rPr>
          <w:rFonts w:ascii="Arial" w:hAnsi="Arial" w:cs="Arial"/>
          <w:sz w:val="24"/>
          <w:szCs w:val="24"/>
        </w:rPr>
        <w:t>4d) results in high nanoparticle uptake within DC 2.4 dendritic cells.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301&lt;/sup&gt;","plainTextFormattedCitation":"301","previouslyFormattedCitation":"&lt;sup&gt;301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301</w:t>
      </w:r>
      <w:r w:rsidRPr="000D3D4F">
        <w:rPr>
          <w:rFonts w:ascii="Arial" w:hAnsi="Arial" w:cs="Arial"/>
          <w:sz w:val="24"/>
          <w:szCs w:val="24"/>
        </w:rPr>
        <w:fldChar w:fldCharType="end"/>
      </w:r>
      <w:r w:rsidRPr="000D3D4F">
        <w:rPr>
          <w:rFonts w:ascii="Arial" w:hAnsi="Arial" w:cs="Arial"/>
          <w:sz w:val="24"/>
          <w:szCs w:val="24"/>
        </w:rPr>
        <w:t xml:space="preserve"> We used these dendritic cells and incubated the cells with HEP-AuNPs to demonstrate our method’s generalizability across a different cell type and nanoparticle surface modification (Figure S</w:t>
      </w:r>
      <w:r w:rsidR="000E44BA">
        <w:rPr>
          <w:rFonts w:ascii="Arial" w:hAnsi="Arial" w:cs="Arial"/>
          <w:sz w:val="24"/>
          <w:szCs w:val="24"/>
        </w:rPr>
        <w:t>2.</w:t>
      </w:r>
      <w:r w:rsidRPr="000D3D4F">
        <w:rPr>
          <w:rFonts w:ascii="Arial" w:hAnsi="Arial" w:cs="Arial"/>
          <w:sz w:val="24"/>
          <w:szCs w:val="24"/>
        </w:rPr>
        <w:t>11). We further demonstrated in Figure S</w:t>
      </w:r>
      <w:r w:rsidR="000E44BA">
        <w:rPr>
          <w:rFonts w:ascii="Arial" w:hAnsi="Arial" w:cs="Arial"/>
          <w:sz w:val="24"/>
          <w:szCs w:val="24"/>
        </w:rPr>
        <w:t>2.</w:t>
      </w:r>
      <w:r w:rsidRPr="000D3D4F">
        <w:rPr>
          <w:rFonts w:ascii="Arial" w:hAnsi="Arial" w:cs="Arial"/>
          <w:sz w:val="24"/>
          <w:szCs w:val="24"/>
        </w:rPr>
        <w:t xml:space="preserve">12 the generalizability using a different nanomaterial, </w:t>
      </w:r>
      <w:proofErr w:type="gramStart"/>
      <w:r w:rsidRPr="000D3D4F">
        <w:rPr>
          <w:rFonts w:ascii="Arial" w:hAnsi="Arial" w:cs="Arial"/>
          <w:sz w:val="24"/>
          <w:szCs w:val="24"/>
        </w:rPr>
        <w:t>i.e.</w:t>
      </w:r>
      <w:proofErr w:type="gramEnd"/>
      <w:r w:rsidRPr="000D3D4F">
        <w:rPr>
          <w:rFonts w:ascii="Arial" w:hAnsi="Arial" w:cs="Arial"/>
          <w:sz w:val="24"/>
          <w:szCs w:val="24"/>
        </w:rPr>
        <w:t xml:space="preserve"> 60-nm streptavidin-coated silver nanoparticles (60-nm Strep-AgNPs) (Table S1, S2, Figure S3b, S4e) in RAW 264.7 macrophages</w:t>
      </w:r>
      <w:bookmarkStart w:id="39" w:name="_Hlk129730677"/>
      <w:r w:rsidRPr="000D3D4F">
        <w:rPr>
          <w:rFonts w:ascii="Arial" w:hAnsi="Arial" w:cs="Arial"/>
          <w:sz w:val="24"/>
          <w:szCs w:val="24"/>
        </w:rPr>
        <w:t xml:space="preserve">. For consistency with other experiments, the 561-nm laser was used for the AgNPs light scattering imaging. </w:t>
      </w:r>
      <w:bookmarkEnd w:id="39"/>
    </w:p>
    <w:p w14:paraId="05262715" w14:textId="6214CC26"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We then explored the ability to visualize smaller nanoparticle sizes. It has been shown that the nanoparticle light scattering imaging method is feasible for nanoparticle diameters down to ~20 nm in diameter.</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{"citationItems":[{"id":"ITEM-1","itemData":{"DOI":"10.1021/jacs.9b05894","ISSN":"15205126","abstract":"Simultaneously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author":[{"dropping-particle":"","family":"Wang","given":"Fengbang","non-dropping-particle":"","parse-names":false,"suffix":""},{"dropping-particle":"","family":"Chen","given":"Bolei","non-dropping-particle":"","parse-names":false,"suffix":""},{"dropping-particle":"","family":"Yan","given":"Bing","non-dropping-particle":"","parse-names":false,"suffix":""},{"dropping-particle":"","family":"Yin","given":"Yongguang","non-dropping-particle":"","parse-names":false,"suffix":""},{"dropping-particle":"","family":"Hu","given":"Ligang","non-dropping-particle":"","parse-names":false,"suffix":""},{"dropping-particle":"","family":"Liang","given":"Yong","non-dropping-particle":"","parse-names":false,"suffix":""},{"dropping-particle":"","family":"Song","given":"Maoyong","non-dropping-particle":"","parse-names":false,"suffix":""},{"dropping-particle":"","family":"Jiang","given":"Guibin","non-dropping-particle":"","parse-names":false,"suffix":""}],"container-title":"Journal of the American Chemical Society","id":"ITEM-1","issue":"36","issued":{"date-parts":[["2019"]]},"page":"14043-14047","title":"Scattered Light Imaging Enables Real-Time Monitoring of Label-Free Nanoparticles and Fluorescent Biomolecules in Live Cells","type":"article-journal","volume":"141"},"uris":["http://www.mendeley.com/documents/?uuid=4e571579-ee39-4a4a-8a2b-9d537cbe338e"]}],"mendeley":{"formattedCitation":"&lt;sup&gt;286&lt;/sup&gt;","plainTextFormattedCitation":"286","previouslyFormattedCitation":"&lt;sup&gt;286&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286</w:t>
      </w:r>
      <w:r w:rsidRPr="000D3D4F">
        <w:rPr>
          <w:rFonts w:ascii="Arial" w:hAnsi="Arial" w:cs="Arial"/>
          <w:sz w:val="24"/>
          <w:szCs w:val="24"/>
        </w:rPr>
        <w:fldChar w:fldCharType="end"/>
      </w:r>
      <w:r w:rsidRPr="000D3D4F">
        <w:rPr>
          <w:rFonts w:ascii="Arial" w:hAnsi="Arial" w:cs="Arial"/>
          <w:sz w:val="24"/>
          <w:szCs w:val="24"/>
        </w:rPr>
        <w:t xml:space="preserve"> Figure S</w:t>
      </w:r>
      <w:r w:rsidR="000E44BA">
        <w:rPr>
          <w:rFonts w:ascii="Arial" w:hAnsi="Arial" w:cs="Arial"/>
          <w:sz w:val="24"/>
          <w:szCs w:val="24"/>
        </w:rPr>
        <w:t>2.</w:t>
      </w:r>
      <w:r w:rsidRPr="000D3D4F">
        <w:rPr>
          <w:rFonts w:ascii="Arial" w:hAnsi="Arial" w:cs="Arial"/>
          <w:sz w:val="24"/>
          <w:szCs w:val="24"/>
        </w:rPr>
        <w:t>13a shows RAW 264.7 macrophages after incubation with 40-nm streptavidin-coated AgNPs (Table S1, S2, Figure S</w:t>
      </w:r>
      <w:r w:rsidR="000E44BA">
        <w:rPr>
          <w:rFonts w:ascii="Arial" w:hAnsi="Arial" w:cs="Arial"/>
          <w:sz w:val="24"/>
          <w:szCs w:val="24"/>
        </w:rPr>
        <w:t>2.</w:t>
      </w:r>
      <w:r w:rsidRPr="000D3D4F">
        <w:rPr>
          <w:rFonts w:ascii="Arial" w:hAnsi="Arial" w:cs="Arial"/>
          <w:sz w:val="24"/>
          <w:szCs w:val="24"/>
        </w:rPr>
        <w:t>3b, S</w:t>
      </w:r>
      <w:r w:rsidR="000E44BA">
        <w:rPr>
          <w:rFonts w:ascii="Arial" w:hAnsi="Arial" w:cs="Arial"/>
          <w:sz w:val="24"/>
          <w:szCs w:val="24"/>
        </w:rPr>
        <w:t>2.</w:t>
      </w:r>
      <w:r w:rsidRPr="000D3D4F">
        <w:rPr>
          <w:rFonts w:ascii="Arial" w:hAnsi="Arial" w:cs="Arial"/>
          <w:sz w:val="24"/>
          <w:szCs w:val="24"/>
        </w:rPr>
        <w:t>4f), demonstrating the expected nanoparticle light scattering signal. However, as shown in Figure S</w:t>
      </w:r>
      <w:r w:rsidR="004A2E41">
        <w:rPr>
          <w:rFonts w:ascii="Arial" w:hAnsi="Arial" w:cs="Arial"/>
          <w:sz w:val="24"/>
          <w:szCs w:val="24"/>
        </w:rPr>
        <w:t>2.</w:t>
      </w:r>
      <w:r w:rsidRPr="000D3D4F">
        <w:rPr>
          <w:rFonts w:ascii="Arial" w:hAnsi="Arial" w:cs="Arial"/>
          <w:sz w:val="24"/>
          <w:szCs w:val="24"/>
        </w:rPr>
        <w:t xml:space="preserve">13b, the nanoparticle light scattering signal is no longer visible in these cells following the proExM expansion process. We hypothesized that the surface-adsorbed proteins on the 40-nm Strep-AgNPs were not sufficiently crosslinking into the polyacrylamide-based gel matrix to hold the nanoparticles in place, resulting in a loss of nanoparticles during sample expansion. We found that this limitation can be overcome by increasing the crosslinker density of the gel matrix. By doubling the </w:t>
      </w:r>
      <w:proofErr w:type="gramStart"/>
      <w:r w:rsidRPr="000D3D4F">
        <w:rPr>
          <w:rFonts w:ascii="Arial" w:hAnsi="Arial" w:cs="Arial"/>
          <w:sz w:val="24"/>
          <w:szCs w:val="24"/>
        </w:rPr>
        <w:t>N,N</w:t>
      </w:r>
      <w:proofErr w:type="gramEnd"/>
      <w:r w:rsidRPr="000D3D4F">
        <w:rPr>
          <w:rFonts w:ascii="Arial" w:hAnsi="Arial" w:cs="Arial"/>
          <w:sz w:val="24"/>
          <w:szCs w:val="24"/>
        </w:rPr>
        <w:t>′-</w:t>
      </w:r>
      <w:proofErr w:type="spellStart"/>
      <w:r w:rsidRPr="000D3D4F">
        <w:rPr>
          <w:rFonts w:ascii="Arial" w:hAnsi="Arial" w:cs="Arial"/>
          <w:sz w:val="24"/>
          <w:szCs w:val="24"/>
        </w:rPr>
        <w:t>methylenebisacrylamide</w:t>
      </w:r>
      <w:proofErr w:type="spellEnd"/>
      <w:r w:rsidRPr="000D3D4F">
        <w:rPr>
          <w:rFonts w:ascii="Arial" w:hAnsi="Arial" w:cs="Arial"/>
          <w:sz w:val="24"/>
          <w:szCs w:val="24"/>
        </w:rPr>
        <w:t xml:space="preserve"> crosslinker concentration in the gelation solution, we could </w:t>
      </w:r>
      <w:r w:rsidRPr="000D3D4F">
        <w:rPr>
          <w:rFonts w:ascii="Arial" w:hAnsi="Arial" w:cs="Arial"/>
          <w:sz w:val="24"/>
          <w:szCs w:val="24"/>
        </w:rPr>
        <w:lastRenderedPageBreak/>
        <w:t>better retain and visualize 40-nm Strep-AgNPs within expanded cells (Figure S</w:t>
      </w:r>
      <w:r w:rsidR="004A2E41">
        <w:rPr>
          <w:rFonts w:ascii="Arial" w:hAnsi="Arial" w:cs="Arial"/>
          <w:sz w:val="24"/>
          <w:szCs w:val="24"/>
        </w:rPr>
        <w:t>2.</w:t>
      </w:r>
      <w:r w:rsidRPr="000D3D4F">
        <w:rPr>
          <w:rFonts w:ascii="Arial" w:hAnsi="Arial" w:cs="Arial"/>
          <w:sz w:val="24"/>
          <w:szCs w:val="24"/>
        </w:rPr>
        <w:t>13c). However, this workaround came at the cost of a decrease in expansion factor by &gt;25% (i.e. ‘tighter’ gel structures do not expand as much).</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{"citationItems":[{"id":"ITEM-1","itemData":{"DOI":"10.1007/978-1-0716-1538-6_18","ISSN":"19406029","PMID":"34085228","abstract":"Expansion microscopy is an imaging method based on isotropic physical expansion of biological samples, which improves optical resolution and allows imaging of subresolutional cellular components by conventional microscopes. Centrioles are small microtubule-based cylindrical structures that build centrosomes and cilia, two organelles essential for vertebrates. Due to a centriole’s small size, electron microscopy has traditionally been used to study centriole length and ultrastructural features. Recently, expansion microscopy has been successfully used as an affordable and accessible alternative to electron microscopy in the analysis of centriole and cilia length and structural features. Here, we describe an expansion microscopy approach for the analysis of centrioles and cilia in large populations of mammalian adherent and nonadherent cells and multiciliated cultures.","author":[{"dropping-particle":"","family":"Kong","given":"Dong","non-dropping-particle":"","parse-names":false,"suffix":""},{"dropping-particle":"","family":"Loncarek","given":"Jadranka","non-dropping-particle":"","parse-names":false,"suffix":""}],"container-title":"Methods in Molecular Biology","id":"ITEM-1","issued":{"date-parts":[["2021"]]},"page":"249-263","title":"Analyzing Centrioles and Cilia by Expansion Microscopy","type":"article","volume":"2329"},"uris":["http://www.mendeley.com/documents/?uuid=aae21e56-6c92-447d-83e9-02949874ad37"]}],"mendeley":{"formattedCitation":"&lt;sup&gt;310&lt;/sup&gt;","plainTextFormattedCitation":"310","previouslyFormattedCitation":"&lt;sup&gt;310&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310</w:t>
      </w:r>
      <w:r w:rsidRPr="000D3D4F">
        <w:rPr>
          <w:rFonts w:ascii="Arial" w:hAnsi="Arial" w:cs="Arial"/>
          <w:sz w:val="24"/>
          <w:szCs w:val="24"/>
        </w:rPr>
        <w:fldChar w:fldCharType="end"/>
      </w:r>
      <w:r w:rsidRPr="000D3D4F">
        <w:rPr>
          <w:rFonts w:ascii="Arial" w:hAnsi="Arial" w:cs="Arial"/>
          <w:sz w:val="24"/>
          <w:szCs w:val="24"/>
        </w:rPr>
        <w:t xml:space="preserve"> </w:t>
      </w:r>
    </w:p>
    <w:p w14:paraId="23B5FBF1" w14:textId="4550885D"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We further assessed if a percentage of intracellular 55-nm AuNPs was lost during the proExM process. We approached this question qualitatively by imaging the same group of cells before and after the proExM process, as shown in Figure S</w:t>
      </w:r>
      <w:r w:rsidR="004A2E41">
        <w:rPr>
          <w:rFonts w:ascii="Arial" w:hAnsi="Arial" w:cs="Arial"/>
          <w:sz w:val="24"/>
          <w:szCs w:val="24"/>
        </w:rPr>
        <w:t>2.</w:t>
      </w:r>
      <w:r w:rsidRPr="000D3D4F">
        <w:rPr>
          <w:rFonts w:ascii="Arial" w:hAnsi="Arial" w:cs="Arial"/>
          <w:sz w:val="24"/>
          <w:szCs w:val="24"/>
        </w:rPr>
        <w:t xml:space="preserve">14a. Here, we observed a similar amount of nanoparticle light scattering signal in the cells before and after expansion. However, we could not quantitatively compare the nanoparticle light scattering signal between the two groups since a higher laser power was required to visualize intracellular AuNPs within expanded cells than non-expanded cells. </w:t>
      </w:r>
    </w:p>
    <w:p w14:paraId="178EFF94" w14:textId="46B77487"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To address this challenge, we quantified the gold content of each residual solution from the proExM process through ICP-MS to determine intracellular gold content loss. Figure S</w:t>
      </w:r>
      <w:r w:rsidR="004A2E41">
        <w:rPr>
          <w:rFonts w:ascii="Arial" w:hAnsi="Arial" w:cs="Arial"/>
          <w:sz w:val="24"/>
          <w:szCs w:val="24"/>
        </w:rPr>
        <w:t>2.</w:t>
      </w:r>
      <w:r w:rsidRPr="000D3D4F">
        <w:rPr>
          <w:rFonts w:ascii="Arial" w:hAnsi="Arial" w:cs="Arial"/>
          <w:sz w:val="24"/>
          <w:szCs w:val="24"/>
        </w:rPr>
        <w:t>14b shows that there was no significant difference (p&gt;0.99) in the detected gold content of residual solutions from samples that were treated with AuNPs compared to untreated controls (see Methods section). These data suggest that the standard proExM process does not result in an appreciable loss of intracellular 55-nm AuNPs.</w:t>
      </w:r>
    </w:p>
    <w:p w14:paraId="2602B836" w14:textId="33B8C7D2" w:rsidR="000D3D4F" w:rsidRDefault="000D3D4F" w:rsidP="00C607A8">
      <w:pPr>
        <w:spacing w:line="480" w:lineRule="auto"/>
        <w:ind w:firstLine="360"/>
        <w:jc w:val="both"/>
        <w:rPr>
          <w:rFonts w:ascii="Arial" w:hAnsi="Arial" w:cs="Arial"/>
          <w:sz w:val="24"/>
          <w:szCs w:val="24"/>
        </w:rPr>
      </w:pPr>
      <w:bookmarkStart w:id="40" w:name="_Hlk129769045"/>
      <w:r w:rsidRPr="000D3D4F">
        <w:rPr>
          <w:rFonts w:ascii="Arial" w:hAnsi="Arial" w:cs="Arial"/>
          <w:sz w:val="24"/>
          <w:szCs w:val="24"/>
        </w:rPr>
        <w:t>We then wondered whether the AuNP retention in cells throughout the proExM process resulted from intracellular AuNP aggregation, given that we have already established a size correlation to AuNP leakage in Figures S</w:t>
      </w:r>
      <w:r w:rsidR="004A2E41">
        <w:rPr>
          <w:rFonts w:ascii="Arial" w:hAnsi="Arial" w:cs="Arial"/>
          <w:sz w:val="24"/>
          <w:szCs w:val="24"/>
        </w:rPr>
        <w:t>2.</w:t>
      </w:r>
      <w:r w:rsidRPr="000D3D4F">
        <w:rPr>
          <w:rFonts w:ascii="Arial" w:hAnsi="Arial" w:cs="Arial"/>
          <w:sz w:val="24"/>
          <w:szCs w:val="24"/>
        </w:rPr>
        <w:t>12 and S</w:t>
      </w:r>
      <w:r w:rsidR="004A2E41">
        <w:rPr>
          <w:rFonts w:ascii="Arial" w:hAnsi="Arial" w:cs="Arial"/>
          <w:sz w:val="24"/>
          <w:szCs w:val="24"/>
        </w:rPr>
        <w:t>2.</w:t>
      </w:r>
      <w:r w:rsidRPr="000D3D4F">
        <w:rPr>
          <w:rFonts w:ascii="Arial" w:hAnsi="Arial" w:cs="Arial"/>
          <w:sz w:val="24"/>
          <w:szCs w:val="24"/>
        </w:rPr>
        <w:t>13. To address this question, we incubated HEP- and PEG-AuNPs in culture media (DMEM), complete culture media (DMEM +10% FBS + 1% penicillin-streptomycin (P/S)), or an artificial lysosomal fluid</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{"citationItems":[{"id":"ITEM-1","itemData":{"DOI":"10.1080/10408444.2021.1903386","ISSN":"15476898","PMID":"33905298","abstract":"The use of simulated biological fluids (SBFs) is a promising in vitro technique to better understand the release mechanisms and possible in vivo behaviour of materials, including fibres, metal-containing particles and nanomaterials. Applications of SBFs in dissolution tests allow a measure of material biopersistence or, conversely, bioaccessibility that in turn can provide a useful inference of a materials biodistribution, its acute and long-term toxicity, as well as its pathogenicity. Given the wide range of SBFs reported in the literature, a review was conducted, with a focus on fluids used to replicate environments that may be encountered upon material inhalation, including extracellular and intracellular compartments. The review aims to identify when a fluid design can replicate realistic biological conditions, demonstrate operation validation, and/or provide robustness and reproducibility. The studies examined highlight simulated lung fluids (SLFs) that have been shown to suitably replicate physiological conditions, and identify specific components that play a pivotal role in dissolution mechanisms and biological activity; including organic molecules, redox-active species and chelating agents. Material dissolution was not always driven by pH, and likewise not only driven by SLF composition; specific materials and formulations correspond to specific dissolution mechanisms. It is recommended that SLF developments focus on biological predictivity and if not practical, on better biological mimicry, as such an approach ensures results are more likely to reflect in vivo behaviour regardless of the material under investigation.","author":[{"dropping-particle":"","family":"Innes","given":"Emma","non-dropping-particle":"","parse-names":false,"suffix":""},{"dropping-particle":"","family":"Yiu","given":"Humphrey H.P.","non-dropping-particle":"","parse-names":false,"suffix":""},{"dropping-particle":"","family":"McLean","given":"Polly","non-dropping-particle":"","parse-names":false,"suffix":""},{"dropping-particle":"","family":"Brown","given":"William","non-dropping-particle":"","parse-names":false,"suffix":""},{"dropping-particle":"","family":"Boyles","given":"Matthew","non-dropping-particle":"","parse-names":false,"suffix":""}],"container-title":"Critical Reviews in Toxicology","id":"ITEM-1","issue":"3","issued":{"date-parts":[["2021"]]},"page":"217-248","publisher":"Taylor &amp; Francis","title":"Simulated biological fluids–a systematic review of their biological relevance and use in relation to inhalation toxicology of particles and fibres","type":"article-journal","volume":"51"},"uris":["http://www.mendeley.com/documents/?uuid=e44e6133-48dc-4faa-82b8-e050d2253578"]}],"mendeley":{"formattedCitation":"&lt;sup&gt;311&lt;/sup&gt;","plainTextFormattedCitation":"311","previouslyFormattedCitation":"&lt;sup&gt;311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311</w:t>
      </w:r>
      <w:r w:rsidRPr="000D3D4F">
        <w:rPr>
          <w:rFonts w:ascii="Arial" w:hAnsi="Arial" w:cs="Arial"/>
          <w:sz w:val="24"/>
          <w:szCs w:val="24"/>
        </w:rPr>
        <w:fldChar w:fldCharType="end"/>
      </w:r>
      <w:r w:rsidRPr="000D3D4F">
        <w:rPr>
          <w:rFonts w:ascii="Arial" w:hAnsi="Arial" w:cs="Arial"/>
          <w:sz w:val="24"/>
          <w:szCs w:val="24"/>
        </w:rPr>
        <w:t xml:space="preserve"> for 3 hours before comparing their colloidal stability to AuNPs incubated in ultrapure H2O using single-particle inductively coupled plasma mass spectrometry (SP-</w:t>
      </w:r>
      <w:r w:rsidRPr="000D3D4F">
        <w:rPr>
          <w:rFonts w:ascii="Arial" w:hAnsi="Arial" w:cs="Arial"/>
          <w:sz w:val="24"/>
          <w:szCs w:val="24"/>
        </w:rPr>
        <w:lastRenderedPageBreak/>
        <w:t>ICP-MS). SP-ICP-MS allows us to quantify the mass of individual AuNPs at single-particle resolutions to estimate their approximate sizes. The SP-ICP-MS method then allows us to determine the corresponding colloidal stability of the AuNPs as aggregates would be registered as single AuNPs of significantly larger masses (i.e. sizes) than colloidally stable AuNPs.</w:t>
      </w:r>
      <w:r w:rsidRPr="000D3D4F">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{"citationItems":[{"id":"ITEM-1","itemData":{"DOI":"10.1007/s00216-020-02783-6","ISSN":"1618-2642","PMID":"32627086","abstract":"Biological interactions, toxicity, and environmental fate of engineered nanoparticles are affected by colloidal stability and aggregation. To assess nanoparticle aggregation, analytical methods are needed that allow quantification of individual nanoparticle aggregates. However, most techniques used for nanoparticle aggregation analysis are limited to ensemble measurements or require harsh sample preparation that may introduce artifacts. An ideal method would analyze aggregate size in situ with single-nanoparticle resolution. Here, we established and validated single-particle inductively coupled plasma mass spectrometry (SP-ICP-MS) as an unbiased high-throughput analytical technique to quantify nanoparticle size distributions and aggregation in situ. We induced nanoparticle aggregation by exposure to physiologically relevant saline conditions and applied SP-ICP-MS to quantify aggregate size and aggregation kinetics at the individual aggregate level. In situ SP-ICP-MS analysis revealed rational surface engineering principles for the preparation of colloidally stable nanoparticles. Our quantitative SP-ICP-MS technique is a platform technology to evaluate aggregation characteristics of various types of surface-engineered nanoparticles under physiologically relevant conditions. Potential widespread applications of this method may include the study of nanoparticle aggregation in environmental samples and the preparation of colloidally stable nanoparticle formulations for bioanalytical assays and nanomedicine. [Figure not available: see fulltext.]","author":[{"dropping-particle":"","family":"Donahue","given":"Nathan D","non-dropping-particle":"","parse-names":false,"suffix":""},{"dropping-particle":"","family":"Francek","given":"Emmy R","non-dropping-particle":"","parse-names":false,"suffix":""},{"dropping-particle":"","family":"Kiyotake","given":"Emi","non-dropping-particle":"","parse-names":false,"suffix":""},{"dropping-particle":"","family":"Thomas","given":"Emily E","non-dropping-particle":"","parse-names":false,"suffix":""},{"dropping-particle":"","family":"Yang","given":"Wen","non-dropping-particle":"","parse-names":false,"suffix":""},{"dropping-particle":"","family":"Wang","given":"Lin","non-dropping-particle":"","parse-names":false,"suffix":""},{"dropping-particle":"","family":"Detamore","given":"Michael S","non-dropping-particle":"","parse-names":false,"suffix":""},{"dropping-particle":"","family":"Wilhelm","given":"Stefan","non-dropping-particle":"","parse-names":false,"suffix":""}],"container-title":"Analytical and Bioanalytical Chemistry","id":"ITEM-1","issue":"22","issued":{"date-parts":[["2020","9","6"]]},"page":"5205-5216","publisher":"Analytical and Bioanalytical Chemistry","title":"Assessing nanoparticle colloidal stability with single-particle inductively coupled plasma mass spectrometry (SP-ICP-MS)","type":"article-journal","volume":"412"},"uris":["http://www.mendeley.com/documents/?uuid=0ee27649-fcab-4c1a-a9c4-1838728e1a34"]},{"id":"ITEM-2","itemData":{"DOI":"10.1007/s00216-023-04540-x","ISBN":"0123456789","ISSN":"16182650","abstract":"Bioanalytical and biomedical applications often require nanoparticles that exhibit narrow size distributions and biocompatibility. Here, we demonstrate how different synthesis methods affect gold nanoparticle (AuNPs) monodispersity and cytotoxicity. Using single particle inductively coupled plasma mass spectrometry (SP-ICP-MS), we found that the size distribution of AuNPs synthesized with a cetyltrimethylammonium chloride (CTAC) cap was significantly improved compared to AuNPs synthesized with citrate capping agents. We determined an up to 4× decrease in the full width at half maximum (FWHM) value of the normal distributions of AuNP diameter and up to a 12% decrease in relative standard deviation (RSD). While the CTAC-capped AuNPs exhibit narrow nanoparticle size distributions, they are cytotoxic, which limits safe and effective bioanalytical and biomedical applications. We sought to impart biocompatibility to CTAC-capped AuNPs through a PEGylation-based surface ligand exchange. We developed a unique ligand exchange method driven by physical force. We demonstrated the successful PEGylation using various PEG derivatives and used these PEGylated nanoparticles to further bioconjugate nucleic acids and peptides. Using cell viability quantification, we confirmed that the monodisperse PEGylated AuNPs were biocompatible. Our monodisperse and biocompatible nanoparticles may advance safe and effective bioanalytical and biomedical applications of nanomaterials. Graphical Abstract: [Figure not available: see fulltext.].","author":[{"dropping-particle":"","family":"Frickenstein","given":"Alex N.","non-dropping-particle":"","parse-names":false,"suffix":""},{"dropping-particle":"","family":"Mukherjee","given":"Shirsha","non-dropping-particle":"","parse-names":false,"suffix":""},{"dropping-particle":"","family":"Harcourt","given":"Tekena","non-dropping-particle":"","parse-names":false,"suffix":""},{"dropping-particle":"","family":"He","given":"Yuxin","non-dropping-particle":"","parse-names":false,"suffix":""},{"dropping-particle":"","family":"Sheth","given":"Vinit","non-dropping-particle":"","parse-names":false,"suffix":""},{"dropping-particle":"","family":"Wang","given":"Lin","non-dropping-particle":"","parse-names":false,"suffix":""},{"dropping-particle":"","family":"Malik","given":"Zain","non-dropping-particle":"","parse-names":false,"suffix":""},{"dropping-particle":"","family":"Wilhelm","given":"Stefan","non-dropping-particle":"","parse-names":false,"suffix":""}],"container-title":"Analytical and Bioanalytical Chemistry","id":"ITEM-2","issue":"0123456789","issued":{"date-parts":[["2023"]]},"publisher":"Springer Berlin Heidelberg","title":"Quantification of monodisperse and biocompatible gold nanoparticles by single-particle ICP-MS","type":"article-journal"},"uris":["http://www.mendeley.com/documents/?uuid=cd6ca1be-c1a6-4973-b39b-49ca955ead46"]},{"id":"ITEM-3","itemData":{"DOI":"10.1021/acs.nanolett.2c01037","ISSN":"15306992","PMID":"35510841","abstract":"We report on the absolute quantification of nanoparticle interactions with individual human B cells using quadrupole-based inductively coupled plasma mass spectrometry (ICP-MS). This method enables the quantification of nanoparticle-cell interactions at single nanoparticle and single cell levels. We demonstrate the efficient and accurate detection of individually suspended B cells and found an </w:instrText>
      </w:r>
      <w:r w:rsidR="008C387C">
        <w:rPr>
          <w:rFonts w:ascii="Cambria Math" w:hAnsi="Cambria Math" w:cs="Cambria Math"/>
          <w:sz w:val="24"/>
          <w:szCs w:val="24"/>
        </w:rPr>
        <w:instrText>∼</w:instrText>
      </w:r>
      <w:r w:rsidR="008C387C">
        <w:rPr>
          <w:rFonts w:ascii="Arial" w:hAnsi="Arial" w:cs="Arial"/>
          <w:sz w:val="24"/>
          <w:szCs w:val="24"/>
        </w:rPr>
        <w:instrText>100-fold higher association of colloidally stable positively charged nanoparticles with single B cells than neutrally charged nanoparticles. We confirmed that these nanoparticles were internalized by individual B cells and determined that the internalization occurred via energy-dependent pathways consistent with endocytosis. Using dual analyte ICP-MS, we determined that &gt;80% of single B cells were positive for nanoparticles. Our study demonstrates an ICP-MS workflow for the absolute quantification of nanoparticle-cell interactions with single cell and single nanoparticle resolution. This unique workflow could inform the rational design of various nanomaterials for controlling cellular interactions, including immune cell-nanoparticle interactions.","author":[{"dropping-particle":"","family":"Donahue","given":"Nathan D.","non-dropping-particle":"","parse-names":false,"suffix":""},{"dropping-particle":"","family":"Sheth","given":"Vinit","non-dropping-particle":"","parse-names":false,"suffix":""},{"dropping-particle":"","family":"Frickenstein","given":"Alex N.","non-dropping-particle":"","parse-names":false,"suffix":""},{"dropping-particle":"","family":"Holden","given":"Alyssa","non-dropping-particle":"","parse-names":false,"suffix":""},{"dropping-particle":"","family":"Kanapilly","given":"Sandy","non-dropping-particle":"","parse-names":false,"suffix":""},{"dropping-particle":"","family":"Stephan","given":"Chady","non-dropping-particle":"","parse-names":false,"suffix":""},{"dropping-particle":"","family":"Wilhelm","given":"Stefan","non-dropping-particle":"","parse-names":false,"suffix":""}],"container-title":"Nano Letters","id":"ITEM-3","issue":"10","issued":{"date-parts":[["2022"]]},"page":"4192-4199","title":"Absolute Quantification of Nanoparticle Interactions with Individual Human B Cells by Single Cell Mass Spectrometry","type":"article-journal","volume":"22"},"uris":["http://www.mendeley.com/documents/?uuid=5d61eeb2-c79b-4de0-93bb-5888e11f5807"]},{"id":"ITEM-4","itemData":{"DOI":"10.1021/acs.nanolett.1c03752","ISSN":"15306992","PMID":"34962815","abstract":"To control a nanoparticle’s chemical composition and thus function, researchers require readily accessible and economical characterization methods that provide quantitative in situ analysis of individual nanoparticles with high throughput. Here, we established dual analyte single-particle inductively coupled plasma quadrupole mass spectrometry to quantify the chemical composition and reaction kinetics of individual colloidal nanoparticles. We determined the individual bimetallic nanoparticle mass and chemical composition changes during two different chemical reactions: (i) nanoparticle etching and (ii) element deposition on nanoparticles at a rate of 300+ nanoparticles/min. Our results revealed the heterogeneity of chemical reactions at the single nanoparticle level. This proof-of-concept study serves as a framework to quantitatively understand the dynamic changes of physicochemical properties that individual nanoparticles undergo during chemical reactions using a commonly available mass spectrometer. Such methods will broadly empower and inform the synthesis and development of safer, more effective, and more efficient nanotechnologies that use nanoparticles with defined functions.","author":[{"dropping-particle":"","family":"Donahue","given":"Nathan D.","non-dropping-particle":"","parse-names":false,"suffix":""},{"dropping-particle":"","family":"Kanapilly","given":"Sandy","non-dropping-particle":"","parse-names":false,"suffix":""},{"dropping-particle":"","family":"Stephan","given":"Chady","non-dropping-particle":"","parse-names":false,"suffix":""},{"dropping-particle":"","family":"Marlin","given":"M. Caleb","non-dropping-particle":"","parse-names":false,"suffix":""},{"dropping-particle":"","family":"Francek","given":"Emmy R.","non-dropping-particle":"","parse-names":false,"suffix":""},{"dropping-particle":"","family":"Haddad","given":"Majood","non-dropping-particle":"","parse-names":false,"suffix":""},{"dropping-particle":"","family":"Guthridge","given":"Joel","non-dropping-particle":"","parse-names":false,"suffix":""},{"dropping-particle":"","family":"Wilhelm","given":"Stefan","non-dropping-particle":"","parse-names":false,"suffix":""}],"container-title":"Nano Letters","id":"ITEM-4","issue":"1","issued":{"date-parts":[["2022"]]},"page":"294-301","title":"Quantifying Chemical Composition and Reaction Kinetics of Individual Colloidally Dispersed Nanoparticles","type":"article-journal","volume":"22"},"uris":["http://www.mendeley.com/documents/?uuid=99199b29-0cc9-4a71-aa4c-1ef12c1379a5"]}],"mendeley":{"formattedCitation":"&lt;sup&gt;180,299,312,313&lt;/sup&gt;","plainTextFormattedCitation":"180,299,312,313","previouslyFormattedCitation":"&lt;sup&gt;180,299,312,313&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180,299,312,313</w:t>
      </w:r>
      <w:r w:rsidRPr="000D3D4F">
        <w:rPr>
          <w:rFonts w:ascii="Arial" w:hAnsi="Arial" w:cs="Arial"/>
          <w:sz w:val="24"/>
          <w:szCs w:val="24"/>
        </w:rPr>
        <w:fldChar w:fldCharType="end"/>
      </w:r>
      <w:r w:rsidRPr="000D3D4F">
        <w:rPr>
          <w:rFonts w:ascii="Arial" w:hAnsi="Arial" w:cs="Arial"/>
          <w:sz w:val="24"/>
          <w:szCs w:val="24"/>
        </w:rPr>
        <w:t xml:space="preserve"> Figure S</w:t>
      </w:r>
      <w:r w:rsidR="004A2E41">
        <w:rPr>
          <w:rFonts w:ascii="Arial" w:hAnsi="Arial" w:cs="Arial"/>
          <w:sz w:val="24"/>
          <w:szCs w:val="24"/>
        </w:rPr>
        <w:t>2.</w:t>
      </w:r>
      <w:r w:rsidRPr="000D3D4F">
        <w:rPr>
          <w:rFonts w:ascii="Arial" w:hAnsi="Arial" w:cs="Arial"/>
          <w:sz w:val="24"/>
          <w:szCs w:val="24"/>
        </w:rPr>
        <w:t>15 demonstrates that there is no significant difference (p&gt;0.9999) in the means of the distributions of HEP- or PEG-AuNPs, respectively, in any of the tested conditions compared to the ultrapure H2O control group. These results suggest that the AuNPs may not significantly aggregate intracellularly. These results further suggest that the AuNP light scattering signals we acquired were not significantly affected by aggregated AuNPs.</w:t>
      </w:r>
    </w:p>
    <w:p w14:paraId="08D9822C" w14:textId="77777777" w:rsidR="00E02D3D" w:rsidRPr="008D2F80" w:rsidRDefault="000D3D4F" w:rsidP="00721691">
      <w:pPr>
        <w:pStyle w:val="Heading2"/>
      </w:pPr>
      <w:bookmarkStart w:id="41" w:name="_Toc151032425"/>
      <w:r w:rsidRPr="008C387C">
        <w:t>2.3 Conclusion</w:t>
      </w:r>
      <w:bookmarkEnd w:id="41"/>
    </w:p>
    <w:p w14:paraId="44A59648" w14:textId="77777777" w:rsidR="00721691" w:rsidRPr="008D2F80" w:rsidRDefault="00721691" w:rsidP="00721691"/>
    <w:p w14:paraId="7AB34206" w14:textId="408C67D4" w:rsidR="00C607A8" w:rsidRDefault="00E02D3D" w:rsidP="000D3D4F">
      <w:pPr>
        <w:spacing w:line="480" w:lineRule="auto"/>
        <w:jc w:val="both"/>
        <w:rPr>
          <w:rFonts w:ascii="Arial" w:hAnsi="Arial" w:cs="Arial"/>
          <w:sz w:val="24"/>
          <w:szCs w:val="24"/>
        </w:rPr>
      </w:pPr>
      <w:r w:rsidRPr="008D2F80">
        <w:rPr>
          <w:rFonts w:ascii="Arial" w:hAnsi="Arial" w:cs="Arial"/>
          <w:b/>
          <w:bCs/>
          <w:sz w:val="24"/>
          <w:szCs w:val="24"/>
        </w:rPr>
        <w:tab/>
      </w:r>
      <w:r w:rsidRPr="008C387C">
        <w:rPr>
          <w:rFonts w:ascii="Arial" w:hAnsi="Arial" w:cs="Arial"/>
          <w:sz w:val="24"/>
          <w:szCs w:val="24"/>
        </w:rPr>
        <w:t xml:space="preserve">Here, we established a </w:t>
      </w:r>
      <w:r w:rsidR="000E442D" w:rsidRPr="008C387C">
        <w:rPr>
          <w:rFonts w:ascii="Arial" w:hAnsi="Arial" w:cs="Arial"/>
          <w:sz w:val="24"/>
          <w:szCs w:val="24"/>
        </w:rPr>
        <w:t>3D-super-resolution microscopy method for visualizing the distribution of metallic nanoparticles within cultured cells. The use of proExM allows for a &gt;4X increase in the attainable spatial resolution for visualizing cultured cells with a standard CLSM</w:t>
      </w:r>
      <w:r w:rsidR="00C607A8" w:rsidRPr="008C387C">
        <w:rPr>
          <w:rFonts w:ascii="Arial" w:hAnsi="Arial" w:cs="Arial"/>
          <w:sz w:val="24"/>
          <w:szCs w:val="24"/>
        </w:rPr>
        <w:t xml:space="preserve">. The use of </w:t>
      </w:r>
      <w:r w:rsidR="00DE2367" w:rsidRPr="008C387C">
        <w:rPr>
          <w:rFonts w:ascii="Arial" w:hAnsi="Arial" w:cs="Arial"/>
          <w:sz w:val="24"/>
          <w:szCs w:val="24"/>
        </w:rPr>
        <w:t xml:space="preserve">label-free </w:t>
      </w:r>
      <w:r w:rsidR="00C607A8" w:rsidRPr="008C387C">
        <w:rPr>
          <w:rFonts w:ascii="Arial" w:hAnsi="Arial" w:cs="Arial"/>
          <w:sz w:val="24"/>
          <w:szCs w:val="24"/>
        </w:rPr>
        <w:t>nanoparticle light scattering imaging in conjunction with a bulk(pan) stain following proExM allows for the localization of nanoparticles within the intracellular vesicles of cultured cells.</w:t>
      </w:r>
      <w:r w:rsidR="00DE2367" w:rsidRPr="008C387C">
        <w:rPr>
          <w:rFonts w:ascii="Arial" w:hAnsi="Arial" w:cs="Arial"/>
          <w:sz w:val="24"/>
          <w:szCs w:val="24"/>
        </w:rPr>
        <w:t xml:space="preserve"> This new method allows for more detailed analyses of nanoparticle-cellular interactions, leading to a better understanding of nanoparticle intracellular fate that will empower new research for the development of safer and more effective nanomedicine.</w:t>
      </w:r>
      <w:r w:rsidR="00DE2367">
        <w:rPr>
          <w:rFonts w:ascii="Arial" w:hAnsi="Arial" w:cs="Arial"/>
          <w:sz w:val="24"/>
          <w:szCs w:val="24"/>
        </w:rPr>
        <w:t xml:space="preserve"> </w:t>
      </w:r>
    </w:p>
    <w:p w14:paraId="1ABB5A6B" w14:textId="77777777" w:rsidR="00C607A8" w:rsidRDefault="00C607A8">
      <w:pPr>
        <w:rPr>
          <w:rFonts w:ascii="Arial" w:hAnsi="Arial" w:cs="Arial"/>
          <w:sz w:val="24"/>
          <w:szCs w:val="24"/>
        </w:rPr>
      </w:pPr>
      <w:r>
        <w:rPr>
          <w:rFonts w:ascii="Arial" w:hAnsi="Arial" w:cs="Arial"/>
          <w:sz w:val="24"/>
          <w:szCs w:val="24"/>
        </w:rPr>
        <w:br w:type="page"/>
      </w:r>
    </w:p>
    <w:p w14:paraId="3C5C5F36" w14:textId="265DCCDB" w:rsidR="000D3D4F" w:rsidRDefault="000D3D4F" w:rsidP="00721691">
      <w:pPr>
        <w:pStyle w:val="Heading1"/>
      </w:pPr>
      <w:bookmarkStart w:id="42" w:name="_Toc151032426"/>
      <w:r w:rsidRPr="000D3D4F">
        <w:lastRenderedPageBreak/>
        <w:t xml:space="preserve">Chapter </w:t>
      </w:r>
      <w:r>
        <w:t>3:</w:t>
      </w:r>
      <w:r w:rsidRPr="000D3D4F">
        <w:t xml:space="preserve"> Quantifying Intracellular Nanoparticle Distributions with Three-Dimensional Super-Resolution Microscopy</w:t>
      </w:r>
      <w:bookmarkEnd w:id="42"/>
    </w:p>
    <w:p w14:paraId="7F808B52" w14:textId="77777777" w:rsidR="00721691" w:rsidRPr="00721691" w:rsidRDefault="00721691" w:rsidP="00721691"/>
    <w:p w14:paraId="10319554" w14:textId="2B339B9D" w:rsidR="000D3D4F" w:rsidRPr="008D2F80" w:rsidRDefault="000D3D4F" w:rsidP="00721691">
      <w:pPr>
        <w:pStyle w:val="Heading2"/>
      </w:pPr>
      <w:bookmarkStart w:id="43" w:name="_Toc151032427"/>
      <w:r w:rsidRPr="008C387C">
        <w:t>3.1 Introduction</w:t>
      </w:r>
      <w:bookmarkEnd w:id="43"/>
    </w:p>
    <w:p w14:paraId="4CF43899" w14:textId="77777777" w:rsidR="00721691" w:rsidRPr="008D2F80" w:rsidRDefault="00721691" w:rsidP="00721691"/>
    <w:p w14:paraId="1B2CCDF5" w14:textId="6D8D3F25" w:rsidR="00E02D3D" w:rsidRPr="00DB5CF4" w:rsidRDefault="00E02D3D" w:rsidP="000D3D4F">
      <w:pPr>
        <w:spacing w:line="480" w:lineRule="auto"/>
        <w:jc w:val="both"/>
        <w:rPr>
          <w:rFonts w:ascii="Arial" w:hAnsi="Arial" w:cs="Arial"/>
          <w:sz w:val="24"/>
          <w:szCs w:val="24"/>
        </w:rPr>
      </w:pPr>
      <w:r w:rsidRPr="008D2F80">
        <w:rPr>
          <w:rFonts w:ascii="Arial" w:hAnsi="Arial" w:cs="Arial"/>
          <w:b/>
          <w:bCs/>
          <w:sz w:val="24"/>
          <w:szCs w:val="24"/>
        </w:rPr>
        <w:tab/>
      </w:r>
      <w:r w:rsidR="00DE2367" w:rsidRPr="008C387C">
        <w:rPr>
          <w:rFonts w:ascii="Arial" w:hAnsi="Arial" w:cs="Arial"/>
          <w:sz w:val="24"/>
          <w:szCs w:val="24"/>
        </w:rPr>
        <w:t xml:space="preserve">In Chapter 2, we demonstrated that </w:t>
      </w:r>
      <w:r w:rsidR="00B006C2" w:rsidRPr="008C387C">
        <w:rPr>
          <w:rFonts w:ascii="Arial" w:hAnsi="Arial" w:cs="Arial"/>
          <w:sz w:val="24"/>
          <w:szCs w:val="24"/>
        </w:rPr>
        <w:t>proExM is compatible with label-free nanoparticle light scattering imaging for visualizing nanoparticle distribution within intracellular vesicles. However, proExM only allows expansion factors of ~4X, so with an optical resolution limit of ~200 nm laterally,</w:t>
      </w:r>
      <w:r w:rsidR="00B006C2" w:rsidRPr="008C387C">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{"citationItems":[{"id":"ITEM-1","itemData":{"DOI":"10.1126/science.257.5067.189","ISSN":"00368075","abstract":"The near-field optical interaction between a sharp probe and a sample of interest can be exploited to image, spectroscopically probe, or modify surfaces at a resolution (down to </w:instrText>
      </w:r>
      <w:r w:rsidR="008C387C">
        <w:rPr>
          <w:rFonts w:ascii="Cambria Math" w:hAnsi="Cambria Math" w:cs="Cambria Math"/>
          <w:sz w:val="24"/>
          <w:szCs w:val="24"/>
        </w:rPr>
        <w:instrText>∼</w:instrText>
      </w:r>
      <w:r w:rsidR="008C387C">
        <w:rPr>
          <w:rFonts w:ascii="Arial" w:hAnsi="Arial" w:cs="Arial"/>
          <w:sz w:val="24"/>
          <w:szCs w:val="24"/>
        </w:rPr>
        <w:instrText>12 nm) inaccessible by traditional far-field techniques. Many of the attractive features of conventional optics are retained, including noninvasiveness, reliability, and low cost. In addition, most optical contrast mechanisms can be extended to the near-field regime, resulting in a technique of considerable versatility. This versatility is demonstrated by several examples, such as the imaging of nanometric-scale features in mammalian tissue sections and the creation of ultrasmall, magneto-optic domains having implications for high-density data storage. Although the technique may find uses in many diverse fields, two of the most exciting possibilities are localized optical spectroscopy of semiconductors and the fluorescence imaging of living cells.","author":[{"dropping-particle":"","family":"Betzig","given":"Eric","non-dropping-particle":"","parse-names":false,"suffix":""},{"dropping-particle":"","family":"Trautman","given":"Jay K.","non-dropping-particle":"","parse-names":false,"suffix":""}],"container-title":"Science","id":"ITEM-1","issue":"5067","issued":{"date-parts":[["1992"]]},"page":"189-195","title":"Near-field optics: Microscopy, spectroscopy, and surface modification beyond the diffraction limit","type":"article-journal","volume":"257"},"uris":["http://www.mendeley.com/documents/?uuid=f7b56d9d-a85b-4491-a971-1830b45681de"]}],"mendeley":{"formattedCitation":"&lt;sup&gt;241&lt;/sup&gt;","plainTextFormattedCitation":"241","previouslyFormattedCitation":"&lt;sup&gt;241&lt;/sup&gt;"},"properties":{"noteIndex":0},"schema":"https://github.com/citation-style-language/schema/raw/master/csl-citation.json"}</w:instrText>
      </w:r>
      <w:r w:rsidR="00B006C2" w:rsidRPr="008C387C">
        <w:rPr>
          <w:rFonts w:ascii="Arial" w:hAnsi="Arial" w:cs="Arial"/>
          <w:sz w:val="24"/>
          <w:szCs w:val="24"/>
        </w:rPr>
        <w:fldChar w:fldCharType="separate"/>
      </w:r>
      <w:r w:rsidR="009D7D40" w:rsidRPr="008C387C">
        <w:rPr>
          <w:rFonts w:ascii="Arial" w:hAnsi="Arial" w:cs="Arial"/>
          <w:noProof/>
          <w:sz w:val="24"/>
          <w:szCs w:val="24"/>
          <w:vertAlign w:val="superscript"/>
        </w:rPr>
        <w:t>241</w:t>
      </w:r>
      <w:r w:rsidR="00B006C2" w:rsidRPr="008C387C">
        <w:rPr>
          <w:rFonts w:ascii="Arial" w:hAnsi="Arial" w:cs="Arial"/>
          <w:sz w:val="24"/>
          <w:szCs w:val="24"/>
        </w:rPr>
        <w:fldChar w:fldCharType="end"/>
      </w:r>
      <w:r w:rsidR="00B006C2" w:rsidRPr="008C387C">
        <w:rPr>
          <w:rFonts w:ascii="Arial" w:hAnsi="Arial" w:cs="Arial"/>
          <w:sz w:val="24"/>
          <w:szCs w:val="24"/>
        </w:rPr>
        <w:t xml:space="preserve"> this process results in an expansion corrected lateral resolution limit of ~50 nm. As mentioned in Figure 1.6, most intracellular vesicles formed through the primary endocytosis pathways that are of interest for transcytosis across endothelial cells </w:t>
      </w:r>
      <w:r w:rsidR="000B197B" w:rsidRPr="008C387C">
        <w:rPr>
          <w:rFonts w:ascii="Arial" w:hAnsi="Arial" w:cs="Arial"/>
          <w:sz w:val="24"/>
          <w:szCs w:val="24"/>
        </w:rPr>
        <w:t>of tumor blood vessels are larger than 50 nm.</w:t>
      </w:r>
      <w:r w:rsidR="00DB5CF4" w:rsidRPr="008C387C">
        <w:rPr>
          <w:rFonts w:ascii="Arial" w:hAnsi="Arial" w:cs="Arial"/>
          <w:sz w:val="24"/>
          <w:szCs w:val="24"/>
        </w:rPr>
        <w:t xml:space="preserve"> While a 4X expansion should theoretically allow for most intracellular vesicles to be resolved, the actual achievable resolution with most imaging settings would be significantly lower, based on factors such as the wavelength of light being detected and the numerical aperture of the microscope objective being used.</w:t>
      </w:r>
      <w:r w:rsidR="00DB5CF4" w:rsidRPr="008C387C">
        <w:rPr>
          <w:rFonts w:ascii="Arial" w:hAnsi="Arial" w:cs="Arial"/>
          <w:sz w:val="24"/>
          <w:szCs w:val="24"/>
        </w:rPr>
        <w:fldChar w:fldCharType="begin" w:fldLock="1"/>
      </w:r>
      <w:r w:rsidR="008C387C">
        <w:rPr>
          <w:rFonts w:ascii="Arial" w:hAnsi="Arial" w:cs="Arial"/>
          <w:sz w:val="24"/>
          <w:szCs w:val="24"/>
        </w:rPr>
        <w:instrText>ADDIN CSL_CITATION {"citationItems":[{"id":"ITEM-1","itemData":{"DOI":"10.1038/s41596-020-0313-9","ISSN":"17502799","PMID":"32235926","abstract":"When used appropriately, a confocal fluorescence microscope is an excellent tool for making quantitative measurements in cells and tissues. The confocal microscope’s ability to block out-of-focus light and thereby perform optical sectioning through a specimen allows the researcher to quantify fluorescence with very high spatial precision. However, generating meaningful data using confocal microscopy requires careful planning and a thorough understanding of the technique. In this tutorial, the researcher is guided through all aspects of acquiring quantitative confocal microscopy images, including optimizing sample preparation for fixed and live cells, choosing the most suitable microscope for a given application and configuring the microscope parameters. Suggestions are offered for planning unbiased and rigorous confocal microscope experiments. Common pitfalls such as photobleaching and cross-talk are addressed, as well as several troubling instrumentation problems that may prevent the acquisition of quantitative data. Finally, guidelines for analyzing and presenting confocal images in a way that maintains the quantitative nature of the data are presented, and statistical analysis is discussed. A visual summary of this tutorial is available as a poster (https://doi.org/10.1038/s41596-020-0307-7).","author":[{"dropping-particle":"","family":"Jonkman","given":"James","non-dropping-particle":"","parse-names":false,"suffix":""},{"dropping-particle":"","family":"Brown","given":"Claire M.","non-dropping-particle":"","parse-names":false,"suffix":""},{"dropping-particle":"","family":"Wright","given":"Graham D.","non-dropping-particle":"","parse-names":false,"suffix":""},{"dropping-particle":"","family":"Anderson","given":"Kurt I.","non-dropping-particle":"","parse-names":false,"suffix":""},{"dropping-particle":"","family":"North","given":"Alison J.","non-dropping-particle":"","parse-names":false,"suffix":""}],"container-title":"Nature Protocols","id":"ITEM-1","issue":"5","issued":{"date-parts":[["2020"]]},"page":"1585-1611","publisher":"Springer US","title":"Tutorial: guidance for quantitative confocal microscopy","type":"article-journal","volume":"15"},"uris":["http://www.mendeley.com/documents/?uuid=caa75207-8978-402c-a578-41eee65973ff"]}],"mendeley":{"formattedCitation":"&lt;sup&gt;277&lt;/sup&gt;","plainTextFormattedCitation":"277","previouslyFormattedCitation":"&lt;sup&gt;277&lt;/sup&gt;"},"properties":{"noteIndex":0},"schema":"https://github.com/citation-style-language/schema/raw/master/csl-citation.json"}</w:instrText>
      </w:r>
      <w:r w:rsidR="00DB5CF4" w:rsidRPr="008C387C">
        <w:rPr>
          <w:rFonts w:ascii="Arial" w:hAnsi="Arial" w:cs="Arial"/>
          <w:sz w:val="24"/>
          <w:szCs w:val="24"/>
        </w:rPr>
        <w:fldChar w:fldCharType="separate"/>
      </w:r>
      <w:r w:rsidR="009D7D40" w:rsidRPr="008C387C">
        <w:rPr>
          <w:rFonts w:ascii="Arial" w:hAnsi="Arial" w:cs="Arial"/>
          <w:noProof/>
          <w:sz w:val="24"/>
          <w:szCs w:val="24"/>
          <w:vertAlign w:val="superscript"/>
        </w:rPr>
        <w:t>277</w:t>
      </w:r>
      <w:r w:rsidR="00DB5CF4" w:rsidRPr="008C387C">
        <w:rPr>
          <w:rFonts w:ascii="Arial" w:hAnsi="Arial" w:cs="Arial"/>
          <w:sz w:val="24"/>
          <w:szCs w:val="24"/>
        </w:rPr>
        <w:fldChar w:fldCharType="end"/>
      </w:r>
      <w:r w:rsidR="00DB5CF4" w:rsidRPr="008C387C">
        <w:rPr>
          <w:rFonts w:ascii="Arial" w:hAnsi="Arial" w:cs="Arial"/>
          <w:sz w:val="24"/>
          <w:szCs w:val="24"/>
        </w:rPr>
        <w:t xml:space="preserve"> Therefore, higher expansion factors are needed to resolve smaller vesicles.</w:t>
      </w:r>
      <w:r w:rsidR="00DB5CF4" w:rsidRPr="008D2F80">
        <w:rPr>
          <w:rFonts w:ascii="Arial" w:hAnsi="Arial" w:cs="Arial"/>
          <w:sz w:val="24"/>
          <w:szCs w:val="24"/>
        </w:rPr>
        <w:t xml:space="preserve"> To achieve such higher resolutions, we adopted the pan-ExM protocol</w:t>
      </w:r>
      <w:r w:rsidR="00CC5600" w:rsidRPr="008D2F80">
        <w:rPr>
          <w:rFonts w:ascii="Arial" w:hAnsi="Arial" w:cs="Arial"/>
          <w:sz w:val="24"/>
          <w:szCs w:val="24"/>
        </w:rPr>
        <w:t>.</w:t>
      </w:r>
      <w:r w:rsidR="00DB5CF4" w:rsidRPr="008D2F80">
        <w:rPr>
          <w:rFonts w:ascii="Arial" w:hAnsi="Arial" w:cs="Arial"/>
          <w:sz w:val="24"/>
          <w:szCs w:val="24"/>
        </w:rPr>
        <w:fldChar w:fldCharType="begin" w:fldLock="1"/>
      </w:r>
      <w:r w:rsidR="008C387C">
        <w:rPr>
          <w:rFonts w:ascii="Arial"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mendeley":{"formattedCitation":"&lt;sup&gt;280&lt;/sup&gt;","plainTextFormattedCitation":"280","previouslyFormattedCitation":"&lt;sup&gt;280&lt;/sup&gt;"},"properties":{"noteIndex":0},"schema":"https://github.com/citation-style-language/schema/raw/master/csl-citation.json"}</w:instrText>
      </w:r>
      <w:r w:rsidR="00DB5CF4" w:rsidRPr="008D2F80">
        <w:rPr>
          <w:rFonts w:ascii="Arial" w:hAnsi="Arial" w:cs="Arial"/>
          <w:sz w:val="24"/>
          <w:szCs w:val="24"/>
        </w:rPr>
        <w:fldChar w:fldCharType="separate"/>
      </w:r>
      <w:r w:rsidR="009D7D40" w:rsidRPr="008D2F80">
        <w:rPr>
          <w:rFonts w:ascii="Arial" w:hAnsi="Arial" w:cs="Arial"/>
          <w:noProof/>
          <w:sz w:val="24"/>
          <w:szCs w:val="24"/>
          <w:vertAlign w:val="superscript"/>
        </w:rPr>
        <w:t>280</w:t>
      </w:r>
      <w:r w:rsidR="00DB5CF4" w:rsidRPr="008D2F80">
        <w:rPr>
          <w:rFonts w:ascii="Arial" w:hAnsi="Arial" w:cs="Arial"/>
          <w:sz w:val="24"/>
          <w:szCs w:val="24"/>
        </w:rPr>
        <w:fldChar w:fldCharType="end"/>
      </w:r>
      <w:r w:rsidR="00DB5CF4" w:rsidRPr="008D2F80">
        <w:rPr>
          <w:rFonts w:ascii="Arial" w:hAnsi="Arial" w:cs="Arial"/>
          <w:sz w:val="24"/>
          <w:szCs w:val="24"/>
        </w:rPr>
        <w:t xml:space="preserve"> Pan-ExM uses a protease-free, iterative hydrogel expansion</w:t>
      </w:r>
      <w:r w:rsidR="00DB5CF4" w:rsidRPr="00DB5CF4">
        <w:rPr>
          <w:rFonts w:ascii="Arial" w:hAnsi="Arial" w:cs="Arial"/>
          <w:sz w:val="24"/>
          <w:szCs w:val="24"/>
        </w:rPr>
        <w:t xml:space="preserve"> process that results in a linear expansion factor between ~10-20X, corresponding to a lateral resolution of ~10-20 nm. </w:t>
      </w:r>
      <w:bookmarkStart w:id="44" w:name="_Hlk129771183"/>
      <w:r w:rsidR="00DB5CF4" w:rsidRPr="00DB5CF4">
        <w:rPr>
          <w:rFonts w:ascii="Arial" w:hAnsi="Arial" w:cs="Arial"/>
          <w:sz w:val="24"/>
          <w:szCs w:val="24"/>
        </w:rPr>
        <w:t>This protocol enables the resolution of many intracellular features, such as individual mitochondria. The visualizations of these intracellular features through pan-ExM have been validated by Bewersdorf et al., who compared the expansion-corrected measured distances between internal cristae of mitochondria in expanded HeLa cells to previously published reports from STED images of live HeLa cells.</w:t>
      </w:r>
      <w:r w:rsidR="00DB5CF4" w:rsidRPr="00DB5CF4">
        <w:rPr>
          <w:rFonts w:ascii="Arial" w:hAnsi="Arial" w:cs="Arial"/>
          <w:sz w:val="24"/>
          <w:szCs w:val="24"/>
        </w:rPr>
        <w:fldChar w:fldCharType="begin" w:fldLock="1"/>
      </w:r>
      <w:r w:rsidR="008C387C">
        <w:rPr>
          <w:rFonts w:ascii="Arial"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context","type":"article-journal","volume":"11"},"uris":["http://www.mendeley.com/documents/?uuid=4a540ae9-cfd4-4c46-9883-3156d444641e"]},{"id":"ITEM-2","itemData":{"DOI":"10.1038/s41598-019-48838-2","ISSN":"20452322","PMID":"31455826","abstract":"Mitochondria are highly dynamic organelles that exhibit a complex inner architecture. They exhibit a smooth outer membrane and a highly convoluted inner membrane that forms invaginations called cristae. Imaging cristae in living cells poses a formidable challenge for super-resolution light microscopy. Relying on a cell line stably expressing the mitochondrial protein COX8A fused to the SNAP-tag and using STED (stimulated emission depletion) nanoscopy, we demonstrate the visualization of cristae dynamics in cultivated human cells. We show that in human HeLa cells lamellar cristae are often arranged in groups separated by voids that are generally occupied by mitochondrial nucleoids.","author":[{"dropping-particle":"","family":"Stephan","given":"Till","non-dropping-particle":"","parse-names":false,"suffix":""},{"dropping-particle":"","family":"Roesch","given":"Axel","non-dropping-particle":"","parse-names":false,"suffix":""},{"dropping-particle":"","family":"Riedel","given":"Dietmar","non-dropping-particle":"","parse-names":false,"suffix":""},{"dropping-particle":"","family":"Jakobs","given":"Stefan","non-dropping-particle":"","parse-names":false,"suffix":""}],"container-title":"Scientific Reports","id":"ITEM-2","issue":"1","issued":{"date-parts":[["2019"]]},"page":"1-6","title":"Live-cell STED nanoscopy of mitochondrial cristae","type":"article-journal","volume":"9"},"uris":["http://www.mendeley.com/documents/?uuid=ce188452-148b-4fd4-9c8e-7d950dd45dd6"]}],"mendeley":{"formattedCitation":"&lt;sup&gt;280,314&lt;/sup&gt;","plainTextFormattedCitation":"280,314","previouslyFormattedCitation":"&lt;sup&gt;280,314&lt;/sup&gt;"},"properties":{"noteIndex":0},"schema":"https://github.com/citation-style-language/schema/raw/master/csl-citation.json"}</w:instrText>
      </w:r>
      <w:r w:rsidR="00DB5CF4" w:rsidRPr="00DB5CF4">
        <w:rPr>
          <w:rFonts w:ascii="Arial" w:hAnsi="Arial" w:cs="Arial"/>
          <w:sz w:val="24"/>
          <w:szCs w:val="24"/>
        </w:rPr>
        <w:fldChar w:fldCharType="separate"/>
      </w:r>
      <w:r w:rsidR="009D7D40" w:rsidRPr="009D7D40">
        <w:rPr>
          <w:rFonts w:ascii="Arial" w:hAnsi="Arial" w:cs="Arial"/>
          <w:noProof/>
          <w:sz w:val="24"/>
          <w:szCs w:val="24"/>
          <w:vertAlign w:val="superscript"/>
        </w:rPr>
        <w:t>280,314</w:t>
      </w:r>
      <w:r w:rsidR="00DB5CF4" w:rsidRPr="00DB5CF4">
        <w:rPr>
          <w:rFonts w:ascii="Arial" w:hAnsi="Arial" w:cs="Arial"/>
          <w:sz w:val="24"/>
          <w:szCs w:val="24"/>
        </w:rPr>
        <w:fldChar w:fldCharType="end"/>
      </w:r>
      <w:bookmarkEnd w:id="44"/>
    </w:p>
    <w:p w14:paraId="2EB672F6" w14:textId="77777777" w:rsidR="00E02D3D" w:rsidRDefault="00E02D3D" w:rsidP="000D3D4F">
      <w:pPr>
        <w:spacing w:line="480" w:lineRule="auto"/>
        <w:jc w:val="both"/>
        <w:rPr>
          <w:rFonts w:ascii="Arial" w:hAnsi="Arial" w:cs="Arial"/>
          <w:b/>
          <w:bCs/>
          <w:sz w:val="24"/>
          <w:szCs w:val="24"/>
        </w:rPr>
      </w:pPr>
    </w:p>
    <w:p w14:paraId="2897DBAF" w14:textId="18DD0495" w:rsidR="000D3D4F" w:rsidRDefault="000D3D4F" w:rsidP="00721691">
      <w:pPr>
        <w:pStyle w:val="Heading2"/>
      </w:pPr>
      <w:bookmarkStart w:id="45" w:name="_Toc151032428"/>
      <w:r>
        <w:t>3</w:t>
      </w:r>
      <w:r w:rsidRPr="000D3D4F">
        <w:t>.2</w:t>
      </w:r>
      <w:r>
        <w:t xml:space="preserve"> </w:t>
      </w:r>
      <w:r w:rsidRPr="000D3D4F">
        <w:t>Results and Discussion</w:t>
      </w:r>
      <w:bookmarkEnd w:id="45"/>
    </w:p>
    <w:p w14:paraId="0DC780B7" w14:textId="77777777" w:rsidR="00721691" w:rsidRPr="00721691" w:rsidRDefault="00721691" w:rsidP="00721691"/>
    <w:p w14:paraId="49F8D285" w14:textId="6ADC44C8" w:rsidR="000D3D4F" w:rsidRDefault="000D3D4F" w:rsidP="00721691">
      <w:pPr>
        <w:pStyle w:val="Heading3"/>
      </w:pPr>
      <w:bookmarkStart w:id="46" w:name="_Toc151032429"/>
      <w:bookmarkEnd w:id="40"/>
      <w:r>
        <w:t xml:space="preserve">3.2.1 </w:t>
      </w:r>
      <w:r w:rsidRPr="000D3D4F">
        <w:t>Super-resolution 3D imaging of nanoparticle intracellular localization</w:t>
      </w:r>
      <w:bookmarkEnd w:id="46"/>
    </w:p>
    <w:p w14:paraId="5F434519" w14:textId="77777777" w:rsidR="00721691" w:rsidRPr="00721691" w:rsidRDefault="00721691" w:rsidP="00721691"/>
    <w:p w14:paraId="69B11959" w14:textId="00296C2B" w:rsidR="00E57377" w:rsidRDefault="00CC5600" w:rsidP="000D3D4F">
      <w:pPr>
        <w:spacing w:after="0" w:line="480" w:lineRule="auto"/>
        <w:ind w:firstLine="360"/>
        <w:jc w:val="both"/>
        <w:rPr>
          <w:rFonts w:ascii="Arial" w:hAnsi="Arial" w:cs="Arial"/>
          <w:sz w:val="24"/>
          <w:szCs w:val="24"/>
        </w:rPr>
      </w:pPr>
      <w:r w:rsidRPr="008C387C">
        <w:rPr>
          <w:rFonts w:ascii="Arial" w:hAnsi="Arial" w:cs="Arial"/>
          <w:sz w:val="24"/>
          <w:szCs w:val="24"/>
        </w:rPr>
        <w:t>Here, we applied pan-ExM to our method of visualizing metallic nanoparticles within cultured cells.</w:t>
      </w:r>
      <w:r w:rsidRPr="008D2F80">
        <w:rPr>
          <w:rFonts w:ascii="Arial" w:hAnsi="Arial" w:cs="Arial"/>
          <w:sz w:val="24"/>
          <w:szCs w:val="24"/>
        </w:rPr>
        <w:t xml:space="preserve"> </w:t>
      </w:r>
      <w:r w:rsidR="000D3D4F" w:rsidRPr="008D2F80">
        <w:rPr>
          <w:rFonts w:ascii="Arial" w:hAnsi="Arial" w:cs="Arial"/>
          <w:sz w:val="24"/>
          <w:szCs w:val="24"/>
        </w:rPr>
        <w:t xml:space="preserve">Figure </w:t>
      </w:r>
      <w:r w:rsidR="00847387" w:rsidRPr="008D2F80">
        <w:rPr>
          <w:rFonts w:ascii="Arial" w:hAnsi="Arial" w:cs="Arial"/>
          <w:sz w:val="24"/>
          <w:szCs w:val="24"/>
        </w:rPr>
        <w:t>3.1</w:t>
      </w:r>
      <w:r w:rsidR="000D3D4F" w:rsidRPr="008D2F80">
        <w:rPr>
          <w:rFonts w:ascii="Arial" w:hAnsi="Arial" w:cs="Arial"/>
          <w:sz w:val="24"/>
          <w:szCs w:val="24"/>
        </w:rPr>
        <w:t xml:space="preserve"> (a-b) shows non-expanded RAW 264.7 macrophages with and</w:t>
      </w:r>
      <w:r w:rsidR="000D3D4F" w:rsidRPr="000D3D4F">
        <w:rPr>
          <w:rFonts w:ascii="Arial" w:hAnsi="Arial" w:cs="Arial"/>
          <w:sz w:val="24"/>
          <w:szCs w:val="24"/>
        </w:rPr>
        <w:t xml:space="preserve"> without intracellular HEP-AuNPs, respectively. In Figure </w:t>
      </w:r>
      <w:r w:rsidR="00847387">
        <w:rPr>
          <w:rFonts w:ascii="Arial" w:hAnsi="Arial" w:cs="Arial"/>
          <w:sz w:val="24"/>
          <w:szCs w:val="24"/>
        </w:rPr>
        <w:t>3.1</w:t>
      </w:r>
      <w:r w:rsidR="000D3D4F" w:rsidRPr="000D3D4F">
        <w:rPr>
          <w:rFonts w:ascii="Arial" w:hAnsi="Arial" w:cs="Arial"/>
          <w:sz w:val="24"/>
          <w:szCs w:val="24"/>
        </w:rPr>
        <w:t xml:space="preserve"> (c, d), we show the 3D reconstructions of CLSM Z-stacks of RAW 264.7 with and without HEP-AuNPs treatment after pan-ExM, along with two individual slices from the stacks (Movies S1, S2). We show that the nanoparticle light scattering signals were localized within intracellular vesicles throughout multiple Z positions in the HEP-AuNP group with no visible signal in the control group. This result confirms the compatibility of pan-ExM with label-free nanoparticle light scattering imaging, while demonstrating that the achievable resolution through this method is sufficient for qualitatively analyzing intracellular nanoparticle distributions.</w:t>
      </w:r>
    </w:p>
    <w:p w14:paraId="778AC272" w14:textId="77777777" w:rsidR="00E57377" w:rsidRDefault="00E57377">
      <w:pPr>
        <w:rPr>
          <w:rFonts w:ascii="Arial" w:hAnsi="Arial" w:cs="Arial"/>
          <w:sz w:val="24"/>
          <w:szCs w:val="24"/>
        </w:rPr>
      </w:pPr>
      <w:r>
        <w:rPr>
          <w:rFonts w:ascii="Arial" w:hAnsi="Arial" w:cs="Arial"/>
          <w:sz w:val="24"/>
          <w:szCs w:val="24"/>
        </w:rPr>
        <w:br w:type="page"/>
      </w:r>
    </w:p>
    <w:p w14:paraId="4E107942" w14:textId="77777777" w:rsidR="00E57377" w:rsidRDefault="00E57377" w:rsidP="00E5737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1026819" wp14:editId="397A9A4E">
            <wp:extent cx="5666658" cy="7441654"/>
            <wp:effectExtent l="0" t="0" r="0" b="6985"/>
            <wp:docPr id="1740099120" name="Picture 17400991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78173" cy="7456776"/>
                    </a:xfrm>
                    <a:prstGeom prst="rect">
                      <a:avLst/>
                    </a:prstGeom>
                    <a:noFill/>
                    <a:ln>
                      <a:noFill/>
                    </a:ln>
                  </pic:spPr>
                </pic:pic>
              </a:graphicData>
            </a:graphic>
          </wp:inline>
        </w:drawing>
      </w:r>
    </w:p>
    <w:p w14:paraId="5D7E45DF" w14:textId="273CD80B" w:rsidR="00E57377" w:rsidRPr="00E57377" w:rsidRDefault="00E57377" w:rsidP="00682A57">
      <w:pPr>
        <w:jc w:val="both"/>
        <w:rPr>
          <w:rFonts w:ascii="Arial" w:hAnsi="Arial" w:cs="Arial"/>
          <w:sz w:val="24"/>
          <w:szCs w:val="24"/>
        </w:rPr>
      </w:pPr>
      <w:r w:rsidRPr="00E57377">
        <w:rPr>
          <w:rFonts w:ascii="Arial" w:hAnsi="Arial" w:cs="Arial"/>
          <w:b/>
          <w:bCs/>
          <w:sz w:val="24"/>
          <w:szCs w:val="24"/>
        </w:rPr>
        <w:t xml:space="preserve">Figure </w:t>
      </w:r>
      <w:r>
        <w:rPr>
          <w:rFonts w:ascii="Arial" w:hAnsi="Arial" w:cs="Arial"/>
          <w:b/>
          <w:bCs/>
          <w:sz w:val="24"/>
          <w:szCs w:val="24"/>
        </w:rPr>
        <w:t>3.1</w:t>
      </w:r>
      <w:r w:rsidRPr="00E57377">
        <w:rPr>
          <w:rFonts w:ascii="Arial" w:hAnsi="Arial" w:cs="Arial"/>
          <w:b/>
          <w:bCs/>
          <w:sz w:val="24"/>
          <w:szCs w:val="24"/>
        </w:rPr>
        <w:t>: Pan-ExM enables the 3D super-resolution imaging of cultured cells with high levels of specific AuNP localization.</w:t>
      </w:r>
      <w:r w:rsidRPr="00E57377">
        <w:rPr>
          <w:rFonts w:ascii="Arial" w:hAnsi="Arial" w:cs="Arial"/>
          <w:sz w:val="24"/>
          <w:szCs w:val="24"/>
        </w:rPr>
        <w:t xml:space="preserve"> Images of non-expanded RAW 264.7 </w:t>
      </w:r>
      <w:r w:rsidRPr="00E57377">
        <w:rPr>
          <w:rFonts w:ascii="Arial" w:hAnsi="Arial" w:cs="Arial"/>
          <w:sz w:val="24"/>
          <w:szCs w:val="24"/>
        </w:rPr>
        <w:lastRenderedPageBreak/>
        <w:t xml:space="preserve">macrophages stained with NHS-AF555 (grey) with- </w:t>
      </w:r>
      <w:r w:rsidRPr="00E57377">
        <w:rPr>
          <w:rFonts w:ascii="Arial" w:hAnsi="Arial" w:cs="Arial"/>
          <w:b/>
          <w:bCs/>
          <w:sz w:val="24"/>
          <w:szCs w:val="24"/>
        </w:rPr>
        <w:t>(a)</w:t>
      </w:r>
      <w:r w:rsidRPr="00E57377">
        <w:rPr>
          <w:rFonts w:ascii="Arial" w:hAnsi="Arial" w:cs="Arial"/>
          <w:sz w:val="24"/>
          <w:szCs w:val="24"/>
        </w:rPr>
        <w:t xml:space="preserve"> or without </w:t>
      </w:r>
      <w:r w:rsidRPr="00E57377">
        <w:rPr>
          <w:rFonts w:ascii="Arial" w:hAnsi="Arial" w:cs="Arial"/>
          <w:b/>
          <w:bCs/>
          <w:sz w:val="24"/>
          <w:szCs w:val="24"/>
        </w:rPr>
        <w:t>(b)</w:t>
      </w:r>
      <w:r w:rsidRPr="00E57377">
        <w:rPr>
          <w:rFonts w:ascii="Arial" w:hAnsi="Arial" w:cs="Arial"/>
          <w:sz w:val="24"/>
          <w:szCs w:val="24"/>
        </w:rPr>
        <w:t xml:space="preserve"> HEP-AuNPs, with the AuNP light scattering signal shown in red. Post pan-ExM images of cells </w:t>
      </w:r>
      <w:r w:rsidRPr="00E57377">
        <w:rPr>
          <w:rFonts w:ascii="Arial" w:hAnsi="Arial" w:cs="Arial"/>
          <w:b/>
          <w:bCs/>
          <w:sz w:val="24"/>
          <w:szCs w:val="24"/>
        </w:rPr>
        <w:t>(c, d)</w:t>
      </w:r>
      <w:r w:rsidRPr="00E57377">
        <w:rPr>
          <w:rFonts w:ascii="Arial" w:hAnsi="Arial" w:cs="Arial"/>
          <w:sz w:val="24"/>
          <w:szCs w:val="24"/>
        </w:rPr>
        <w:t xml:space="preserve"> with 3D reconstructions of CLSM Z-stacks. Images (</w:t>
      </w:r>
      <w:proofErr w:type="spellStart"/>
      <w:r w:rsidRPr="00E57377">
        <w:rPr>
          <w:rFonts w:ascii="Arial" w:hAnsi="Arial" w:cs="Arial"/>
          <w:sz w:val="24"/>
          <w:szCs w:val="24"/>
        </w:rPr>
        <w:t>i</w:t>
      </w:r>
      <w:proofErr w:type="spellEnd"/>
      <w:r w:rsidRPr="00E57377">
        <w:rPr>
          <w:rFonts w:ascii="Arial" w:hAnsi="Arial" w:cs="Arial"/>
          <w:sz w:val="24"/>
          <w:szCs w:val="24"/>
        </w:rPr>
        <w:t xml:space="preserve">) and (ii) depict individual </w:t>
      </w:r>
      <w:proofErr w:type="spellStart"/>
      <w:proofErr w:type="gramStart"/>
      <w:r w:rsidRPr="00E57377">
        <w:rPr>
          <w:rFonts w:ascii="Arial" w:hAnsi="Arial" w:cs="Arial"/>
          <w:sz w:val="24"/>
          <w:szCs w:val="24"/>
        </w:rPr>
        <w:t>x,y</w:t>
      </w:r>
      <w:proofErr w:type="spellEnd"/>
      <w:proofErr w:type="gramEnd"/>
      <w:r w:rsidRPr="00E57377">
        <w:rPr>
          <w:rFonts w:ascii="Arial" w:hAnsi="Arial" w:cs="Arial"/>
          <w:sz w:val="24"/>
          <w:szCs w:val="24"/>
        </w:rPr>
        <w:t xml:space="preserve">-slices. Digital magnifications of the regions of interest are shown, first with the overlay of both channels. Then the nanoparticle light scattering signal alone is shown in grayscale focused on individual vesicles revealing densely concentrated AuNPs (red) in cells. No noticeable light scattering signal in vesicles of cells that were not treated with AuNPs. The scale bars indicate 50 µm in the unmagnified images and 15 µm in the magnified images. Scale bars for images of expanded cells are the original length as taken by the microscope (i.e., not corrected for expansion factors). </w:t>
      </w:r>
      <w:r w:rsidRPr="00E57377">
        <w:rPr>
          <w:rFonts w:ascii="Arial" w:hAnsi="Arial" w:cs="Arial"/>
          <w:sz w:val="24"/>
          <w:szCs w:val="24"/>
        </w:rPr>
        <w:br w:type="page"/>
      </w:r>
    </w:p>
    <w:p w14:paraId="4A264DCA" w14:textId="2CFFEB6C" w:rsidR="000D3D4F" w:rsidRPr="000D3D4F" w:rsidRDefault="000D3D4F" w:rsidP="00E57377">
      <w:pPr>
        <w:spacing w:line="480" w:lineRule="auto"/>
        <w:ind w:firstLine="360"/>
        <w:jc w:val="both"/>
        <w:rPr>
          <w:rFonts w:ascii="Arial" w:hAnsi="Arial" w:cs="Arial"/>
          <w:sz w:val="24"/>
          <w:szCs w:val="24"/>
        </w:rPr>
      </w:pPr>
      <w:bookmarkStart w:id="47" w:name="_Hlk129772985"/>
      <w:r w:rsidRPr="000D3D4F">
        <w:rPr>
          <w:rFonts w:ascii="Arial" w:hAnsi="Arial" w:cs="Arial"/>
          <w:sz w:val="24"/>
          <w:szCs w:val="24"/>
        </w:rPr>
        <w:lastRenderedPageBreak/>
        <w:t>We then validated the visualization of intracellular vesicles through bulk (pan) staining to verify that these were not artifacts from the expansion processes. Figure S</w:t>
      </w:r>
      <w:r w:rsidR="0087397B">
        <w:rPr>
          <w:rFonts w:ascii="Arial" w:hAnsi="Arial" w:cs="Arial"/>
          <w:sz w:val="24"/>
          <w:szCs w:val="24"/>
        </w:rPr>
        <w:t>3.1</w:t>
      </w:r>
      <w:r w:rsidRPr="000D3D4F">
        <w:rPr>
          <w:rFonts w:ascii="Arial" w:hAnsi="Arial" w:cs="Arial"/>
          <w:sz w:val="24"/>
          <w:szCs w:val="24"/>
        </w:rPr>
        <w:t>a shows non-expanded RAW 264.7 macrophages with and without HEP-AuNPs imaged with standard CLSM settings. Here, we see some dark areas within the cytoplasm that exhibit nanoparticle light scattering signals, however, there is insufficient resolution to fully localize the nanoparticle light scattering signals within the vesicles. Therefore, in Figure S</w:t>
      </w:r>
      <w:r w:rsidR="00847387">
        <w:rPr>
          <w:rFonts w:ascii="Arial" w:hAnsi="Arial" w:cs="Arial"/>
          <w:sz w:val="24"/>
          <w:szCs w:val="24"/>
        </w:rPr>
        <w:t>3.1</w:t>
      </w:r>
      <w:r w:rsidRPr="000D3D4F">
        <w:rPr>
          <w:rFonts w:ascii="Arial" w:hAnsi="Arial" w:cs="Arial"/>
          <w:sz w:val="24"/>
          <w:szCs w:val="24"/>
        </w:rPr>
        <w:t>b, we then imaged the same samples with the Zeiss Airyscan detector, which allows for an increase in spatial resolution by up to 1.7X, as well as a 4-8X increase in the signal-to-noise ratio (SNR).</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{"citationItems":[{"id":"ITEM-1","itemData":{"DOI":"10.1038/NMETH.F.388","ISSN":"15487105","abstract":"With Airyscan, ZEISS introduced a new detector concept for confocal laser-scanning microscopy (LSM). Whereas traditional LSM designs use a combination of pinhole and single-point detectors, Airyscan is a 32-channel gallium arsenide phosphide photomultiplier tube (GaAsP-PMT) area detector that collects a pinhole-plane image at every scan position. Each detector element functions as a single, very small pinhole. Knowledge about the beam path and the spatial distribution of each detector channel enables very light-efficient imaging with improved resolution and signal-to-noise ratio.","author":[{"dropping-particle":"","family":"Huff","given":"Joseph","non-dropping-particle":"","parse-names":false,"suffix":""}],"container-title":"Nature Methods","id":"ITEM-1","issue":"12","issued":{"date-parts":[["2015"]]},"page":"ii","publisher":"Nature Publishing Group","title":"The Airyscan detector from ZEISS: confocal imaging with improved signal-to-noise ratio and super-resolution","type":"article-journal","volume":"12"},"uris":["http://www.mendeley.com/documents/?uuid=72a451a8-fc9b-4ad4-befd-082504466d6f"]}],"mendeley":{"formattedCitation":"&lt;sup&gt;315&lt;/sup&gt;","plainTextFormattedCitation":"315","previouslyFormattedCitation":"&lt;sup&gt;315&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315</w:t>
      </w:r>
      <w:r w:rsidRPr="000D3D4F">
        <w:rPr>
          <w:rFonts w:ascii="Arial" w:hAnsi="Arial" w:cs="Arial"/>
          <w:sz w:val="24"/>
          <w:szCs w:val="24"/>
        </w:rPr>
        <w:fldChar w:fldCharType="end"/>
      </w:r>
      <w:r w:rsidRPr="000D3D4F">
        <w:rPr>
          <w:rFonts w:ascii="Arial" w:hAnsi="Arial" w:cs="Arial"/>
          <w:sz w:val="24"/>
          <w:szCs w:val="24"/>
        </w:rPr>
        <w:t xml:space="preserve"> Here, we can much more clearly visualize the intracellular vesicles as dark area within the cytoplasm of RAW 264.7 macrophages treated with HEP-AuNPs, and better localize the nanoparticle light scattering signals within them. These observations, along with the observation that there are relatively very few dark areas visible in the cytoplasm of cells that were not treated with AuNPs, suggest that the intracellular vesicle visualizations were not artifacts from the expansion processes. </w:t>
      </w:r>
      <w:r w:rsidRPr="000D3D4F">
        <w:rPr>
          <w:rFonts w:ascii="Arial" w:hAnsi="Arial" w:cs="Arial"/>
          <w:sz w:val="24"/>
          <w:szCs w:val="24"/>
        </w:rPr>
        <w:br w:type="page"/>
      </w:r>
    </w:p>
    <w:p w14:paraId="3A830BC9" w14:textId="14585E69" w:rsidR="000D3D4F" w:rsidRDefault="000D3D4F" w:rsidP="00721691">
      <w:pPr>
        <w:pStyle w:val="Heading3"/>
      </w:pPr>
      <w:bookmarkStart w:id="48" w:name="_Toc151032430"/>
      <w:bookmarkEnd w:id="47"/>
      <w:r>
        <w:lastRenderedPageBreak/>
        <w:t xml:space="preserve">3.2.2 </w:t>
      </w:r>
      <w:r w:rsidRPr="000D3D4F">
        <w:t>Quantifying the effect of nanoparticle surface modifications on cell uptake and intracellular localization</w:t>
      </w:r>
      <w:bookmarkEnd w:id="48"/>
    </w:p>
    <w:p w14:paraId="6A54105F" w14:textId="77777777" w:rsidR="00721691" w:rsidRPr="00721691" w:rsidRDefault="00721691" w:rsidP="00721691"/>
    <w:p w14:paraId="5067E9D9" w14:textId="7EF21428" w:rsidR="000D3D4F" w:rsidRPr="000D3D4F" w:rsidRDefault="000D3D4F" w:rsidP="00CC5600">
      <w:pPr>
        <w:spacing w:line="480" w:lineRule="auto"/>
        <w:ind w:firstLine="360"/>
        <w:jc w:val="both"/>
        <w:rPr>
          <w:rFonts w:ascii="Arial" w:hAnsi="Arial" w:cs="Arial"/>
          <w:sz w:val="24"/>
          <w:szCs w:val="24"/>
        </w:rPr>
      </w:pPr>
      <w:r w:rsidRPr="000D3D4F">
        <w:rPr>
          <w:rFonts w:ascii="Arial" w:hAnsi="Arial" w:cs="Arial"/>
          <w:sz w:val="24"/>
          <w:szCs w:val="24"/>
        </w:rPr>
        <w:t>To further investigate how nanoparticle surface modification affects nanoparticle-cell interactions and uptake, we compared 55-nm PEG-AuNPs to AuNPs coated with bovine serum albumin proteins (BSA-AuNPs) using 4T1 cells as a model system. Albumin is a known tracer for caveolae-mediated endocytosis. It is well established that decorating nanoparticles with albumin results in an increased uptake in cancer cells compared to PEGylated nanoparticles.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{"citationItems":[{"id":"ITEM-1","itemData":{"DOI":"10.1021/nn9012274","ISSN":"19360851","abstract":"Caveolae are plasma membrane invaginations prominent in all endothelial cells lining blood vessels. Caveolae characteristically bud to form free cytoplasmic vesicles capable of transporting carrier proteins such as albumin through the cell. However, caveolae size distribution and dynamics in living endothelial cells and ability of caveolae to internalize nanoparticles are not well understood. We demonstrate here the design of a dual-color nanoparticle pair to measure noninvasively caveolae size and dynamics. First, we coated nanoparticles with BSA (bovine serum albumin) to address whether albumin promoted their delivery. Albumin has been shown to bind to protein on endothelial cell surface localized in caveolae and activate albumin endocytosis. Imaging of BSA-coated nanoparticles varying from 20 to 100 nm in diameter in endothelial cells demonstrated that caveolae-mediated nanoparticle uptake was dependent on albumin coating of particles. We also showed that caveolae could accommodate up to 100 nm diameter nanoparticles, a size larger than the diameter of typical caveolae, suggesting compliant property of caveolae. Together, our results show the feasibility of tracking multicolored nanoparticles in living endothelial cells and potential usefulness for designing therapeutic nanoparticle cargo to cross the limiting vessel wall endothelial barrier.","author":[{"dropping-particle":"","family":"Wang","given":"Zhenjia","non-dropping-particle":"","parse-names":false,"suffix":""},{"dropping-particle":"","family":"Tiruppathi","given":"Chinnaswamy","non-dropping-particle":"","parse-names":false,"suffix":""},{"dropping-particle":"","family":"Minshall","given":"Richard D.","non-dropping-particle":"","parse-names":false,"suffix":""},{"dropping-particle":"","family":"Malik","given":"Asrar B.","non-dropping-particle":"","parse-names":false,"suffix":""}],"container-title":"ACS Nano","id":"ITEM-1","issue":"12","issued":{"date-parts":[["2009","12","22"]]},"page":"4110-4116","title":"Size and dynamics of caveolae studied using nanoparticles in living endothelial cells","type":"article-journal","volume":"3"},"uris":["http://www.mendeley.com/documents/?uuid=5a782f47-7a4c-3a5c-80c1-f3e5afe123b7"]},{"id":"ITEM-2","itemData":{"DOI":"10.2147/IJN.S210992","ISSN":"11782013","PMID":"31496693","abstract":"Nanotechnology is an emerging ﬁeld which has created great opportunities either through the creation of new materials or by improving the properties of existing ones. Nanoscale materials with a wide range of applications in areas ranging from engineering to biomedicine have been produced. Gold nanoparticles (AuNPs) have emerged as a therapeutic agent, and are useful for imaging, drug delivery, and photodynamic and photothermal therapy. AuNPs have the advantage of ease of functionalization with therapeutic agents through covalent and ionic binding. Combining AuNPs and other materials can result in nanoplatforms, which can be useful for biomedical applications. Biomaterials such as biomolecules, polymers and proteins can improve the therapeutic properties of nanoparticles, such as their biocompatibility, biodistribution, stability and half-life. Serum albumin is a versatile, non-toxic, stable, and biodegradable protein, in which structural domains and functional groups allow the binding and capping of inorganic nanoparticles. AuNPs coated with albumin have improved properties such as greater compatibility, bioavailability, longer circulation times, lower toxicity, and selective bioaccumulation. In the current article, we review the features of albumin, as well as its interaction with AuNPs, focusing on its biomedical applications.","author":[{"dropping-particle":"","family":"Bolaños","given":"Karen","non-dropping-particle":"","parse-names":false,"suffix":""},{"dropping-particle":"","family":"Kogan","given":"Marcelo J.","non-dropping-particle":"","parse-names":false,"suffix":""},{"dropping-particle":"","family":"Araya","given":"Eyleen","non-dropping-particle":"","parse-names":false,"suffix":""}],"container-title":"International Journal of Nanomedicine","id":"ITEM-2","issued":{"date-parts":[["2019"]]},"page":"6387-6406","title":"Capping gold nanoparticles with albumin to improve their biomedical properties","type":"article-journal","volume":"14"},"uris":["http://www.mendeley.com/documents/?uuid=b34ac20e-41d2-4e13-abf4-d4ba39eb3092"]}],"mendeley":{"formattedCitation":"&lt;sup&gt;127,316&lt;/sup&gt;","plainTextFormattedCitation":"127,316","previouslyFormattedCitation":"&lt;sup&gt;127,316&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127,316</w:t>
      </w:r>
      <w:r w:rsidRPr="000D3D4F">
        <w:rPr>
          <w:rFonts w:ascii="Arial" w:hAnsi="Arial" w:cs="Arial"/>
          <w:sz w:val="24"/>
          <w:szCs w:val="24"/>
        </w:rPr>
        <w:fldChar w:fldCharType="end"/>
      </w:r>
      <w:r w:rsidRPr="000D3D4F">
        <w:rPr>
          <w:rFonts w:ascii="Arial" w:hAnsi="Arial" w:cs="Arial"/>
          <w:sz w:val="24"/>
          <w:szCs w:val="24"/>
        </w:rPr>
        <w:t xml:space="preserve"> We prepared BSA-AuNPs by incubating citrate-coated AuNPs in a 10 mg/mL BSA solution for 1 hour at 37</w:t>
      </w:r>
      <w:r w:rsidRPr="000D3D4F">
        <w:rPr>
          <w:rFonts w:ascii="Arial" w:eastAsia="Times New Roman" w:hAnsi="Arial" w:cs="Arial"/>
          <w:sz w:val="24"/>
          <w:szCs w:val="24"/>
        </w:rPr>
        <w:t xml:space="preserve">°C. </w:t>
      </w:r>
      <w:r w:rsidRPr="000D3D4F">
        <w:rPr>
          <w:rFonts w:ascii="Arial" w:hAnsi="Arial" w:cs="Arial"/>
          <w:sz w:val="24"/>
          <w:szCs w:val="24"/>
        </w:rPr>
        <w:t>The successful BSA surface conjugation was confirmed by an increase in the nanoparticle hydrodynamic diameter by 26.2 +/- 2.2 nm, with an expected negative zeta potential</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{"citationItems":[{"id":"ITEM-1","itemData":{"DOI":"10.1007/s10953-018-0830-0","ISBN":"1095301808300","ISSN":"00959782","abstract":"This article is focused on the zeta potential of bovine serum albumin (BSA). It is useful to know the zeta potentials of substances for further use of them, e.g. for adsorption or the stability of prepared solutions. We decided to create a database of zeta potential measurement. BSA was selected as a model protein for the measurements. The zeta potential was measured at different pH values, temperatures, concentrations and in the presence of KCl and CaCl 2. All data were collected and used for the creation of the online application. The users of the online application can select an interval of zeta potentials required and the application shows the conditions under which the BSA solutions should be prepared. These measurements can be used to save time for further experiments, where the database can be used for the direct preparation of samples with desired properties instead of the lengthy preparation of the samples under different conditions and the selection of the appropriate parameters.","author":[{"dropping-particle":"","family":"Bukackova","given":"Marta","non-dropping-particle":"","parse-names":false,"suffix":""},{"dropping-particle":"","family":"Rusnok","given":"Pavel","non-dropping-particle":"","parse-names":false,"suffix":""},{"dropping-particle":"","family":"Marsalek","given":"Roman","non-dropping-particle":"","parse-names":false,"suffix":""}],"container-title":"Journal of Solution Chemistry","id":"ITEM-1","issue":"12","issued":{"date-parts":[["2018"]]},"page":"1942-1952","publisher":"Springer US","title":"Mathematical Methods in the Calculation of the Zeta Potential of BSA","type":"article-journal","volume":"47"},"uris":["http://www.mendeley.com/documents/?uuid=1f69247d-876f-410b-81a2-b20ee9abb7cd"]}],"mendeley":{"formattedCitation":"&lt;sup&gt;317&lt;/sup&gt;","plainTextFormattedCitation":"317","previouslyFormattedCitation":"&lt;sup&gt;317&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317</w:t>
      </w:r>
      <w:r w:rsidRPr="000D3D4F">
        <w:rPr>
          <w:rFonts w:ascii="Arial" w:hAnsi="Arial" w:cs="Arial"/>
          <w:sz w:val="24"/>
          <w:szCs w:val="24"/>
        </w:rPr>
        <w:fldChar w:fldCharType="end"/>
      </w:r>
      <w:r w:rsidRPr="000D3D4F">
        <w:rPr>
          <w:rFonts w:ascii="Arial" w:hAnsi="Arial" w:cs="Arial"/>
          <w:sz w:val="24"/>
          <w:szCs w:val="24"/>
        </w:rPr>
        <w:t xml:space="preserve"> (Table S1, S2, Figure S</w:t>
      </w:r>
      <w:r w:rsidR="00847387">
        <w:rPr>
          <w:rFonts w:ascii="Arial" w:hAnsi="Arial" w:cs="Arial"/>
          <w:sz w:val="24"/>
          <w:szCs w:val="24"/>
        </w:rPr>
        <w:t>2.</w:t>
      </w:r>
      <w:r w:rsidRPr="000D3D4F">
        <w:rPr>
          <w:rFonts w:ascii="Arial" w:hAnsi="Arial" w:cs="Arial"/>
          <w:sz w:val="24"/>
          <w:szCs w:val="24"/>
        </w:rPr>
        <w:t>3a) (</w:t>
      </w:r>
      <w:r w:rsidRPr="000D3D4F">
        <w:rPr>
          <w:rFonts w:ascii="Arial" w:hAnsi="Arial" w:cs="Arial"/>
          <w:i/>
          <w:iCs/>
          <w:sz w:val="24"/>
          <w:szCs w:val="24"/>
        </w:rPr>
        <w:t>n</w:t>
      </w:r>
      <w:r w:rsidRPr="000D3D4F">
        <w:rPr>
          <w:rFonts w:ascii="Arial" w:hAnsi="Arial" w:cs="Arial"/>
          <w:sz w:val="24"/>
          <w:szCs w:val="24"/>
        </w:rPr>
        <w:t>=3). To further verify the formation of a BSA protein corona around the AuNPs, we</w:t>
      </w:r>
      <w:r w:rsidRPr="000D3D4F">
        <w:rPr>
          <w:rFonts w:ascii="Arial" w:eastAsia="Times New Roman" w:hAnsi="Arial" w:cs="Arial"/>
          <w:sz w:val="24"/>
          <w:szCs w:val="24"/>
        </w:rPr>
        <w:t xml:space="preserve"> ran an SDS-PAGE of isolated proteins from the nanoparticle surface (Figure S</w:t>
      </w:r>
      <w:r w:rsidR="0087397B">
        <w:rPr>
          <w:rFonts w:ascii="Arial" w:eastAsia="Times New Roman" w:hAnsi="Arial" w:cs="Arial"/>
          <w:sz w:val="24"/>
          <w:szCs w:val="24"/>
        </w:rPr>
        <w:t>3.2</w:t>
      </w:r>
      <w:r w:rsidRPr="000D3D4F">
        <w:rPr>
          <w:rFonts w:ascii="Arial" w:eastAsia="Times New Roman" w:hAnsi="Arial" w:cs="Arial"/>
          <w:sz w:val="24"/>
          <w:szCs w:val="24"/>
        </w:rPr>
        <w:t xml:space="preserve">). The isolated surface proteins appear as a band at about the same migration distance as the free BSA control. </w:t>
      </w:r>
      <w:r w:rsidRPr="000D3D4F">
        <w:rPr>
          <w:rFonts w:ascii="Arial" w:hAnsi="Arial" w:cs="Arial"/>
          <w:sz w:val="24"/>
          <w:szCs w:val="24"/>
        </w:rPr>
        <w:t>Figure S</w:t>
      </w:r>
      <w:r w:rsidR="0087397B">
        <w:rPr>
          <w:rFonts w:ascii="Arial" w:hAnsi="Arial" w:cs="Arial"/>
          <w:sz w:val="24"/>
          <w:szCs w:val="24"/>
        </w:rPr>
        <w:t>3.3</w:t>
      </w:r>
      <w:r w:rsidRPr="000D3D4F">
        <w:rPr>
          <w:rFonts w:ascii="Arial" w:hAnsi="Arial" w:cs="Arial"/>
          <w:sz w:val="24"/>
          <w:szCs w:val="24"/>
        </w:rPr>
        <w:t xml:space="preserve"> compares the uptake of these BSA- and PEG-AuNPs in 4T1 cells with and without pan-ExM treatment. Qualitatively, more BSA-AuNPs are visible within the cells compared to PEG-AuNPs after expansion, suggesting that this method can be used for comparing the uptake of nanoparticles with different surface modifications.</w:t>
      </w:r>
    </w:p>
    <w:p w14:paraId="3D82FCC7" w14:textId="67B0E5C6" w:rsidR="00E57377"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To demonstrate the utility of our super-resolution imaging method for comparing the uptake and distribution of nanoparticles with different surface modifications, we chose to compare the uptake of heparosan- (HEP) and PEG-AuNPs in RAW 264.7 macrophages following a 3-hour incubation.</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301&lt;/sup&gt;","plainTextFormattedCitation":"301","previouslyFormattedCitation":"&lt;sup&gt;301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301</w:t>
      </w:r>
      <w:r w:rsidRPr="000D3D4F">
        <w:rPr>
          <w:rFonts w:ascii="Arial" w:hAnsi="Arial" w:cs="Arial"/>
          <w:sz w:val="24"/>
          <w:szCs w:val="24"/>
        </w:rPr>
        <w:fldChar w:fldCharType="end"/>
      </w:r>
      <w:r w:rsidRPr="000D3D4F">
        <w:rPr>
          <w:rFonts w:ascii="Arial" w:hAnsi="Arial" w:cs="Arial"/>
          <w:sz w:val="24"/>
          <w:szCs w:val="24"/>
        </w:rPr>
        <w:t xml:space="preserve"> Figure S</w:t>
      </w:r>
      <w:r w:rsidR="0087397B">
        <w:rPr>
          <w:rFonts w:ascii="Arial" w:hAnsi="Arial" w:cs="Arial"/>
          <w:sz w:val="24"/>
          <w:szCs w:val="24"/>
        </w:rPr>
        <w:t>3.4</w:t>
      </w:r>
      <w:r w:rsidRPr="000D3D4F">
        <w:rPr>
          <w:rFonts w:ascii="Arial" w:hAnsi="Arial" w:cs="Arial"/>
          <w:sz w:val="24"/>
          <w:szCs w:val="24"/>
        </w:rPr>
        <w:t xml:space="preserve">(a-b) shows non-expanded cells upon </w:t>
      </w:r>
      <w:r w:rsidRPr="000D3D4F">
        <w:rPr>
          <w:rFonts w:ascii="Arial" w:hAnsi="Arial" w:cs="Arial"/>
          <w:sz w:val="24"/>
          <w:szCs w:val="24"/>
        </w:rPr>
        <w:lastRenderedPageBreak/>
        <w:t>incubation with HEP- or PEG-AuNPs, respectively. Qualitatively, there was an evident difference in nanoparticle light scattering signal between the two groups. This observation was confirmed quantitatively in Figure S</w:t>
      </w:r>
      <w:r w:rsidR="0087397B">
        <w:rPr>
          <w:rFonts w:ascii="Arial" w:hAnsi="Arial" w:cs="Arial"/>
          <w:sz w:val="24"/>
          <w:szCs w:val="24"/>
        </w:rPr>
        <w:t>3.4</w:t>
      </w:r>
      <w:r w:rsidRPr="000D3D4F">
        <w:rPr>
          <w:rFonts w:ascii="Arial" w:hAnsi="Arial" w:cs="Arial"/>
          <w:sz w:val="24"/>
          <w:szCs w:val="24"/>
        </w:rPr>
        <w:t xml:space="preserve">c with image analysis showing a significantly higher nanoparticle light scattering signal (****p&lt;0.0001) being measured in non-expanded RAW 264.7 macrophages treated with HEP-AuNPs compared to PEG-AuNPs. Figure </w:t>
      </w:r>
      <w:r w:rsidR="00847387">
        <w:rPr>
          <w:rFonts w:ascii="Arial" w:hAnsi="Arial" w:cs="Arial"/>
          <w:sz w:val="24"/>
          <w:szCs w:val="24"/>
        </w:rPr>
        <w:t>3.2</w:t>
      </w:r>
      <w:r w:rsidRPr="000D3D4F">
        <w:rPr>
          <w:rFonts w:ascii="Arial" w:hAnsi="Arial" w:cs="Arial"/>
          <w:sz w:val="24"/>
          <w:szCs w:val="24"/>
        </w:rPr>
        <w:t xml:space="preserve"> (a-b) shows the RAW 264.7 macrophages incubated with either HEP- or PEG-AuNPs, respectively, after expansion with the pan-ExM protocol. </w:t>
      </w:r>
    </w:p>
    <w:p w14:paraId="4F66B76D" w14:textId="77777777" w:rsidR="00E57377" w:rsidRDefault="00E57377">
      <w:pPr>
        <w:rPr>
          <w:rFonts w:ascii="Arial" w:hAnsi="Arial" w:cs="Arial"/>
          <w:sz w:val="24"/>
          <w:szCs w:val="24"/>
        </w:rPr>
      </w:pPr>
      <w:r>
        <w:rPr>
          <w:rFonts w:ascii="Arial" w:hAnsi="Arial" w:cs="Arial"/>
          <w:sz w:val="24"/>
          <w:szCs w:val="24"/>
        </w:rPr>
        <w:br w:type="page"/>
      </w:r>
    </w:p>
    <w:p w14:paraId="6421F546" w14:textId="77777777" w:rsidR="00E57377" w:rsidRPr="00371C91" w:rsidRDefault="00E57377" w:rsidP="00E57377">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98F6C7D" wp14:editId="3E41E7E1">
            <wp:extent cx="4810539" cy="7347180"/>
            <wp:effectExtent l="0" t="0" r="9525" b="6350"/>
            <wp:docPr id="1100860040" name="Picture 1100860040"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60040" name="Picture 1100860040" descr="A collage of images of a cell&#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15275" cy="7354414"/>
                    </a:xfrm>
                    <a:prstGeom prst="rect">
                      <a:avLst/>
                    </a:prstGeom>
                    <a:noFill/>
                    <a:ln>
                      <a:noFill/>
                    </a:ln>
                  </pic:spPr>
                </pic:pic>
              </a:graphicData>
            </a:graphic>
          </wp:inline>
        </w:drawing>
      </w:r>
    </w:p>
    <w:p w14:paraId="05CB768B" w14:textId="45B7EA9C" w:rsidR="00E57377" w:rsidRPr="00E57377" w:rsidRDefault="00E57377" w:rsidP="00E57377">
      <w:pPr>
        <w:jc w:val="both"/>
        <w:rPr>
          <w:rFonts w:ascii="Arial" w:hAnsi="Arial" w:cs="Arial"/>
          <w:sz w:val="24"/>
          <w:szCs w:val="24"/>
        </w:rPr>
      </w:pPr>
      <w:r w:rsidRPr="00E57377">
        <w:rPr>
          <w:rFonts w:ascii="Arial" w:hAnsi="Arial" w:cs="Arial"/>
          <w:b/>
          <w:bCs/>
          <w:sz w:val="24"/>
          <w:szCs w:val="24"/>
        </w:rPr>
        <w:t>Figure 3.2: Pan-ExM enables quantitative comparisons of nanoparticle cell uptake.</w:t>
      </w:r>
      <w:r w:rsidRPr="00E57377">
        <w:rPr>
          <w:rFonts w:ascii="Arial" w:hAnsi="Arial" w:cs="Arial"/>
          <w:sz w:val="24"/>
          <w:szCs w:val="24"/>
        </w:rPr>
        <w:t xml:space="preserve"> </w:t>
      </w:r>
      <w:bookmarkStart w:id="49" w:name="_Hlk129893298"/>
      <w:r w:rsidRPr="00E57377">
        <w:rPr>
          <w:rFonts w:ascii="Arial" w:hAnsi="Arial" w:cs="Arial"/>
          <w:sz w:val="24"/>
          <w:szCs w:val="24"/>
        </w:rPr>
        <w:t xml:space="preserve">RAW 264.7 cells were incubated with HEP-AuNPs </w:t>
      </w:r>
      <w:r w:rsidRPr="00E57377">
        <w:rPr>
          <w:rFonts w:ascii="Arial" w:hAnsi="Arial" w:cs="Arial"/>
          <w:b/>
          <w:bCs/>
          <w:sz w:val="24"/>
          <w:szCs w:val="24"/>
        </w:rPr>
        <w:t>(a)</w:t>
      </w:r>
      <w:r w:rsidRPr="00E57377">
        <w:rPr>
          <w:rFonts w:ascii="Arial" w:hAnsi="Arial" w:cs="Arial"/>
          <w:sz w:val="24"/>
          <w:szCs w:val="24"/>
        </w:rPr>
        <w:t xml:space="preserve"> or PEG-AuNPs </w:t>
      </w:r>
      <w:r w:rsidRPr="00E57377">
        <w:rPr>
          <w:rFonts w:ascii="Arial" w:hAnsi="Arial" w:cs="Arial"/>
          <w:b/>
          <w:bCs/>
          <w:sz w:val="24"/>
          <w:szCs w:val="24"/>
        </w:rPr>
        <w:t>(b)</w:t>
      </w:r>
      <w:r w:rsidRPr="00E57377">
        <w:rPr>
          <w:rFonts w:ascii="Arial" w:hAnsi="Arial" w:cs="Arial"/>
          <w:sz w:val="24"/>
          <w:szCs w:val="24"/>
        </w:rPr>
        <w:t xml:space="preserve"> for 3 hours before being washed, fixed, and expanded via pan-ExM, with 3D reconstructions of CLSM </w:t>
      </w:r>
      <w:r w:rsidRPr="00E57377">
        <w:rPr>
          <w:rFonts w:ascii="Arial" w:hAnsi="Arial" w:cs="Arial"/>
          <w:sz w:val="24"/>
          <w:szCs w:val="24"/>
        </w:rPr>
        <w:lastRenderedPageBreak/>
        <w:t xml:space="preserve">Z-stacks being shown along individual </w:t>
      </w:r>
      <w:proofErr w:type="spellStart"/>
      <w:r w:rsidRPr="00E57377">
        <w:rPr>
          <w:rFonts w:ascii="Arial" w:hAnsi="Arial" w:cs="Arial"/>
          <w:sz w:val="24"/>
          <w:szCs w:val="24"/>
        </w:rPr>
        <w:t>xy</w:t>
      </w:r>
      <w:proofErr w:type="spellEnd"/>
      <w:r w:rsidRPr="00E57377">
        <w:rPr>
          <w:rFonts w:ascii="Arial" w:hAnsi="Arial" w:cs="Arial"/>
          <w:sz w:val="24"/>
          <w:szCs w:val="24"/>
        </w:rPr>
        <w:t xml:space="preserve">-slices, including digital magnifications focused on individual nanoparticle-containing vesicles. Digital magnifications of the regions of interest are shown, first with the overlay of both channels, and then the nanoparticle light scattering signal alone shown in grayscale. The scale bars indicate 50 µm in the unmagnified images and 15 µm in the magnified images, not corrected for expansion factors. TEM images of RAW 264.7 cells treated with HEP-AuNPs </w:t>
      </w:r>
      <w:r w:rsidRPr="00E57377">
        <w:rPr>
          <w:rFonts w:ascii="Arial" w:hAnsi="Arial" w:cs="Arial"/>
          <w:b/>
          <w:bCs/>
          <w:sz w:val="24"/>
          <w:szCs w:val="24"/>
        </w:rPr>
        <w:t>(c)</w:t>
      </w:r>
      <w:r w:rsidRPr="00E57377">
        <w:rPr>
          <w:rFonts w:ascii="Arial" w:hAnsi="Arial" w:cs="Arial"/>
          <w:sz w:val="24"/>
          <w:szCs w:val="24"/>
        </w:rPr>
        <w:t xml:space="preserve"> or PEG-AuNPs </w:t>
      </w:r>
      <w:r w:rsidRPr="00E57377">
        <w:rPr>
          <w:rFonts w:ascii="Arial" w:hAnsi="Arial" w:cs="Arial"/>
          <w:b/>
          <w:bCs/>
          <w:sz w:val="24"/>
          <w:szCs w:val="24"/>
        </w:rPr>
        <w:t>(d)</w:t>
      </w:r>
      <w:r w:rsidRPr="00E57377">
        <w:rPr>
          <w:rFonts w:ascii="Arial" w:hAnsi="Arial" w:cs="Arial"/>
          <w:sz w:val="24"/>
          <w:szCs w:val="24"/>
        </w:rPr>
        <w:t xml:space="preserve"> are shown, demonstrating similar AuNP (black spots) distribution patterns within a single imaging plane. The scale bars indicate 2 µm in the unmagnified images and 500 nm in the magnified images. </w:t>
      </w:r>
      <w:r w:rsidRPr="00E57377">
        <w:rPr>
          <w:rFonts w:ascii="Arial" w:hAnsi="Arial" w:cs="Arial"/>
          <w:b/>
          <w:bCs/>
          <w:sz w:val="24"/>
          <w:szCs w:val="24"/>
        </w:rPr>
        <w:t>(e)</w:t>
      </w:r>
      <w:r w:rsidRPr="00E57377">
        <w:rPr>
          <w:rFonts w:ascii="Arial" w:hAnsi="Arial" w:cs="Arial"/>
          <w:sz w:val="24"/>
          <w:szCs w:val="24"/>
        </w:rPr>
        <w:t xml:space="preserve"> ICP-MS measurements of RAW 264.7 cells after incubation with HEP-AuNPs or PEG-AuNPs quantifying nanoparticle cellular uptake. Unpaired, one-tailed t-test (***p&lt;0.001) (</w:t>
      </w:r>
      <w:r w:rsidRPr="00E57377">
        <w:rPr>
          <w:rFonts w:ascii="Arial" w:hAnsi="Arial" w:cs="Arial"/>
          <w:i/>
          <w:iCs/>
          <w:sz w:val="24"/>
          <w:szCs w:val="24"/>
        </w:rPr>
        <w:t>n</w:t>
      </w:r>
      <w:r w:rsidRPr="00E57377">
        <w:rPr>
          <w:rFonts w:ascii="Arial" w:hAnsi="Arial" w:cs="Arial"/>
          <w:sz w:val="24"/>
          <w:szCs w:val="24"/>
        </w:rPr>
        <w:t xml:space="preserve">=3). </w:t>
      </w:r>
      <w:r w:rsidRPr="00E57377">
        <w:rPr>
          <w:rFonts w:ascii="Arial" w:hAnsi="Arial" w:cs="Arial"/>
          <w:b/>
          <w:bCs/>
          <w:sz w:val="24"/>
          <w:szCs w:val="24"/>
        </w:rPr>
        <w:t>(f)</w:t>
      </w:r>
      <w:r w:rsidRPr="00E57377">
        <w:rPr>
          <w:rFonts w:ascii="Arial" w:hAnsi="Arial" w:cs="Arial"/>
          <w:sz w:val="24"/>
          <w:szCs w:val="24"/>
        </w:rPr>
        <w:t xml:space="preserve"> Image analysis of the pan-ExM samples was done via MATLAB to quantify the nanoparticle light scattering signal to measure nanoparticle accumulation in both sample types across entire CLSM Z-stacks. Bars represent mean +/- SD, unpaired one-tailed t-test (****p&lt;0.0001) (</w:t>
      </w:r>
      <w:r w:rsidRPr="00E57377">
        <w:rPr>
          <w:rFonts w:ascii="Arial" w:hAnsi="Arial" w:cs="Arial"/>
          <w:i/>
          <w:iCs/>
          <w:sz w:val="24"/>
          <w:szCs w:val="24"/>
        </w:rPr>
        <w:t>n</w:t>
      </w:r>
      <w:r w:rsidRPr="00E57377">
        <w:rPr>
          <w:rFonts w:ascii="Arial" w:hAnsi="Arial" w:cs="Arial"/>
          <w:sz w:val="24"/>
          <w:szCs w:val="24"/>
        </w:rPr>
        <w:t xml:space="preserve">=3). </w:t>
      </w:r>
      <w:r w:rsidRPr="00E57377">
        <w:rPr>
          <w:rFonts w:ascii="Arial" w:hAnsi="Arial" w:cs="Arial"/>
          <w:b/>
          <w:bCs/>
          <w:sz w:val="24"/>
          <w:szCs w:val="24"/>
        </w:rPr>
        <w:t>(g)</w:t>
      </w:r>
      <w:r w:rsidRPr="00E57377">
        <w:rPr>
          <w:rFonts w:ascii="Arial" w:hAnsi="Arial" w:cs="Arial"/>
          <w:sz w:val="24"/>
          <w:szCs w:val="24"/>
        </w:rPr>
        <w:t xml:space="preserve"> The ratios HEP-AuNPs/PEG-AuNPs uptake in RAW 264.7 cells. Bars represent ratio +/- propagation of error, unpaired two-tailed t-test (ns = not significant, p=0.66). </w:t>
      </w:r>
      <w:r w:rsidRPr="00E57377">
        <w:rPr>
          <w:rFonts w:ascii="Arial" w:hAnsi="Arial" w:cs="Arial"/>
          <w:b/>
          <w:bCs/>
          <w:sz w:val="24"/>
          <w:szCs w:val="24"/>
        </w:rPr>
        <w:t>(h)</w:t>
      </w:r>
      <w:r w:rsidRPr="00E57377">
        <w:rPr>
          <w:rFonts w:ascii="Arial" w:hAnsi="Arial" w:cs="Arial"/>
          <w:sz w:val="24"/>
          <w:szCs w:val="24"/>
        </w:rPr>
        <w:t xml:space="preserve"> The volumes of the cells and vesicles after pan-ExM across the entire CLSM Z-stacks. Unpaired one-tailed t-test (*p&lt;0.05) (</w:t>
      </w:r>
      <w:r w:rsidRPr="00E57377">
        <w:rPr>
          <w:rFonts w:ascii="Arial" w:hAnsi="Arial" w:cs="Arial"/>
          <w:i/>
          <w:iCs/>
          <w:sz w:val="24"/>
          <w:szCs w:val="24"/>
        </w:rPr>
        <w:t>n</w:t>
      </w:r>
      <w:r w:rsidRPr="00E57377">
        <w:rPr>
          <w:rFonts w:ascii="Arial" w:hAnsi="Arial" w:cs="Arial"/>
          <w:sz w:val="24"/>
          <w:szCs w:val="24"/>
        </w:rPr>
        <w:t xml:space="preserve">=3). </w:t>
      </w:r>
      <w:r w:rsidRPr="00E57377">
        <w:rPr>
          <w:rFonts w:ascii="Arial" w:hAnsi="Arial" w:cs="Arial"/>
          <w:b/>
          <w:bCs/>
          <w:sz w:val="24"/>
          <w:szCs w:val="24"/>
        </w:rPr>
        <w:t>(</w:t>
      </w:r>
      <w:proofErr w:type="spellStart"/>
      <w:r w:rsidRPr="00E57377">
        <w:rPr>
          <w:rFonts w:ascii="Arial" w:hAnsi="Arial" w:cs="Arial"/>
          <w:b/>
          <w:bCs/>
          <w:sz w:val="24"/>
          <w:szCs w:val="24"/>
        </w:rPr>
        <w:t>i</w:t>
      </w:r>
      <w:proofErr w:type="spellEnd"/>
      <w:r w:rsidRPr="00E57377">
        <w:rPr>
          <w:rFonts w:ascii="Arial" w:hAnsi="Arial" w:cs="Arial"/>
          <w:b/>
          <w:bCs/>
          <w:sz w:val="24"/>
          <w:szCs w:val="24"/>
        </w:rPr>
        <w:t xml:space="preserve">) </w:t>
      </w:r>
      <w:r w:rsidRPr="00E57377">
        <w:rPr>
          <w:rFonts w:ascii="Arial" w:hAnsi="Arial" w:cs="Arial"/>
          <w:sz w:val="24"/>
          <w:szCs w:val="24"/>
        </w:rPr>
        <w:t>Percentage of the total vesicle volume occupied by AuNPs. Bars represent mean +/- SD, unpaired one-tailed t-test (*p&lt;0.05) (</w:t>
      </w:r>
      <w:r w:rsidRPr="00E57377">
        <w:rPr>
          <w:rFonts w:ascii="Arial" w:hAnsi="Arial" w:cs="Arial"/>
          <w:i/>
          <w:iCs/>
          <w:sz w:val="24"/>
          <w:szCs w:val="24"/>
        </w:rPr>
        <w:t>n</w:t>
      </w:r>
      <w:r w:rsidRPr="00E57377">
        <w:rPr>
          <w:rFonts w:ascii="Arial" w:hAnsi="Arial" w:cs="Arial"/>
          <w:sz w:val="24"/>
          <w:szCs w:val="24"/>
        </w:rPr>
        <w:t>=3).</w:t>
      </w:r>
      <w:bookmarkEnd w:id="49"/>
      <w:r w:rsidRPr="00E57377">
        <w:rPr>
          <w:rFonts w:ascii="Arial" w:hAnsi="Arial" w:cs="Arial"/>
          <w:sz w:val="24"/>
          <w:szCs w:val="24"/>
        </w:rPr>
        <w:br w:type="page"/>
      </w:r>
    </w:p>
    <w:p w14:paraId="65283B0D" w14:textId="6CD2A980"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lastRenderedPageBreak/>
        <w:t>We then compared our super-resolution imaging method against the traditional means of visualizing intracellular nanoparticle distribution and quantifying nanoparticle uptake. Since TEM has been the longstanding standard method for visualizing nanoparticle distribution within cells,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{"citationItems":[{"id":"ITEM-1","itemData":{"DOI":"10.1002/smll.200400093","ISSN":"16136810","PMID":"17193451","author":[{"dropping-particle":"","family":"Connor","given":"Ellen E.","non-dropping-particle":"","parse-names":false,"suffix":""},{"dropping-particle":"","family":"Mwamuka","given":"Judith","non-dropping-particle":"","parse-names":false,"suffix":""},{"dropping-particle":"","family":"Gole","given":"Anand","non-dropping-particle":"","parse-names":false,"suffix":""},{"dropping-particle":"","family":"Murphy","given":"Catherine J.","non-dropping-particle":"","parse-names":false,"suffix":""},{"dropping-particle":"","family":"Wyatt","given":"Michael D.","non-dropping-particle":"","parse-names":false,"suffix":""}],"container-title":"Small","id":"ITEM-1","issue":"3","issued":{"date-parts":[["2005"]]},"page":"325-327","title":"Gold nanoparticles are taken up by human cells but do not cause acute cytotoxicity","type":"article-journal","volume":"1"},"uris":["http://www.mendeley.com/documents/?uuid=bb940a22-3824-4b32-938e-1aee3c6500d1"]},{"id":"ITEM-2","itemData":{"DOI":"10.1002/adma.201703704","ISSN":"09359648","PMID":"29325211","abstract":"In order to elucidate mechanisms of nanoparticle (NP)–cell interactions, a detailed knowledge about membrane–particle interactions, intracellular distributions, and nucleus penetration capabilities, etc. becomes indispensable. The utilization of NPs as additives in many consumer products, as well as the increasing interest of tailor-made nanoobjects as novel therapeutic and diagnostic platforms, makes it essential to gain deeper insights about their biological effects. Transmission electron microscopy (TEM) represents an outstanding method to study the uptake and intracellular fate of NPs, since this technique provides a resolution far better than the particle size. Additionally, its capability to highlight ultrastructural details of the cellular interior as well as membrane features is unmatched by other approaches. Here, a summary is provided on studies utilizing TEM to investigate the uptake and mode-of-action of tailor-made polymer nanoparticles in mammalian cells. For this purpose, the capabilities as well as limitations of TEM investigations are discussed to provide a detailed overview on uptake studies of common nanoparticle systems supported by TEM investigations. Furthermore, methodologies that can, in particular, address low-contrast materials in electron microscopy, i.e., polymeric and polymer-modified nanoparticles, are highlighted.","author":[{"dropping-particle":"","family":"Reifarth","given":"Martin","non-dropping-particle":"","parse-names":false,"suffix":""},{"dropping-particle":"","family":"Hoeppener","given":"Stephanie","non-dropping-particle":"","parse-names":false,"suffix":""},{"dropping-particle":"","family":"Schubert","given":"Ulrich S.","non-dropping-particle":"","parse-names":false,"suffix":""}],"container-title":"Advanced Materials","id":"ITEM-2","issue":"9","issued":{"date-parts":[["2018","3"]]},"page":"1703704","title":"Uptake and Intracellular Fate of Engineered Nanoparticles in Mammalian Cells: Capabilities and Limitations of Transmission Electron Microscopy-Polymer-Based Nanoparticles","type":"article-journal","volume":"30"},"uris":["http://www.mendeley.com/documents/?uuid=644ab9f8-e857-4559-bcd1-7bebf812aaef"]}],"mendeley":{"formattedCitation":"&lt;sup&gt;318,319&lt;/sup&gt;","plainTextFormattedCitation":"318,319","previouslyFormattedCitation":"&lt;sup&gt;318,319&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318,319</w:t>
      </w:r>
      <w:r w:rsidRPr="000D3D4F">
        <w:rPr>
          <w:rFonts w:ascii="Arial" w:hAnsi="Arial" w:cs="Arial"/>
          <w:sz w:val="24"/>
          <w:szCs w:val="24"/>
        </w:rPr>
        <w:fldChar w:fldCharType="end"/>
      </w:r>
      <w:r w:rsidRPr="000D3D4F">
        <w:rPr>
          <w:rFonts w:ascii="Arial" w:hAnsi="Arial" w:cs="Arial"/>
          <w:sz w:val="24"/>
          <w:szCs w:val="24"/>
        </w:rPr>
        <w:t xml:space="preserve"> we compared our pan-ExM-based images to TEM images of non-expanded RAW 264.7 cells with HEP- or PEG-AuNPs in Figure </w:t>
      </w:r>
      <w:r w:rsidR="00847387">
        <w:rPr>
          <w:rFonts w:ascii="Arial" w:hAnsi="Arial" w:cs="Arial"/>
          <w:sz w:val="24"/>
          <w:szCs w:val="24"/>
        </w:rPr>
        <w:t>3.2</w:t>
      </w:r>
      <w:r w:rsidRPr="000D3D4F">
        <w:rPr>
          <w:rFonts w:ascii="Arial" w:hAnsi="Arial" w:cs="Arial"/>
          <w:sz w:val="24"/>
          <w:szCs w:val="24"/>
        </w:rPr>
        <w:t>(c-d). As seen from these images, there is a similar distribution pattern of intracellular nanoparticles between the two methods, and the known preference of HEP-AuNPs over PEG-AuNPs in RAW 264.7 cells is readily observable.</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id":"ITEM-2","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Letters","id":"ITEM-2","issued":{"date-parts":[["2022","9","1"]]},"title":"Controlling Nanoparticle Uptake in Innate Immune Cells with Heparosan Polysaccharides","type":"article-journal"},"uris":["http://www.mendeley.com/documents/?uuid=61b07701-018f-44b3-aaaa-a732980c0276"]}],"mendeley":{"formattedCitation":"&lt;sup&gt;300,301&lt;/sup&gt;","plainTextFormattedCitation":"300,301","previouslyFormattedCitation":"&lt;sup&gt;300,301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300,301</w:t>
      </w:r>
      <w:r w:rsidRPr="000D3D4F">
        <w:rPr>
          <w:rFonts w:ascii="Arial" w:hAnsi="Arial" w:cs="Arial"/>
          <w:sz w:val="24"/>
          <w:szCs w:val="24"/>
        </w:rPr>
        <w:fldChar w:fldCharType="end"/>
      </w:r>
      <w:r w:rsidRPr="000D3D4F">
        <w:rPr>
          <w:rFonts w:ascii="Arial" w:hAnsi="Arial" w:cs="Arial"/>
          <w:sz w:val="24"/>
          <w:szCs w:val="24"/>
        </w:rPr>
        <w:t xml:space="preserve"> This finding suggests that pan-ExM combined with light scattering imaging enables the representative visualization of nanoparticle intracellular distributions. While TEM is restricted to the 2D imaging of thin (~70 nm) cell slices, we achieved robust and reliable 3D visualizations of nanoparticle distribution in entire cells. </w:t>
      </w:r>
    </w:p>
    <w:p w14:paraId="536E5CFB" w14:textId="6AAB265D"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To confirm that our method provides representative information about the number of nanoparticles in a cell, we first ran ICP-MS on non-expanded samples of RAW 264.7 macrophages treated with HEP- or PEG-AuNPs to determine the average number of nanoparticles per cell (Figure </w:t>
      </w:r>
      <w:r w:rsidR="00847387">
        <w:rPr>
          <w:rFonts w:ascii="Arial" w:hAnsi="Arial" w:cs="Arial"/>
          <w:sz w:val="24"/>
          <w:szCs w:val="24"/>
        </w:rPr>
        <w:t>3.2</w:t>
      </w:r>
      <w:r w:rsidRPr="000D3D4F">
        <w:rPr>
          <w:rFonts w:ascii="Arial" w:hAnsi="Arial" w:cs="Arial"/>
          <w:sz w:val="24"/>
          <w:szCs w:val="24"/>
        </w:rPr>
        <w:t xml:space="preserve">e). We then developed a MATLAB script to quantify the nanoparticle light scattering signals from pan-ExM samples to measure nanoparticle accumulation (Figure </w:t>
      </w:r>
      <w:r w:rsidR="00847387">
        <w:rPr>
          <w:rFonts w:ascii="Arial" w:hAnsi="Arial" w:cs="Arial"/>
          <w:sz w:val="24"/>
          <w:szCs w:val="24"/>
        </w:rPr>
        <w:t>3.2</w:t>
      </w:r>
      <w:r w:rsidRPr="000D3D4F">
        <w:rPr>
          <w:rFonts w:ascii="Arial" w:hAnsi="Arial" w:cs="Arial"/>
          <w:sz w:val="24"/>
          <w:szCs w:val="24"/>
        </w:rPr>
        <w:t xml:space="preserve">f). While the image analysis does not provide an exact count of the number of nanoparticles in the cells, given that it is currently unknown what the exact correlation between light scattering signals and nanoparticle numbers is, it does allow for relative comparisons across different nanoparticle conditions. As such, we compared the uptake ratio for HEP-AuNPs and PEG-AuNPs as measured by ICP-MS to our image analysis (Figure </w:t>
      </w:r>
      <w:r w:rsidR="00847387">
        <w:rPr>
          <w:rFonts w:ascii="Arial" w:hAnsi="Arial" w:cs="Arial"/>
          <w:sz w:val="24"/>
          <w:szCs w:val="24"/>
        </w:rPr>
        <w:t>3.2</w:t>
      </w:r>
      <w:r w:rsidRPr="000D3D4F">
        <w:rPr>
          <w:rFonts w:ascii="Arial" w:hAnsi="Arial" w:cs="Arial"/>
          <w:sz w:val="24"/>
          <w:szCs w:val="24"/>
        </w:rPr>
        <w:t xml:space="preserve">g). ICP-MS demonstrated that the cells took up 208+/- 72 </w:t>
      </w:r>
      <w:r w:rsidRPr="000D3D4F">
        <w:rPr>
          <w:rFonts w:ascii="Arial" w:hAnsi="Arial" w:cs="Arial"/>
          <w:sz w:val="24"/>
          <w:szCs w:val="24"/>
        </w:rPr>
        <w:lastRenderedPageBreak/>
        <w:t>(propagation of error) (</w:t>
      </w:r>
      <w:r w:rsidRPr="000D3D4F">
        <w:rPr>
          <w:rFonts w:ascii="Arial" w:hAnsi="Arial" w:cs="Arial"/>
          <w:i/>
          <w:iCs/>
          <w:sz w:val="24"/>
          <w:szCs w:val="24"/>
        </w:rPr>
        <w:t>n</w:t>
      </w:r>
      <w:r w:rsidRPr="000D3D4F">
        <w:rPr>
          <w:rFonts w:ascii="Arial" w:hAnsi="Arial" w:cs="Arial"/>
          <w:sz w:val="24"/>
          <w:szCs w:val="24"/>
        </w:rPr>
        <w:t>=3) times more HEP-AuNPs than they do for PEG-AuNPs, while the image analysis of the pan-ExM samples demonstrated that the ratio of HEP-AuNP uptake to PEG-AuNP uptake is 174 +/- 101 (</w:t>
      </w:r>
      <w:r w:rsidRPr="000D3D4F">
        <w:rPr>
          <w:rFonts w:ascii="Arial" w:hAnsi="Arial" w:cs="Arial"/>
          <w:i/>
          <w:iCs/>
          <w:sz w:val="24"/>
          <w:szCs w:val="24"/>
        </w:rPr>
        <w:t>n</w:t>
      </w:r>
      <w:r w:rsidRPr="000D3D4F">
        <w:rPr>
          <w:rFonts w:ascii="Arial" w:hAnsi="Arial" w:cs="Arial"/>
          <w:sz w:val="24"/>
          <w:szCs w:val="24"/>
        </w:rPr>
        <w:t xml:space="preserve">=3) with no significant difference (p=0.66) in this uptake ratio between the two methods. This analysis suggests that our method provides representative information about nanoparticle accumulation in entire cells. While ICP-MS is a destructive process that only provides information on the content of gold within a group of cells, our method reveals the spatial distribution within individual and intact single cells and can reveal cell-to-cell variability. Combined with the ability to visualize entire cells at super-resolution, we can now collect previously unobtainable spatial information about nanoparticle localization within intracellular vesicles throughout cells. </w:t>
      </w:r>
    </w:p>
    <w:p w14:paraId="4BF1DB4E" w14:textId="086F0F7A"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We further demonstrate the ability to determine the percentage of the cell volume occupied by intracellular vesicles. We used a MATLAB script to measure the area of the entire cell and the cumulative area of the vesicles on each Z-slice. The summations of the areas of each measurement through the Z-stack were then used to estimate their volumes (Figure </w:t>
      </w:r>
      <w:r w:rsidR="00847387">
        <w:rPr>
          <w:rFonts w:ascii="Arial" w:hAnsi="Arial" w:cs="Arial"/>
          <w:sz w:val="24"/>
          <w:szCs w:val="24"/>
        </w:rPr>
        <w:t>3.2</w:t>
      </w:r>
      <w:r w:rsidRPr="000D3D4F">
        <w:rPr>
          <w:rFonts w:ascii="Arial" w:hAnsi="Arial" w:cs="Arial"/>
          <w:sz w:val="24"/>
          <w:szCs w:val="24"/>
        </w:rPr>
        <w:t xml:space="preserve">h). We observed that the nanoparticle surface modifications affected not only nanoparticle uptake but also the frequency of intracellular vesicles that exist in response to nanoparticle incubation and endocytosis. The higher frequency of intracellular vesicles within RAW 264.7 macrophages treated with HEP-AuNPs compared to those treated with PEG-AuNPs may suggest that receptor-specific endocytic pathways significantly contribute toward the uptake of HEP-AuNPs. Yang </w:t>
      </w:r>
      <w:r w:rsidRPr="000D3D4F">
        <w:rPr>
          <w:rFonts w:ascii="Arial" w:hAnsi="Arial" w:cs="Arial"/>
          <w:i/>
          <w:iCs/>
          <w:sz w:val="24"/>
          <w:szCs w:val="24"/>
        </w:rPr>
        <w:t>et al</w:t>
      </w:r>
      <w:r w:rsidRPr="000D3D4F">
        <w:rPr>
          <w:rFonts w:ascii="Arial" w:hAnsi="Arial" w:cs="Arial"/>
          <w:sz w:val="24"/>
          <w:szCs w:val="24"/>
        </w:rPr>
        <w:t xml:space="preserve">. showed recently that heparosan polysaccharide-coated nanoparticles exhibit substantial endocytosis in </w:t>
      </w:r>
      <w:r w:rsidRPr="000D3D4F">
        <w:rPr>
          <w:rFonts w:ascii="Arial" w:hAnsi="Arial" w:cs="Arial"/>
          <w:sz w:val="24"/>
          <w:szCs w:val="24"/>
        </w:rPr>
        <w:lastRenderedPageBreak/>
        <w:t>innate immune cells to trigger the formation of more intracellular vesicles from additional endocytosis events compared to PEG-AuNPs.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Letters","id":"ITEM-1","issued":{"date-parts":[["2022","9","1"]]},"title":"Controlling Nanoparticle Uptake in Innate Immune Cells with Heparosan Polysaccharides","type":"article-journal"},"uris":["http://www.mendeley.com/documents/?uuid=61b07701-018f-44b3-aaaa-a732980c0276"]},{"id":"ITEM-2","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Letters","id":"ITEM-2","issue":"5","issued":{"date-parts":[["2022","3","9"]]},"page":"2103-2111","title":"Nanoparticle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300,301&lt;/sup&gt;","plainTextFormattedCitation":"300,301","previouslyFormattedCitation":"&lt;sup&gt;300,301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300,301</w:t>
      </w:r>
      <w:r w:rsidRPr="000D3D4F">
        <w:rPr>
          <w:rFonts w:ascii="Arial" w:hAnsi="Arial" w:cs="Arial"/>
          <w:sz w:val="24"/>
          <w:szCs w:val="24"/>
        </w:rPr>
        <w:fldChar w:fldCharType="end"/>
      </w:r>
      <w:r w:rsidRPr="000D3D4F">
        <w:rPr>
          <w:rFonts w:ascii="Arial" w:hAnsi="Arial" w:cs="Arial"/>
          <w:sz w:val="24"/>
          <w:szCs w:val="24"/>
        </w:rPr>
        <w:t xml:space="preserve"> </w:t>
      </w:r>
    </w:p>
    <w:p w14:paraId="18771C2D" w14:textId="3EE75495"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We then estimated the percentage of the vesicle volume occupied by nanoparticles (Figure </w:t>
      </w:r>
      <w:r w:rsidR="00847387">
        <w:rPr>
          <w:rFonts w:ascii="Arial" w:hAnsi="Arial" w:cs="Arial"/>
          <w:sz w:val="24"/>
          <w:szCs w:val="24"/>
        </w:rPr>
        <w:t>3.2</w:t>
      </w:r>
      <w:r w:rsidRPr="000D3D4F">
        <w:rPr>
          <w:rFonts w:ascii="Arial" w:hAnsi="Arial" w:cs="Arial"/>
          <w:sz w:val="24"/>
          <w:szCs w:val="24"/>
        </w:rPr>
        <w:t xml:space="preserve">i). Since the pixel area of the detected nanoparticle light scattering signal was significantly larger than the area a nanoparticle would realistically occupy in non-expanded cells, or potentially smaller in expanded cells (following correction for expansion factors), this estimation is not an exact measure. However, this estimate does allow relative comparisons between different nanoparticle surface modifications. We show that HEP-AuNPs occupied a significantly higher percentage of the vesicle volume than PEG-AuNPs (*p&lt;0.05, Figure </w:t>
      </w:r>
      <w:r w:rsidR="00847387">
        <w:rPr>
          <w:rFonts w:ascii="Arial" w:hAnsi="Arial" w:cs="Arial"/>
          <w:sz w:val="24"/>
          <w:szCs w:val="24"/>
        </w:rPr>
        <w:t>3.2</w:t>
      </w:r>
      <w:r w:rsidRPr="000D3D4F">
        <w:rPr>
          <w:rFonts w:ascii="Arial" w:hAnsi="Arial" w:cs="Arial"/>
          <w:sz w:val="24"/>
          <w:szCs w:val="24"/>
        </w:rPr>
        <w:t>i), which is expected given the high endocytosis rates and efficiencies of HEP-AuNPs.</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Letters","id":"ITEM-1","issued":{"date-parts":[["2022","9","1"]]},"title":"Controlling Nanoparticle Uptake in Innate Immune Cells with Heparosan Polysaccharides","type":"article-journal"},"uris":["http://www.mendeley.com/documents/?uuid=61b07701-018f-44b3-aaaa-a732980c0276"]},{"id":"ITEM-2","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Letters","id":"ITEM-2","issue":"5","issued":{"date-parts":[["2022","3","9"]]},"page":"2103-2111","title":"Nanoparticle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300,301&lt;/sup&gt;","plainTextFormattedCitation":"300,301","previouslyFormattedCitation":"&lt;sup&gt;300,301&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300,301</w:t>
      </w:r>
      <w:r w:rsidRPr="000D3D4F">
        <w:rPr>
          <w:rFonts w:ascii="Arial" w:hAnsi="Arial" w:cs="Arial"/>
          <w:sz w:val="24"/>
          <w:szCs w:val="24"/>
        </w:rPr>
        <w:fldChar w:fldCharType="end"/>
      </w:r>
      <w:r w:rsidRPr="000D3D4F">
        <w:rPr>
          <w:rFonts w:ascii="Arial" w:hAnsi="Arial" w:cs="Arial"/>
          <w:sz w:val="24"/>
          <w:szCs w:val="24"/>
        </w:rPr>
        <w:t xml:space="preserve"> We anticipate that this type of nanoparticle intracellular distribution analysis will be applied in future studies evaluating nanoparticle-cell interactions. Since the pan-ExM process is compatible with immunofluorescence labeling,</w:t>
      </w:r>
      <w:r w:rsidRPr="000D3D4F">
        <w:rPr>
          <w:rFonts w:ascii="Arial" w:hAnsi="Arial" w:cs="Arial"/>
          <w:sz w:val="24"/>
          <w:szCs w:val="24"/>
        </w:rPr>
        <w:fldChar w:fldCharType="begin" w:fldLock="1"/>
      </w:r>
      <w:r w:rsidR="008C387C">
        <w:rPr>
          <w:rFonts w:ascii="Arial"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mendeley":{"formattedCitation":"&lt;sup&gt;280&lt;/sup&gt;","plainTextFormattedCitation":"280","previouslyFormattedCitation":"&lt;sup&gt;280&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280</w:t>
      </w:r>
      <w:r w:rsidRPr="000D3D4F">
        <w:rPr>
          <w:rFonts w:ascii="Arial" w:hAnsi="Arial" w:cs="Arial"/>
          <w:sz w:val="24"/>
          <w:szCs w:val="24"/>
        </w:rPr>
        <w:fldChar w:fldCharType="end"/>
      </w:r>
      <w:r w:rsidRPr="000D3D4F">
        <w:rPr>
          <w:rFonts w:ascii="Arial" w:hAnsi="Arial" w:cs="Arial"/>
          <w:sz w:val="24"/>
          <w:szCs w:val="24"/>
        </w:rPr>
        <w:t xml:space="preserve"> more specific analyses of the nanoparticle distribution across different types of intracellular vesicles or other intracellular features and compartments could be accomplished in future studies.</w:t>
      </w:r>
      <w:r w:rsidRPr="000D3D4F">
        <w:rPr>
          <w:rFonts w:ascii="Arial" w:hAnsi="Arial" w:cs="Arial"/>
          <w:sz w:val="24"/>
          <w:szCs w:val="24"/>
        </w:rPr>
        <w:br w:type="page"/>
      </w:r>
    </w:p>
    <w:p w14:paraId="2C809FD9" w14:textId="5CF26570" w:rsidR="000D3D4F" w:rsidRDefault="000D3D4F" w:rsidP="00721691">
      <w:pPr>
        <w:pStyle w:val="Heading2"/>
      </w:pPr>
      <w:bookmarkStart w:id="50" w:name="_Toc151032431"/>
      <w:r>
        <w:lastRenderedPageBreak/>
        <w:t xml:space="preserve">3.3 </w:t>
      </w:r>
      <w:r w:rsidRPr="000D3D4F">
        <w:t>Conclusions</w:t>
      </w:r>
      <w:bookmarkEnd w:id="50"/>
    </w:p>
    <w:p w14:paraId="175B856F" w14:textId="77777777" w:rsidR="00721691" w:rsidRPr="00721691" w:rsidRDefault="00721691" w:rsidP="00721691"/>
    <w:p w14:paraId="5D8115D5" w14:textId="77777777" w:rsidR="000D3D4F" w:rsidRPr="000D3D4F" w:rsidRDefault="000D3D4F" w:rsidP="00E02D3D">
      <w:pPr>
        <w:spacing w:line="480" w:lineRule="auto"/>
        <w:ind w:firstLine="360"/>
        <w:jc w:val="both"/>
        <w:rPr>
          <w:rFonts w:ascii="Arial" w:hAnsi="Arial" w:cs="Arial"/>
          <w:sz w:val="24"/>
          <w:szCs w:val="24"/>
        </w:rPr>
      </w:pPr>
      <w:r w:rsidRPr="000D3D4F">
        <w:rPr>
          <w:rFonts w:ascii="Arial" w:hAnsi="Arial" w:cs="Arial"/>
          <w:sz w:val="24"/>
          <w:szCs w:val="24"/>
        </w:rPr>
        <w:t xml:space="preserve">We demonstrated that label-free metallic nanoparticles could be visualized in 3D within individual intracellular vesicles of cultured cells in a quantifiable manner through our super-resolution imaging method. Furthermore, we showed that this method provides comparable information to the standard methods of analyzing metallic nanoparticle intracellular distribution and uptake, </w:t>
      </w:r>
      <w:proofErr w:type="gramStart"/>
      <w:r w:rsidRPr="000D3D4F">
        <w:rPr>
          <w:rFonts w:ascii="Arial" w:hAnsi="Arial" w:cs="Arial"/>
          <w:sz w:val="24"/>
          <w:szCs w:val="24"/>
        </w:rPr>
        <w:t>TEM</w:t>
      </w:r>
      <w:proofErr w:type="gramEnd"/>
      <w:r w:rsidRPr="000D3D4F">
        <w:rPr>
          <w:rFonts w:ascii="Arial" w:hAnsi="Arial" w:cs="Arial"/>
          <w:sz w:val="24"/>
          <w:szCs w:val="24"/>
        </w:rPr>
        <w:t xml:space="preserve"> and ICP-MS, respectively, while also allowing for analyses that were not possible through either method. Our method provides visual 3D information on (a) intracellular nanoparticle distribution in their ultrastructural context, which is not readily obtainable through TEM, along with (b) quantifiable information of relative nanoparticle accumulation within individual intracellular vesicles, which is not obtainable through ICP-MS. </w:t>
      </w:r>
    </w:p>
    <w:p w14:paraId="3C2F6997" w14:textId="372D0EC3" w:rsidR="000D3D4F" w:rsidRPr="000D3D4F" w:rsidRDefault="000D3D4F" w:rsidP="000D3D4F">
      <w:pPr>
        <w:spacing w:line="480" w:lineRule="auto"/>
        <w:ind w:firstLine="360"/>
        <w:jc w:val="both"/>
        <w:rPr>
          <w:rFonts w:ascii="Arial" w:hAnsi="Arial" w:cs="Arial"/>
          <w:sz w:val="24"/>
          <w:szCs w:val="24"/>
        </w:rPr>
      </w:pPr>
      <w:r w:rsidRPr="000D3D4F">
        <w:rPr>
          <w:rFonts w:ascii="Arial" w:hAnsi="Arial" w:cs="Arial"/>
          <w:sz w:val="24"/>
          <w:szCs w:val="24"/>
        </w:rPr>
        <w:t xml:space="preserve">We presented two expansion protocols compatible with this method, proExM and pan-ExM. While proExM does not provide sufficient resolution to fully resolve most of the smaller intracellular features, it is a significantly faster protocol. Conversely, pan-ExM provides significantly higher resolutions for separating smaller, adjacent intracellular vesicles, albeit at the cost of significantly longer processing times. Furthermore, pan-ExM does not rely on proteases, allowing for the </w:t>
      </w:r>
      <w:proofErr w:type="spellStart"/>
      <w:r w:rsidRPr="000D3D4F">
        <w:rPr>
          <w:rFonts w:ascii="Arial" w:hAnsi="Arial" w:cs="Arial"/>
          <w:sz w:val="24"/>
          <w:szCs w:val="24"/>
        </w:rPr>
        <w:t>post-expansion</w:t>
      </w:r>
      <w:proofErr w:type="spellEnd"/>
      <w:r w:rsidRPr="000D3D4F">
        <w:rPr>
          <w:rFonts w:ascii="Arial" w:hAnsi="Arial" w:cs="Arial"/>
          <w:sz w:val="24"/>
          <w:szCs w:val="24"/>
        </w:rPr>
        <w:t xml:space="preserve"> antibody labeling of samples, which results in better epitope accessibility by molecular de-crowding. In contrast, only certain epitopes can survive the proteinase treatment used in proExM. However, certain variants of proExM have employed protease-free homogenization, similar to pan</w:t>
      </w:r>
      <w:r w:rsidR="00FE3465">
        <w:rPr>
          <w:rFonts w:ascii="Arial" w:hAnsi="Arial" w:cs="Arial"/>
          <w:sz w:val="24"/>
          <w:szCs w:val="24"/>
        </w:rPr>
        <w:t>-</w:t>
      </w:r>
      <w:r w:rsidRPr="000D3D4F">
        <w:rPr>
          <w:rFonts w:ascii="Arial" w:hAnsi="Arial" w:cs="Arial"/>
          <w:sz w:val="24"/>
          <w:szCs w:val="24"/>
        </w:rPr>
        <w:t>ExM.</w:t>
      </w:r>
      <w:r w:rsidRPr="000D3D4F">
        <w:rPr>
          <w:rFonts w:ascii="Arial" w:hAnsi="Arial" w:cs="Arial"/>
          <w:sz w:val="24"/>
          <w:szCs w:val="24"/>
        </w:rPr>
        <w:fldChar w:fldCharType="begin" w:fldLock="1"/>
      </w:r>
      <w:r w:rsidR="008C387C">
        <w:rPr>
          <w:rFonts w:ascii="Arial" w:hAnsi="Arial" w:cs="Arial"/>
          <w:sz w:val="24"/>
          <w:szCs w:val="24"/>
        </w:rPr>
        <w:instrText xml:space="preserve">ADDIN CSL_CITATION {"citationItems":[{"id":"ITEM-1","itemData":{"DOI":"10.1002/cpcb.56","ISSN":"19342616","abstract":"Expansion microscopy (ExM) is a recently developed technique that enables nanoscale-resolution imaging of preserved cells and tissues on conventional diffraction-limited microscopes via isotropic physical expansion of the specimens before imaging. In ExM, biomolecules and/or fluorescent labels in the specimen are linked to a dense, expandable polymer matrix synthesized evenly throughout the specimen, which undergoes 3-dimensional expansion by </w:instrText>
      </w:r>
      <w:r w:rsidR="008C387C">
        <w:rPr>
          <w:rFonts w:ascii="Cambria Math" w:hAnsi="Cambria Math" w:cs="Cambria Math"/>
          <w:sz w:val="24"/>
          <w:szCs w:val="24"/>
        </w:rPr>
        <w:instrText>∼</w:instrText>
      </w:r>
      <w:r w:rsidR="008C387C">
        <w:rPr>
          <w:rFonts w:ascii="Arial" w:hAnsi="Arial" w:cs="Arial"/>
          <w:sz w:val="24"/>
          <w:szCs w:val="24"/>
        </w:rPr>
        <w:instrText>4.5 fold linearly when immersed in water. Since our first report, versions of ExM optimized for visualization of proteins, RNA, and other biomolecules have emerged. Here we describe best-practice, step-by-step ExM protocols for performing analysis of proteins (protein retention ExM, or proExM) as well as RNAs (expansion fluorescence in situ hybridization, or ExFISH), using chemicals and hardware found in a typical biology lab. Furthermore, a detailed protocol for handling and mounting expanded samples and for imaging them with confocal and light-sheet microscopes is provided. © 2018 by John Wiley &amp; Sons, Inc.","author":[{"dropping-particle":"","family":"Asano","given":"Shoh M.","non-dropping-particle":"","parse-names":false,"suffix":""},{"dropping-particle":"","family":"Gao","given":"Ruixuan","non-dropping-particle":"","parse-names":false,"suffix":""},{"dropping-particle":"","family":"Wassie","given":"Asmamaw T.","non-dropping-particle":"","parse-names":false,"suffix":""},{"dropping-particle":"","family":"Tillberg","given":"Paul W.","non-dropping-particle":"","parse-names":false,"suffix":""},{"dropping-particle":"","family":"Chen","given":"Fei","non-dropping-particle":"","parse-names":false,"suffix":""},{"dropping-particle":"","family":"Boyden","given":"Edward S.","non-dropping-particle":"","parse-names":false,"suffix":""}],"container-title":"Current Protocols in Cell Biology","id":"ITEM-1","issue":"1","issued":{"date-parts":[["2018"]]},"page":"1-41","title":"Expansion Microscopy: Protocols for Imaging Proteins and RNA in Cells and Tissues","type":"article-journal","volume":"80"},"uris":["http://www.mendeley.com/documents/?uuid=5b441f14-4fba-4b6e-91c8-060c0441e136"]},{"id":"ITEM-2","itemData":{"DOI":"10.1038/nbt.3625","ISSN":"15461696","PMID":"27376584","abstract":"Expansion microscopy (ExM) enables imaging of preserved specimens with nanoscale precision on diffraction-limited instead of specialized super-resolution microscopes. ExM works by physically separating fluorescent probes after anchoring them to a swellable gel. The first ExM method did not result in the retention of native proteins in the gel and relied on custom-made reagents that are not widely available. Here we describe protein retention ExM (proExM), a variant of ExM in which proteins are anchored to the swellable gel, allowing the use of conventional fluorescently labeled antibodies and streptavidin, and fluorescent proteins. We validated and demonstrated the utility of proExM for multicolor super-resolution (</w:instrText>
      </w:r>
      <w:r w:rsidR="008C387C">
        <w:rPr>
          <w:rFonts w:ascii="Cambria Math" w:hAnsi="Cambria Math" w:cs="Cambria Math"/>
          <w:sz w:val="24"/>
          <w:szCs w:val="24"/>
        </w:rPr>
        <w:instrText>∼</w:instrText>
      </w:r>
      <w:r w:rsidR="008C387C">
        <w:rPr>
          <w:rFonts w:ascii="Arial" w:hAnsi="Arial" w:cs="Arial"/>
          <w:sz w:val="24"/>
          <w:szCs w:val="24"/>
        </w:rPr>
        <w:instrText>1/470 nm) imaging of cells and mammalian tissues on conventional microscopes.","author":[{"dropping-particle":"","family":"Tillberg","given":"Paul W.","non-dropping-particle":"","parse-names":false,"suffix":""},{"dropping-particle":"","family":"Chen","given":"Fei","non-dropping-particle":"","parse-names":false,"suffix":""},{"dropping-particle":"","family":"Piatkevich","given":"Kiryl D.","non-dropping-particle":"","parse-names":false,"suffix":""},{"dropping-particle":"","family":"Zhao","given":"Yongxin","non-dropping-particle":"","parse-names":false,"suffix":""},{"dropping-particle":"","family":"Yu","given":"C. C.","non-dropping-particle":"","parse-names":false,"suffix":""},{"dropping-particle":"","family":"English","given":"Brian P.","non-dropping-particle":"","parse-names":false,"suffix":""},{"dropping-particle":"","family":"Gao","given":"Linyi","non-dropping-particle":"","parse-names":false,"suffix":""},{"dropping-particle":"","family":"Martorell","given":"Anthony","non-dropping-particle":"","parse-names":false,"suffix":""},{"dropping-particle":"","family":"Suk","given":"Ho Jun","non-dropping-particle":"","parse-names":false,"suffix":""},{"dropping-particle":"","family":"Yoshida","given":"Fumiaki","non-dropping-particle":"","parse-names":false,"suffix":""},{"dropping-particle":"","family":"Degennaro","given":"Ellen M.","non-dropping-particle":"","parse-names":false,"suffix":""},{"dropping-particle":"","family":"Roossien","given":"Douglas H.","non-dropping-particle":"","parse-names":false,"suffix":""},{"dropping-particle":"","family":"Gong","given":"Guanyu","non-dropping-particle":"","parse-names":false,"suffix":""},{"dropping-particle":"","family":"Seneviratne","given":"Uthpala","non-dropping-particle":"","parse-names":false,"suffix":""},{"dropping-particle":"","family":"Tannenbaum","given":"Steven R.","non-dropping-particle":"","parse-names":false,"suffix":""},{"dropping-particle":"","family":"Desimone","given":"Robert","non-dropping-particle":"","parse-names":false,"suffix":""},{"dropping-particle":"","family":"Cai","given":"Dawen","non-dropping-particle":"","parse-names":false,"suffix":""},{"dropping-particle":"","family":"Boyden","given":"Edward S.","non-dropping-particle":"","parse-names":false,"suffix":""}],"container-title":"Nature Biotechnology","id":"ITEM-2","issue":"9","issued":{"date-parts":[["2016"]]},"page":"987-992","title":"Protein-retention expansion microscopy of cells and tissues labeled using standard fluorescent proteins and antibodies","type":"article-journal","volume":"34"},"uris":["http://www.mendeley.com/documents/?uuid=7d5436d4-04f0-4aea-87c6-1a3f25267be2"]},{"id":"ITEM-3","itemData":{"DOI":"10.1038/s41467-020-17523-8","ISSN":"2041-1723","abstract":"Resolving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Communications","id":"ITEM-3","issue":"1","issued":{"date-parts":[["2020","12","31"]]},"page":"3850","publisher":"Springer US","title":"Light microscopy of proteins in their ultrastructural context","type":"article-journal","volume":"11"},"uris":["http://www.mendeley.com/documents/?uuid=4a540ae9-cfd4-4c46-9883-3156d444641e"]}],"mendeley":{"formattedCitation":"&lt;sup&gt;280,287,294&lt;/sup&gt;","plainTextFormattedCitation":"280,287,294","previouslyFormattedCitation":"&lt;sup&gt;280,287,294&lt;/sup&gt;"},"properties":{"noteIndex":0},"schema":"https://github.com/citation-style-language/schema/raw/master/csl-citation.json"}</w:instrText>
      </w:r>
      <w:r w:rsidRPr="000D3D4F">
        <w:rPr>
          <w:rFonts w:ascii="Arial" w:hAnsi="Arial" w:cs="Arial"/>
          <w:sz w:val="24"/>
          <w:szCs w:val="24"/>
        </w:rPr>
        <w:fldChar w:fldCharType="separate"/>
      </w:r>
      <w:r w:rsidR="009D7D40" w:rsidRPr="009D7D40">
        <w:rPr>
          <w:rFonts w:ascii="Arial" w:hAnsi="Arial" w:cs="Arial"/>
          <w:noProof/>
          <w:sz w:val="24"/>
          <w:szCs w:val="24"/>
          <w:vertAlign w:val="superscript"/>
        </w:rPr>
        <w:t>280,287,294</w:t>
      </w:r>
      <w:r w:rsidRPr="000D3D4F">
        <w:rPr>
          <w:rFonts w:ascii="Arial" w:hAnsi="Arial" w:cs="Arial"/>
          <w:sz w:val="24"/>
          <w:szCs w:val="24"/>
        </w:rPr>
        <w:fldChar w:fldCharType="end"/>
      </w:r>
      <w:r w:rsidRPr="000D3D4F">
        <w:rPr>
          <w:rFonts w:ascii="Arial" w:hAnsi="Arial" w:cs="Arial"/>
          <w:sz w:val="24"/>
          <w:szCs w:val="24"/>
        </w:rPr>
        <w:t xml:space="preserve"> These factors may be considered when choosing which expansion microscopy protocol to use.</w:t>
      </w:r>
    </w:p>
    <w:p w14:paraId="3216DD5A" w14:textId="14D6CF24" w:rsidR="00CC5600" w:rsidRDefault="000D3D4F" w:rsidP="00E02D3D">
      <w:pPr>
        <w:spacing w:line="480" w:lineRule="auto"/>
        <w:ind w:firstLine="360"/>
        <w:jc w:val="both"/>
        <w:rPr>
          <w:rFonts w:ascii="Arial" w:hAnsi="Arial" w:cs="Arial"/>
          <w:sz w:val="24"/>
          <w:szCs w:val="24"/>
        </w:rPr>
      </w:pPr>
      <w:r w:rsidRPr="000D3D4F">
        <w:rPr>
          <w:rFonts w:ascii="Arial" w:hAnsi="Arial" w:cs="Arial"/>
          <w:sz w:val="24"/>
          <w:szCs w:val="24"/>
        </w:rPr>
        <w:lastRenderedPageBreak/>
        <w:t>We anticipate our demonstrated super-resolution imaging protocols can be applied to research involving a variety of nanomedicine formulations to broadly improve the understanding of the intracellular nanoparticle fate. The successful application of this elegant method may empower more informed research into the nano-bio interactions of nanomedicine formulations toward better clinical results and the development of more efficacious therapies for various diseases.</w:t>
      </w:r>
    </w:p>
    <w:p w14:paraId="0FD55D8A" w14:textId="77777777" w:rsidR="00CC5600" w:rsidRDefault="00CC5600">
      <w:pPr>
        <w:rPr>
          <w:rFonts w:ascii="Arial" w:hAnsi="Arial" w:cs="Arial"/>
          <w:sz w:val="24"/>
          <w:szCs w:val="24"/>
        </w:rPr>
      </w:pPr>
      <w:r>
        <w:rPr>
          <w:rFonts w:ascii="Arial" w:hAnsi="Arial" w:cs="Arial"/>
          <w:sz w:val="24"/>
          <w:szCs w:val="24"/>
        </w:rPr>
        <w:br w:type="page"/>
      </w:r>
    </w:p>
    <w:p w14:paraId="4DF3D609" w14:textId="745AD5E8" w:rsidR="00CC5600" w:rsidRDefault="00CC5600" w:rsidP="00721691">
      <w:pPr>
        <w:pStyle w:val="Heading1"/>
      </w:pPr>
      <w:bookmarkStart w:id="51" w:name="_Toc151032432"/>
      <w:r w:rsidRPr="008C387C">
        <w:lastRenderedPageBreak/>
        <w:t xml:space="preserve">Chapter 4: </w:t>
      </w:r>
      <w:r w:rsidR="00305282" w:rsidRPr="008C387C">
        <w:t>Three-Dimensional Super-Resolution Microscopy for Visualizing Organic Nanoparticle Localization Within Cells</w:t>
      </w:r>
      <w:bookmarkEnd w:id="51"/>
      <w:r w:rsidR="00305282">
        <w:t xml:space="preserve"> </w:t>
      </w:r>
    </w:p>
    <w:p w14:paraId="39AA312C" w14:textId="77777777" w:rsidR="00721691" w:rsidRPr="00721691" w:rsidRDefault="00721691" w:rsidP="00721691"/>
    <w:p w14:paraId="1EA95382" w14:textId="0C8CA556" w:rsidR="00305282" w:rsidRDefault="00305282" w:rsidP="00721691">
      <w:pPr>
        <w:pStyle w:val="Heading2"/>
      </w:pPr>
      <w:bookmarkStart w:id="52" w:name="_Toc151032433"/>
      <w:r>
        <w:t>4.1 Introduction</w:t>
      </w:r>
      <w:bookmarkEnd w:id="52"/>
    </w:p>
    <w:p w14:paraId="29172696" w14:textId="77777777" w:rsidR="00721691" w:rsidRPr="00721691" w:rsidRDefault="00721691" w:rsidP="00721691"/>
    <w:p w14:paraId="15FB668F" w14:textId="588FC550" w:rsidR="003911E3" w:rsidRDefault="008C3B70" w:rsidP="00CC5600">
      <w:pPr>
        <w:spacing w:line="480" w:lineRule="auto"/>
        <w:jc w:val="both"/>
        <w:rPr>
          <w:rFonts w:ascii="Arial" w:hAnsi="Arial" w:cs="Arial"/>
          <w:sz w:val="24"/>
          <w:szCs w:val="24"/>
        </w:rPr>
      </w:pPr>
      <w:r>
        <w:rPr>
          <w:rFonts w:ascii="Arial" w:hAnsi="Arial" w:cs="Arial"/>
          <w:b/>
          <w:bCs/>
          <w:sz w:val="24"/>
          <w:szCs w:val="24"/>
        </w:rPr>
        <w:tab/>
      </w:r>
      <w:r>
        <w:rPr>
          <w:rFonts w:ascii="Arial" w:hAnsi="Arial" w:cs="Arial"/>
          <w:sz w:val="24"/>
          <w:szCs w:val="24"/>
        </w:rPr>
        <w:t>In Chapters 2 and 3, we described the use of metallic nanoparticles to develop a method for visualizing and quantifying the distribution of nanoparticles within cultured cells.</w:t>
      </w:r>
      <w:r w:rsidR="008D4DC0">
        <w:rPr>
          <w:rFonts w:ascii="Arial" w:hAnsi="Arial" w:cs="Arial"/>
          <w:sz w:val="24"/>
          <w:szCs w:val="24"/>
        </w:rPr>
        <w:fldChar w:fldCharType="begin" w:fldLock="1"/>
      </w:r>
      <w:r w:rsidR="00E26DE5">
        <w:rPr>
          <w:rFonts w:ascii="Arial" w:hAnsi="Arial" w:cs="Arial"/>
          <w:sz w:val="24"/>
          <w:szCs w:val="24"/>
        </w:rPr>
        <w:instrText>ADDIN CSL_CITATION {"citationItems":[{"id":"ITEM-1","itemData":{"DOI":"10.1021/acsnano.2c12808","ISSN":"1936086X","PMID":"37071747","abstract":"Super-resolution microscopy can transform our understanding of nanoparticle-cell interactions. Here, we established a super-resolution imaging technology to visualize nanoparticle distributions inside mammalian cells. The cells were exposed to metallic nanoparticles and then embedded within different swellable hydrogels to enable quantitative three-dimensional (3D) imaging approaching electron-microscopy-like resolution using a standard light microscope. By exploiting the nanoparticles’ light scattering properties, we demonstrated quantitative label-free imaging of intracellular nanoparticles with ultrastructural context. We confirmed the compatibility of two expansion microscopy protocols, protein retention and pan-expansion microscopy, with nanoparticle uptake studies. We validated relative differences between nanoparticle cellular accumulation for various surface modifications using mass spectrometry and determined the intracellular nanoparticle spatial distribution in 3D for entire single cells. This super-resolution imaging platform technology may be broadly used to understand the nanoparticle intracellular fate in fundamental and applied studies to potentially inform the engineering of safer and more effective nanomedicines.","author":[{"dropping-particle":"","family":"Sheth","given":"Vinit","non-dropping-particle":"","parse-names":false,"suffix":""},{"dropping-particle":"","family":"Chen","given":"Xuxin","non-dropping-particle":"","parse-names":false,"suffix":""},{"dropping-particle":"","family":"Mettenbrink","given":"Evan M.","non-dropping-particle":"","parse-names":false,"suffix":""},{"dropping-particle":"","family":"Yang","given":"Wen","non-dropping-particle":"","parse-names":false,"suffix":""},{"dropping-particle":"","family":"Jones","given":"Meredith A.","non-dropping-particle":"","parse-names":false,"suffix":""},{"dropping-particle":"","family":"M’Saad","given":"Ons","non-dropping-particle":"","parse-names":false,"suffix":""},{"dropping-particle":"","family":"Thomas","given":"Abigail G.","non-dropping-particle":"","parse-names":false,"suffix":""},{"dropping-particle":"","family":"Newport","given":"Rylee S.","non-dropping-particle":"","parse-names":false,"suffix":""},{"dropping-particle":"","family":"Francek","given":"Emmy","non-dropping-particle":"","parse-names":false,"suffix":""},{"dropping-particle":"","family":"Wang","given":"Lin","non-dropping-particle":"","parse-names":false,"suffix":""},{"dropping-particle":"","family":"Frickenstein","given":"Alex N.","non-dropping-particle":"","parse-names":false,"suffix":""},{"dropping-particle":"","family":"Donahue","given":"Nathan D.","non-dropping-particle":"","parse-names":false,"suffix":""},{"dropping-particle":"","family":"Holden","given":"Alyssa","non-dropping-particle":"","parse-names":false,"suffix":""},{"dropping-particle":"","family":"Mjema","given":"Nathan F.","non-dropping-particle":"","parse-names":false,"suffix":""},{"dropping-particle":"","family":"Green","given":"Dixy E.","non-dropping-particle":"","parse-names":false,"suffix":""},{"dropping-particle":"","family":"DeAngelis","given":"Paul L.","non-dropping-particle":"","parse-names":false,"suffix":""},{"dropping-particle":"","family":"Bewersdorf","given":"Joerg","non-dropping-particle":"","parse-names":false,"suffix":""},{"dropping-particle":"","family":"Wilhelm","given":"Stefan","non-dropping-particle":"","parse-names":false,"suffix":""}],"container-title":"ACS Nano","id":"ITEM-1","issue":"9","issued":{"date-parts":[["2023"]]},"page":"8376-8392","title":"Quantifying Intracellular Nanoparticle Distributions with Three-Dimensional Super-Resolution Microscopy","type":"article-journal","volume":"17"},"uris":["http://www.mendeley.com/documents/?uuid=412e6fcf-4c6c-4db7-8738-3d25931ca654"]}],"mendeley":{"formattedCitation":"&lt;sup&gt;320&lt;/sup&gt;","plainTextFormattedCitation":"320","previouslyFormattedCitation":"&lt;sup&gt;320&lt;/sup&gt;"},"properties":{"noteIndex":0},"schema":"https://github.com/citation-style-language/schema/raw/master/csl-citation.json"}</w:instrText>
      </w:r>
      <w:r w:rsidR="008D4DC0">
        <w:rPr>
          <w:rFonts w:ascii="Arial" w:hAnsi="Arial" w:cs="Arial"/>
          <w:sz w:val="24"/>
          <w:szCs w:val="24"/>
        </w:rPr>
        <w:fldChar w:fldCharType="separate"/>
      </w:r>
      <w:r w:rsidR="008D4DC0" w:rsidRPr="008D4DC0">
        <w:rPr>
          <w:rFonts w:ascii="Arial" w:hAnsi="Arial" w:cs="Arial"/>
          <w:noProof/>
          <w:sz w:val="24"/>
          <w:szCs w:val="24"/>
          <w:vertAlign w:val="superscript"/>
        </w:rPr>
        <w:t>320</w:t>
      </w:r>
      <w:r w:rsidR="008D4DC0">
        <w:rPr>
          <w:rFonts w:ascii="Arial" w:hAnsi="Arial" w:cs="Arial"/>
          <w:sz w:val="24"/>
          <w:szCs w:val="24"/>
        </w:rPr>
        <w:fldChar w:fldCharType="end"/>
      </w:r>
      <w:r>
        <w:rPr>
          <w:rFonts w:ascii="Arial" w:hAnsi="Arial" w:cs="Arial"/>
          <w:sz w:val="24"/>
          <w:szCs w:val="24"/>
        </w:rPr>
        <w:t xml:space="preserve"> Metallic nanoparticles have been widely used as model systems for nanomedicine delivery due to their relative ease of synthesis, functionalization, and characterization.</w:t>
      </w:r>
      <w:r>
        <w:rPr>
          <w:rFonts w:ascii="Arial" w:hAnsi="Arial" w:cs="Arial"/>
          <w:sz w:val="24"/>
          <w:szCs w:val="24"/>
        </w:rPr>
        <w:fldChar w:fldCharType="begin" w:fldLock="1"/>
      </w:r>
      <w:r w:rsidR="00E26DE5">
        <w:rPr>
          <w:rFonts w:ascii="Arial" w:hAnsi="Arial" w:cs="Arial"/>
          <w:sz w:val="24"/>
          <w:szCs w:val="24"/>
        </w:rPr>
        <w:instrText>ADDIN CSL_CITATION {"citationItems":[{"id":"ITEM-1","itemData":{"DOI":"10.3390/ijms19124031","ISSN":"1422-0067","PMID":"30551592","abstract":"Nanoparticles have unique, size-dependent properties, which means they are widely used in various branches of industry. The ability to control the properties of nanoparticles makes these nanomaterials very interesting for medicine and pharmacology. The application of nanoparticles in medicine is associated with the design of specific nanostructures, which can be used as novel diagnostic and therapeutic modalities. There are a lot of applications of nanoparticles, e.g., as drug delivery systems, radiosensitizers in radiation or proton therapy, in bioimaging, or as bactericides/fungicides. This paper aims to introduce the characteristics of noble metal-based nanoparticles with particular emphasis on their applications in medicine and related sciences.","author":[{"dropping-particle":"","family":"Klębowski","given":"Bartosz","non-dropping-particle":"","parse-names":false,"suffix":""},{"dropping-particle":"","family":"Depciuch","given":"Joanna","non-dropping-particle":"","parse-names":false,"suffix":""},{"dropping-particle":"","family":"Parlińska-Wojtan","given":"Magdalena","non-dropping-particle":"","parse-names":false,"suffix":""},{"dropping-particle":"","family":"Baran","given":"Jarek","non-dropping-particle":"","parse-names":false,"suffix":""}],"container-title":"International Journal of Molecular Sciences","id":"ITEM-1","issue":"12","issued":{"date-parts":[["2018","12","13"]]},"page":"4031","title":"Applications of Noble Metal-Based Nanoparticles in Medicine","type":"article-journal","volume":"19"},"uris":["http://www.mendeley.com/documents/?uuid=ee063cfa-9a2f-4bf2-9594-804858a0ae5a"]}],"mendeley":{"formattedCitation":"&lt;sup&gt;321&lt;/sup&gt;","plainTextFormattedCitation":"321","previouslyFormattedCitation":"&lt;sup&gt;321&lt;/sup&gt;"},"properties":{"noteIndex":0},"schema":"https://github.com/citation-style-language/schema/raw/master/csl-citation.json"}</w:instrText>
      </w:r>
      <w:r>
        <w:rPr>
          <w:rFonts w:ascii="Arial" w:hAnsi="Arial" w:cs="Arial"/>
          <w:sz w:val="24"/>
          <w:szCs w:val="24"/>
        </w:rPr>
        <w:fldChar w:fldCharType="separate"/>
      </w:r>
      <w:r w:rsidR="008D4DC0" w:rsidRPr="008D4DC0">
        <w:rPr>
          <w:rFonts w:ascii="Arial" w:hAnsi="Arial" w:cs="Arial"/>
          <w:noProof/>
          <w:sz w:val="24"/>
          <w:szCs w:val="24"/>
          <w:vertAlign w:val="superscript"/>
        </w:rPr>
        <w:t>321</w:t>
      </w:r>
      <w:r>
        <w:rPr>
          <w:rFonts w:ascii="Arial" w:hAnsi="Arial" w:cs="Arial"/>
          <w:sz w:val="24"/>
          <w:szCs w:val="24"/>
        </w:rPr>
        <w:fldChar w:fldCharType="end"/>
      </w:r>
      <w:r>
        <w:rPr>
          <w:rFonts w:ascii="Arial" w:hAnsi="Arial" w:cs="Arial"/>
          <w:sz w:val="24"/>
          <w:szCs w:val="24"/>
        </w:rPr>
        <w:t xml:space="preserve"> However, metallic nanoparticle have thus far had limited clinical translation for cancer treatments.</w:t>
      </w:r>
      <w:r>
        <w:rPr>
          <w:rFonts w:ascii="Arial" w:hAnsi="Arial" w:cs="Arial"/>
          <w:sz w:val="24"/>
          <w:szCs w:val="24"/>
        </w:rPr>
        <w:fldChar w:fldCharType="begin" w:fldLock="1"/>
      </w:r>
      <w:r w:rsidR="00E26DE5">
        <w:rPr>
          <w:rFonts w:ascii="Arial" w:hAnsi="Arial" w:cs="Arial"/>
          <w:sz w:val="24"/>
          <w:szCs w:val="24"/>
        </w:rPr>
        <w:instrText>ADDIN CSL_CITATION {"citationItems":[{"id":"ITEM-1","itemData":{"DOI":"10.1007/s13346-022-01232-4","ISSN":"21903948","PMID":"36045273","abstract":"Gold nanoparticles display unique physicochemical features, which can be useful for therapeutic purposes. After two decades of preclinical progress, gold nanoconstructs are slowly but steadily transitioning into clinical trials. Although initially thought to be “magic golden bullets” that could be used to treat a wide range of diseases, current consensus has moved toward a more realistic approach, where gold nanoformulations are being investigated to treat specific disorders. These therapeutic applications are dictated by the pharmacokinetics and biodistribution profiles of gold nanoparticles. Here, we analyze the current clinical landscape of therapeutic gold nanoconstructs, discuss the shared characteristics that allowed for their transition from bench to bedside, and examine existing hurdles that need to be overcome before they can be approved for clinical use. Graphical Abstract: [Figure not available: see fulltext.].","author":[{"dropping-particle":"","family":"Zhang","given":"Rui","non-dropping-particle":"","parse-names":false,"suffix":""},{"dropping-particle":"","family":"Kiessling","given":"Fabian","non-dropping-particle":"","parse-names":false,"suffix":""},{"dropping-particle":"","family":"Lammers","given":"Twan","non-dropping-particle":"","parse-names":false,"suffix":""},{"dropping-particle":"","family":"Pallares","given":"Roger M.","non-dropping-particle":"","parse-names":false,"suffix":""}],"container-title":"Drug Delivery and Translational Research","id":"ITEM-1","issue":"2","issued":{"date-parts":[["2023"]]},"page":"378-385","publisher":"Springer US","title":"Clinical translation of gold nanoparticles","type":"article-journal","volume":"13"},"uris":["http://www.mendeley.com/documents/?uuid=631af7bc-dd6d-49ad-83cb-8331b4172a52"]}],"mendeley":{"formattedCitation":"&lt;sup&gt;322&lt;/sup&gt;","plainTextFormattedCitation":"322","previouslyFormattedCitation":"&lt;sup&gt;322&lt;/sup&gt;"},"properties":{"noteIndex":0},"schema":"https://github.com/citation-style-language/schema/raw/master/csl-citation.json"}</w:instrText>
      </w:r>
      <w:r>
        <w:rPr>
          <w:rFonts w:ascii="Arial" w:hAnsi="Arial" w:cs="Arial"/>
          <w:sz w:val="24"/>
          <w:szCs w:val="24"/>
        </w:rPr>
        <w:fldChar w:fldCharType="separate"/>
      </w:r>
      <w:r w:rsidR="008D4DC0" w:rsidRPr="008D4DC0">
        <w:rPr>
          <w:rFonts w:ascii="Arial" w:hAnsi="Arial" w:cs="Arial"/>
          <w:noProof/>
          <w:sz w:val="24"/>
          <w:szCs w:val="24"/>
          <w:vertAlign w:val="superscript"/>
        </w:rPr>
        <w:t>322</w:t>
      </w:r>
      <w:r>
        <w:rPr>
          <w:rFonts w:ascii="Arial" w:hAnsi="Arial" w:cs="Arial"/>
          <w:sz w:val="24"/>
          <w:szCs w:val="24"/>
        </w:rPr>
        <w:fldChar w:fldCharType="end"/>
      </w:r>
      <w:r w:rsidR="00522FDC">
        <w:rPr>
          <w:rFonts w:ascii="Arial" w:hAnsi="Arial" w:cs="Arial"/>
          <w:sz w:val="24"/>
          <w:szCs w:val="24"/>
        </w:rPr>
        <w:t xml:space="preserve"> </w:t>
      </w:r>
      <w:r w:rsidR="001522DD">
        <w:rPr>
          <w:rFonts w:ascii="Arial" w:hAnsi="Arial" w:cs="Arial"/>
          <w:sz w:val="24"/>
          <w:szCs w:val="24"/>
        </w:rPr>
        <w:t>Organic nanoparticles, on the other hand, have had significantly more clinical success, with multiple organic nanomedicine formulations being approved for clinical use by the U.S. Food and Drug Administration (FDA).</w:t>
      </w:r>
      <w:r w:rsidR="001522DD">
        <w:rPr>
          <w:rFonts w:ascii="Arial" w:hAnsi="Arial" w:cs="Arial"/>
          <w:sz w:val="24"/>
          <w:szCs w:val="24"/>
        </w:rPr>
        <w:fldChar w:fldCharType="begin" w:fldLock="1"/>
      </w:r>
      <w:r w:rsidR="00E26DE5">
        <w:rPr>
          <w:rFonts w:ascii="Arial" w:hAnsi="Arial" w:cs="Arial"/>
          <w:sz w:val="24"/>
          <w:szCs w:val="24"/>
        </w:rPr>
        <w:instrText>ADDIN CSL_CITATION {"citationItems":[{"id":"ITEM-1","itemData":{"DOI":"10.3390/cancers15082256","ISSN":"20726694","abstract":"Cancer is one of the most prevalent diseases globally and is the second major cause of death in the United States. Despite the continuous efforts to understand tumor mechanisms and various approaches taken for treatment over decades, no significant improvements have been observed in cancer therapy. Lack of tumor specificity, dose-related toxicity, low bioavailability, and lack of stability of chemotherapeutics are major hindrances to cancer treatment. Nanomedicine has drawn the attention of many researchers due to its potential for tumor-specific delivery while minimizing unwanted side effects. The application of these nanoparticles is not limited to just therapeutic uses; some of them have shown to have extremely promising diagnostic potential. In this review, we describe and compare various types of nanoparticles and their role in advancing cancer treatment. We further highlight various nanoformulations currently approved for cancer therapy as well as under different phases of clinical trials. Finally, we discuss the prospect of nanomedicine in cancer management.","author":[{"dropping-particle":"","family":"Giri","given":"Paras Mani","non-dropping-particle":"","parse-names":false,"suffix":""},{"dropping-particle":"","family":"Banerjee","given":"Anurag","non-dropping-particle":"","parse-names":false,"suffix":""},{"dropping-particle":"","family":"Layek","given":"Buddhadev","non-dropping-particle":"","parse-names":false,"suffix":""}],"container-title":"Cancers","id":"ITEM-1","issue":"8","issued":{"date-parts":[["2023"]]},"title":"A Recent Review on Cancer Nanomedicine","type":"article-journal","volume":"15"},"uris":["http://www.mendeley.com/documents/?uuid=26b776d7-b737-45aa-9c7a-818f8069183f"]}],"mendeley":{"formattedCitation":"&lt;sup&gt;323&lt;/sup&gt;","plainTextFormattedCitation":"323","previouslyFormattedCitation":"&lt;sup&gt;323&lt;/sup&gt;"},"properties":{"noteIndex":0},"schema":"https://github.com/citation-style-language/schema/raw/master/csl-citation.json"}</w:instrText>
      </w:r>
      <w:r w:rsidR="001522DD">
        <w:rPr>
          <w:rFonts w:ascii="Arial" w:hAnsi="Arial" w:cs="Arial"/>
          <w:sz w:val="24"/>
          <w:szCs w:val="24"/>
        </w:rPr>
        <w:fldChar w:fldCharType="separate"/>
      </w:r>
      <w:r w:rsidR="008D4DC0" w:rsidRPr="008D4DC0">
        <w:rPr>
          <w:rFonts w:ascii="Arial" w:hAnsi="Arial" w:cs="Arial"/>
          <w:noProof/>
          <w:sz w:val="24"/>
          <w:szCs w:val="24"/>
          <w:vertAlign w:val="superscript"/>
        </w:rPr>
        <w:t>323</w:t>
      </w:r>
      <w:r w:rsidR="001522DD">
        <w:rPr>
          <w:rFonts w:ascii="Arial" w:hAnsi="Arial" w:cs="Arial"/>
          <w:sz w:val="24"/>
          <w:szCs w:val="24"/>
        </w:rPr>
        <w:fldChar w:fldCharType="end"/>
      </w:r>
      <w:r w:rsidR="00021257">
        <w:rPr>
          <w:rFonts w:ascii="Arial" w:hAnsi="Arial" w:cs="Arial"/>
          <w:sz w:val="24"/>
          <w:szCs w:val="24"/>
        </w:rPr>
        <w:t xml:space="preserve"> </w:t>
      </w:r>
      <w:r w:rsidR="001522DD">
        <w:rPr>
          <w:rFonts w:ascii="Arial" w:hAnsi="Arial" w:cs="Arial"/>
          <w:sz w:val="24"/>
          <w:szCs w:val="24"/>
        </w:rPr>
        <w:t>While these organic nanomedicine formulations do tend to promote better patient safety compared to their free drug equivalents, they are still limited by low cancer-treatment efficacy, as they also demonstrate low tumor accumulation.</w:t>
      </w:r>
      <w:r w:rsidR="001522DD">
        <w:rPr>
          <w:rFonts w:ascii="Arial" w:hAnsi="Arial" w:cs="Arial"/>
          <w:sz w:val="24"/>
          <w:szCs w:val="24"/>
        </w:rPr>
        <w:fldChar w:fldCharType="begin" w:fldLock="1"/>
      </w:r>
      <w:r w:rsidR="00E26DE5">
        <w:rPr>
          <w:rFonts w:ascii="Arial" w:hAnsi="Arial" w:cs="Arial"/>
          <w:sz w:val="24"/>
          <w:szCs w:val="24"/>
        </w:rPr>
        <w:instrText>ADDIN CSL_CITATION {"citationItems":[{"id":"ITEM-1","itemData":{"DOI":"10.1021/acsnano.9b09713","ISSN":"1936086X","PMID":"33021091","abstract":"The three design criteria of anticancer nanomedicines to improve anticancer efficacy and to reduce toxicity have been debated for decades: (1) Nanomedicines increase drug accumulation through enhanced permeability and retention (EPR) in tumors to improve anticancer efficacy. (2) Long systemic circulation of nanomedicines with high plasma concentration reduces reticuloendothelial system (RES) clearance and decreases drug accumulation in the normal organs to reduce toxicity, and to enhance the EPR effect. (3) A universal nanodelivery platform based on EPR and long systemic circulation can be developed to deliver different anticancer drugs. Although these criteria have repeatedly been confirmed in preclinical xenograft cancers, the majority of anticancer nanomedicines have failed to improve clinical efficacy, while the clinical efficacies/safety of successful nanomedicines are inconsistent with these design criteria. First, the debate over tumor EPR may have mixed two different questions and missed more clinically relevant comparisons for nanomedicines versus free drugs. When tumors are compared with normal tissues, tumor EPR has been confirmed in both mouse xenograft tumors and human cancers. However, nanomedicines may not enhance drug accumulation in human tumors compared with free drugs, despite outstanding improvement in preclinical cancers. Heterogeneity of enhanced permeability and retention in human cancers occurs for small/large molecules and nanomedicines, which cannot fully explain the poor translation of nanomedicines' efficacy from preclinical cancer models to cancer patients. Second, long-circulation nanomedicine should not be used as a universal design criterion because it does not further improve tumor accumulation by tumor EPR in human patients nor universally reduce distribution in normal organs. In contrast, nanomedicines change the drug tissue distribution to alter anticancer efficacy/safety. Third, a universal nanodelivery platform that uses the same design criteria for different drugs is not feasible. Rather, drug-specific nanodelivery systems are required to overcome the intrinsic shortcomings of delivered drugs, which are determined by the physicochemical, pharmacokinetic, and pharmacodynamic properties of the delivered drugs and nanocarriers to improve their efficacy/safety.","author":[{"dropping-particle":"","family":"Sun","given":"Duxin","non-dropping-particle":"","parse-names":false,"suffix":""},{"dropping-particle":"","family":"Zhou","given":"Simon","non-dropping-particle":"","parse-names":false,"suffix":""},{"dropping-particle":"","family":"Gao","given":"Wei","non-dropping-particle":"","parse-names":false,"suffix":""}],"container-title":"ACS Nano","id":"ITEM-1","issue":"10","issued":{"date-parts":[["2020"]]},"page":"12281-12290","title":"What went wrong with anticancer nanomedicine design and how to make it right","type":"article-journal","volume":"14"},"uris":["http://www.mendeley.com/documents/?uuid=bdf64e2f-a412-40a7-80a4-90e660b12973"]},{"id":"ITEM-2","itemData":{"DOI":"10.1038/natrevmats.2016.14","ISSN":"20588437","abstract":"Targeting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nanomedicine.","author":[{"dropping-particle":"","family":"Wilhelm","given":"Stefan","non-dropping-particle":"","parse-names":false,"suffix":""},{"dropping-particle":"","family":"Tavares","given":"Anthony J.","non-dropping-particle":"","parse-names":false,"suffix":""},{"dropping-particle":"","family":"Dai","given":"Qin","non-dropping-particle":"","parse-names":false,"suffix":""},{"dropping-particle":"","family":"Ohta","given":"Seiichi","non-dropping-particle":"","parse-names":false,"suffix":""},{"dropping-particle":"","family":"Audet","given":"Julie","non-dropping-particle":"","parse-names":false,"suffix":""},{"dropping-particle":"","family":"Dvorak","given":"Harold F.","non-dropping-particle":"","parse-names":false,"suffix":""},{"dropping-particle":"","family":"Chan","given":"Warren C.W.","non-dropping-particle":"","parse-names":false,"suffix":""}],"container-title":"Nature Reviews Materials","id":"ITEM-2","issue":"May 2018","issued":{"date-parts":[["2016"]]},"title":"Analysis of nanoparticle delivery to tumours","type":"article-journal","volume":"1"},"uris":["http://www.mendeley.com/documents/?uuid=23861e61-8fa7-4925-a7f2-17b8abdb4342"]}],"mendeley":{"formattedCitation":"&lt;sup&gt;14,324&lt;/sup&gt;","plainTextFormattedCitation":"14,324","previouslyFormattedCitation":"&lt;sup&gt;14,324&lt;/sup&gt;"},"properties":{"noteIndex":0},"schema":"https://github.com/citation-style-language/schema/raw/master/csl-citation.json"}</w:instrText>
      </w:r>
      <w:r w:rsidR="001522DD">
        <w:rPr>
          <w:rFonts w:ascii="Arial" w:hAnsi="Arial" w:cs="Arial"/>
          <w:sz w:val="24"/>
          <w:szCs w:val="24"/>
        </w:rPr>
        <w:fldChar w:fldCharType="separate"/>
      </w:r>
      <w:r w:rsidR="008D4DC0" w:rsidRPr="008D4DC0">
        <w:rPr>
          <w:rFonts w:ascii="Arial" w:hAnsi="Arial" w:cs="Arial"/>
          <w:noProof/>
          <w:sz w:val="24"/>
          <w:szCs w:val="24"/>
          <w:vertAlign w:val="superscript"/>
        </w:rPr>
        <w:t>14,324</w:t>
      </w:r>
      <w:r w:rsidR="001522DD">
        <w:rPr>
          <w:rFonts w:ascii="Arial" w:hAnsi="Arial" w:cs="Arial"/>
          <w:sz w:val="24"/>
          <w:szCs w:val="24"/>
        </w:rPr>
        <w:fldChar w:fldCharType="end"/>
      </w:r>
      <w:r w:rsidR="003F4032">
        <w:rPr>
          <w:rFonts w:ascii="Arial" w:hAnsi="Arial" w:cs="Arial"/>
          <w:sz w:val="24"/>
          <w:szCs w:val="24"/>
        </w:rPr>
        <w:t xml:space="preserve"> Therefore, there is still a need for visualizing organic nanoparticles in their ultrastructural context.</w:t>
      </w:r>
      <w:r w:rsidR="004D2BDD">
        <w:rPr>
          <w:rFonts w:ascii="Arial" w:hAnsi="Arial" w:cs="Arial"/>
          <w:sz w:val="24"/>
          <w:szCs w:val="24"/>
        </w:rPr>
        <w:t xml:space="preserve"> </w:t>
      </w:r>
    </w:p>
    <w:p w14:paraId="5D2B3D6B" w14:textId="7FB02F7A" w:rsidR="00021257" w:rsidRDefault="00900F00" w:rsidP="003911E3">
      <w:pPr>
        <w:spacing w:line="480" w:lineRule="auto"/>
        <w:ind w:firstLine="720"/>
        <w:jc w:val="both"/>
        <w:rPr>
          <w:rFonts w:ascii="Arial" w:hAnsi="Arial" w:cs="Arial"/>
          <w:sz w:val="24"/>
          <w:szCs w:val="24"/>
        </w:rPr>
      </w:pPr>
      <w:r>
        <w:rPr>
          <w:rFonts w:ascii="Arial" w:hAnsi="Arial" w:cs="Arial"/>
          <w:sz w:val="24"/>
          <w:szCs w:val="24"/>
        </w:rPr>
        <w:t>While pan</w:t>
      </w:r>
      <w:r w:rsidR="00FE3465">
        <w:rPr>
          <w:rFonts w:ascii="Arial" w:hAnsi="Arial" w:cs="Arial"/>
          <w:sz w:val="24"/>
          <w:szCs w:val="24"/>
        </w:rPr>
        <w:t>-</w:t>
      </w:r>
      <w:r>
        <w:rPr>
          <w:rFonts w:ascii="Arial" w:hAnsi="Arial" w:cs="Arial"/>
          <w:sz w:val="24"/>
          <w:szCs w:val="24"/>
        </w:rPr>
        <w:t>ExM do</w:t>
      </w:r>
      <w:r w:rsidR="003911E3">
        <w:rPr>
          <w:rFonts w:ascii="Arial" w:hAnsi="Arial" w:cs="Arial"/>
          <w:sz w:val="24"/>
          <w:szCs w:val="24"/>
        </w:rPr>
        <w:t>es</w:t>
      </w:r>
      <w:r>
        <w:rPr>
          <w:rFonts w:ascii="Arial" w:hAnsi="Arial" w:cs="Arial"/>
          <w:sz w:val="24"/>
          <w:szCs w:val="24"/>
        </w:rPr>
        <w:t xml:space="preserve"> provide sufficient resolution for </w:t>
      </w:r>
      <w:r w:rsidR="003911E3">
        <w:rPr>
          <w:rFonts w:ascii="Arial" w:hAnsi="Arial" w:cs="Arial"/>
          <w:sz w:val="24"/>
          <w:szCs w:val="24"/>
        </w:rPr>
        <w:t xml:space="preserve">the </w:t>
      </w:r>
      <w:r>
        <w:rPr>
          <w:rFonts w:ascii="Arial" w:hAnsi="Arial" w:cs="Arial"/>
          <w:sz w:val="24"/>
          <w:szCs w:val="24"/>
        </w:rPr>
        <w:t>visualization</w:t>
      </w:r>
      <w:r w:rsidR="003911E3">
        <w:rPr>
          <w:rFonts w:ascii="Arial" w:hAnsi="Arial" w:cs="Arial"/>
          <w:sz w:val="24"/>
          <w:szCs w:val="24"/>
        </w:rPr>
        <w:t xml:space="preserve"> of metallic nanoparticles in their ultrastructural context</w:t>
      </w:r>
      <w:r>
        <w:rPr>
          <w:rFonts w:ascii="Arial" w:hAnsi="Arial" w:cs="Arial"/>
          <w:sz w:val="24"/>
          <w:szCs w:val="24"/>
        </w:rPr>
        <w:t xml:space="preserve">, </w:t>
      </w:r>
      <w:r w:rsidR="003911E3">
        <w:rPr>
          <w:rFonts w:ascii="Arial" w:hAnsi="Arial" w:cs="Arial"/>
          <w:sz w:val="24"/>
          <w:szCs w:val="24"/>
        </w:rPr>
        <w:t>its process involves the removal of lipids from cultured cell samples.</w:t>
      </w:r>
      <w:r w:rsidR="003911E3">
        <w:rPr>
          <w:rFonts w:ascii="Arial" w:hAnsi="Arial" w:cs="Arial"/>
          <w:sz w:val="24"/>
          <w:szCs w:val="24"/>
        </w:rPr>
        <w:fldChar w:fldCharType="begin" w:fldLock="1"/>
      </w:r>
      <w:r w:rsidR="008C387C">
        <w:rPr>
          <w:rFonts w:ascii="Arial"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mendeley":{"formattedCitation":"&lt;sup&gt;280&lt;/sup&gt;","plainTextFormattedCitation":"280","previouslyFormattedCitation":"&lt;sup&gt;280&lt;/sup&gt;"},"properties":{"noteIndex":0},"schema":"https://github.com/citation-style-language/schema/raw/master/csl-citation.json"}</w:instrText>
      </w:r>
      <w:r w:rsidR="003911E3">
        <w:rPr>
          <w:rFonts w:ascii="Arial" w:hAnsi="Arial" w:cs="Arial"/>
          <w:sz w:val="24"/>
          <w:szCs w:val="24"/>
        </w:rPr>
        <w:fldChar w:fldCharType="separate"/>
      </w:r>
      <w:r w:rsidR="009D7D40" w:rsidRPr="009D7D40">
        <w:rPr>
          <w:rFonts w:ascii="Arial" w:hAnsi="Arial" w:cs="Arial"/>
          <w:noProof/>
          <w:sz w:val="24"/>
          <w:szCs w:val="24"/>
          <w:vertAlign w:val="superscript"/>
        </w:rPr>
        <w:t>280</w:t>
      </w:r>
      <w:r w:rsidR="003911E3">
        <w:rPr>
          <w:rFonts w:ascii="Arial" w:hAnsi="Arial" w:cs="Arial"/>
          <w:sz w:val="24"/>
          <w:szCs w:val="24"/>
        </w:rPr>
        <w:fldChar w:fldCharType="end"/>
      </w:r>
      <w:r w:rsidR="003911E3">
        <w:rPr>
          <w:rFonts w:ascii="Arial" w:hAnsi="Arial" w:cs="Arial"/>
          <w:sz w:val="24"/>
          <w:szCs w:val="24"/>
        </w:rPr>
        <w:t xml:space="preserve">  Given that a majority of the FDA approved organic anti-cancer nanomedicine formulations are lipid based,</w:t>
      </w:r>
      <w:r w:rsidR="001E1A54">
        <w:rPr>
          <w:rFonts w:ascii="Arial" w:hAnsi="Arial" w:cs="Arial"/>
          <w:sz w:val="24"/>
          <w:szCs w:val="24"/>
        </w:rPr>
        <w:t xml:space="preserve"> pan</w:t>
      </w:r>
      <w:r w:rsidR="00FE3465">
        <w:rPr>
          <w:rFonts w:ascii="Arial" w:hAnsi="Arial" w:cs="Arial"/>
          <w:sz w:val="24"/>
          <w:szCs w:val="24"/>
        </w:rPr>
        <w:t>-</w:t>
      </w:r>
      <w:r w:rsidR="001E1A54">
        <w:rPr>
          <w:rFonts w:ascii="Arial" w:hAnsi="Arial" w:cs="Arial"/>
          <w:sz w:val="24"/>
          <w:szCs w:val="24"/>
        </w:rPr>
        <w:t>ExM would not be ideal for organic nanoparticles</w:t>
      </w:r>
      <w:r w:rsidR="00A0702C">
        <w:rPr>
          <w:rFonts w:ascii="Arial" w:hAnsi="Arial" w:cs="Arial"/>
          <w:sz w:val="24"/>
          <w:szCs w:val="24"/>
        </w:rPr>
        <w:t>, as it does not have a specific lipid anchoring step</w:t>
      </w:r>
      <w:r w:rsidR="001E1A54">
        <w:rPr>
          <w:rFonts w:ascii="Arial" w:hAnsi="Arial" w:cs="Arial"/>
          <w:sz w:val="24"/>
          <w:szCs w:val="24"/>
        </w:rPr>
        <w:t>.</w:t>
      </w:r>
      <w:r w:rsidR="003911E3">
        <w:rPr>
          <w:rFonts w:ascii="Arial" w:hAnsi="Arial" w:cs="Arial"/>
          <w:sz w:val="24"/>
          <w:szCs w:val="24"/>
        </w:rPr>
        <w:fldChar w:fldCharType="begin" w:fldLock="1"/>
      </w:r>
      <w:r w:rsidR="00E26DE5">
        <w:rPr>
          <w:rFonts w:ascii="Arial" w:hAnsi="Arial" w:cs="Arial"/>
          <w:sz w:val="24"/>
          <w:szCs w:val="24"/>
        </w:rPr>
        <w:instrText>ADDIN CSL_CITATION {"citationItems":[{"id":"ITEM-1","itemData":{"DOI":"10.3390/cancers15082256","ISSN":"20726694","abstract":"Cancer is one of the most prevalent diseases globally and is the second major cause of death in the United States. Despite the continuous efforts to understand tumor mechanisms and various approaches taken for treatment over decades, no significant improvements have been observed in cancer therapy. Lack of tumor specificity, dose-related toxicity, low bioavailability, and lack of stability of chemotherapeutics are major hindrances to cancer treatment. Nanomedicine has drawn the attention of many researchers due to its potential for tumor-specific delivery while minimizing unwanted side effects. The application of these nanoparticles is not limited to just therapeutic uses; some of them have shown to have extremely promising diagnostic potential. In this review, we describe and compare various types of nanoparticles and their role in advancing cancer treatment. We further highlight various nanoformulations currently approved for cancer therapy as well as under different phases of clinical trials. Finally, we discuss the prospect of nanomedicine in cancer management.","author":[{"dropping-particle":"","family":"Giri","given":"Paras Mani","non-dropping-particle":"","parse-names":false,"suffix":""},{"dropping-particle":"","family":"Banerjee","given":"Anurag","non-dropping-particle":"","parse-names":false,"suffix":""},{"dropping-particle":"","family":"Layek","given":"Buddhadev","non-dropping-particle":"","parse-names":false,"suffix":""}],"container-title":"Cancers","id":"ITEM-1","issue":"8","issued":{"date-parts":[["2023"]]},"title":"A Recent Review on Cancer Nanomedicine","type":"article-journal","volume":"15"},"uris":["http://www.mendeley.com/documents/?uuid=26b776d7-b737-45aa-9c7a-818f8069183f"]}],"mendeley":{"formattedCitation":"&lt;sup&gt;323&lt;/sup&gt;","plainTextFormattedCitation":"323","previouslyFormattedCitation":"&lt;sup&gt;323&lt;/sup&gt;"},"properties":{"noteIndex":0},"schema":"https://github.com/citation-style-language/schema/raw/master/csl-citation.json"}</w:instrText>
      </w:r>
      <w:r w:rsidR="003911E3">
        <w:rPr>
          <w:rFonts w:ascii="Arial" w:hAnsi="Arial" w:cs="Arial"/>
          <w:sz w:val="24"/>
          <w:szCs w:val="24"/>
        </w:rPr>
        <w:fldChar w:fldCharType="separate"/>
      </w:r>
      <w:r w:rsidR="008D4DC0" w:rsidRPr="008D4DC0">
        <w:rPr>
          <w:rFonts w:ascii="Arial" w:hAnsi="Arial" w:cs="Arial"/>
          <w:noProof/>
          <w:sz w:val="24"/>
          <w:szCs w:val="24"/>
          <w:vertAlign w:val="superscript"/>
        </w:rPr>
        <w:t>323</w:t>
      </w:r>
      <w:r w:rsidR="003911E3">
        <w:rPr>
          <w:rFonts w:ascii="Arial" w:hAnsi="Arial" w:cs="Arial"/>
          <w:sz w:val="24"/>
          <w:szCs w:val="24"/>
        </w:rPr>
        <w:fldChar w:fldCharType="end"/>
      </w:r>
      <w:r w:rsidR="001E1A54">
        <w:rPr>
          <w:rFonts w:ascii="Arial" w:hAnsi="Arial" w:cs="Arial"/>
          <w:sz w:val="24"/>
          <w:szCs w:val="24"/>
        </w:rPr>
        <w:t xml:space="preserve"> </w:t>
      </w:r>
      <w:r w:rsidR="00FE3465">
        <w:rPr>
          <w:rFonts w:ascii="Arial" w:hAnsi="Arial" w:cs="Arial"/>
          <w:sz w:val="24"/>
          <w:szCs w:val="24"/>
        </w:rPr>
        <w:t xml:space="preserve">To achieve </w:t>
      </w:r>
      <w:r w:rsidR="00A0702C">
        <w:rPr>
          <w:rFonts w:ascii="Arial" w:hAnsi="Arial" w:cs="Arial"/>
          <w:sz w:val="24"/>
          <w:szCs w:val="24"/>
        </w:rPr>
        <w:t>a better</w:t>
      </w:r>
      <w:r w:rsidR="00FE3465">
        <w:rPr>
          <w:rFonts w:ascii="Arial" w:hAnsi="Arial" w:cs="Arial"/>
          <w:sz w:val="24"/>
          <w:szCs w:val="24"/>
        </w:rPr>
        <w:t xml:space="preserve"> retention of lipids in expanded cells, we adopted the Magnify</w:t>
      </w:r>
      <w:r w:rsidR="000D36E7">
        <w:rPr>
          <w:rFonts w:ascii="Arial" w:hAnsi="Arial" w:cs="Arial"/>
          <w:sz w:val="24"/>
          <w:szCs w:val="24"/>
        </w:rPr>
        <w:t xml:space="preserve"> expansion microscopy</w:t>
      </w:r>
      <w:r w:rsidR="00FE3465">
        <w:rPr>
          <w:rFonts w:ascii="Arial" w:hAnsi="Arial" w:cs="Arial"/>
          <w:sz w:val="24"/>
          <w:szCs w:val="24"/>
        </w:rPr>
        <w:t xml:space="preserve"> protocol.</w:t>
      </w:r>
      <w:r w:rsidR="0073537B">
        <w:rPr>
          <w:rFonts w:ascii="Arial" w:hAnsi="Arial" w:cs="Arial"/>
          <w:sz w:val="24"/>
          <w:szCs w:val="24"/>
        </w:rPr>
        <w:t xml:space="preserve"> Magnify is a one-gel expansion microscopy technique that allows for the </w:t>
      </w:r>
      <w:r w:rsidR="0073537B">
        <w:rPr>
          <w:rFonts w:ascii="Arial" w:hAnsi="Arial" w:cs="Arial"/>
          <w:sz w:val="24"/>
          <w:szCs w:val="24"/>
        </w:rPr>
        <w:lastRenderedPageBreak/>
        <w:t xml:space="preserve">retention of proteins, nucleic acids, and lipids in </w:t>
      </w:r>
      <w:r w:rsidR="00DA1782">
        <w:rPr>
          <w:rFonts w:ascii="Arial" w:hAnsi="Arial" w:cs="Arial"/>
          <w:sz w:val="24"/>
          <w:szCs w:val="24"/>
        </w:rPr>
        <w:t>cultured</w:t>
      </w:r>
      <w:r w:rsidR="0073537B">
        <w:rPr>
          <w:rFonts w:ascii="Arial" w:hAnsi="Arial" w:cs="Arial"/>
          <w:sz w:val="24"/>
          <w:szCs w:val="24"/>
        </w:rPr>
        <w:t xml:space="preserve"> cell samples and results in linear expansion factors up to 11X.</w:t>
      </w:r>
      <w:r w:rsidR="0073537B">
        <w:rPr>
          <w:rFonts w:ascii="Arial" w:hAnsi="Arial" w:cs="Arial"/>
          <w:sz w:val="24"/>
          <w:szCs w:val="24"/>
        </w:rPr>
        <w:fldChar w:fldCharType="begin" w:fldLock="1"/>
      </w:r>
      <w:r w:rsidR="00E26DE5">
        <w:rPr>
          <w:rFonts w:ascii="Arial" w:hAnsi="Arial" w:cs="Arial"/>
          <w:sz w:val="24"/>
          <w:szCs w:val="24"/>
        </w:rPr>
        <w:instrText>ADDIN CSL_CITATION {"citationItems":[{"id":"ITEM-1","itemData":{"DOI":"10.1038/s41587-022-01546-1","ISSN":"15461696","abstract":"Expansion microscopy enables nanoimaging with conventional microscopes by physically and isotropically magnifying preserved biological specimens embedded in a crosslinked water-swellable hydrogel. Current expansion microscopy protocols require prior treatment with reactive anchoring chemicals to link specific labels and biomolecule classes to the gel. We describe a strategy called Magnify, which uses a mechanically sturdy gel that retains nucleic acids, proteins and lipids without the need for a separate anchoring step. Magnify expands biological specimens up to 11 times and facilitates imaging of cells and tissues with effectively around 25-nm resolution using a diffraction-limited objective lens of about 280 nm on conventional optical microscopes or with around 15 nm effective resolution if combined with super-resolution optical fluctuation imaging. We demonstrate Magnify on a broad range of biological specimens, providing insight into nanoscopic subcellular structures, including synaptic proteins from mouse brain, podocyte foot processes in formalin-fixed paraffin-embedded human kidney and defects in cilia and basal bodies in drug-treated human lung organoids.","author":[{"dropping-particle":"","family":"Klimas","given":"Aleksandra","non-dropping-particle":"","parse-names":false,"suffix":""},{"dropping-particle":"","family":"Gallagher","given":"Brendan R.","non-dropping-particle":"","parse-names":false,"suffix":""},{"dropping-particle":"","family":"Wijesekara","given":"Piyumi","non-dropping-particle":"","parse-names":false,"suffix":""},{"dropping-particle":"","family":"Fekir","given":"Sinda","non-dropping-particle":"","parse-names":false,"suffix":""},{"dropping-particle":"","family":"DiBernardo","given":"Emma F.","non-dropping-particle":"","parse-names":false,"suffix":""},{"dropping-particle":"","family":"Cheng","given":"Zhangyu","non-dropping-particle":"","parse-names":false,"suffix":""},{"dropping-particle":"","family":"Stolz","given":"Donna B.","non-dropping-particle":"","parse-names":false,"suffix":""},{"dropping-particle":"","family":"Cambi","given":"Franca","non-dropping-particle":"","parse-names":false,"suffix":""},{"dropping-particle":"","family":"Watkins","given":"Simon C.","non-dropping-particle":"","parse-names":false,"suffix":""},{"dropping-particle":"","family":"Brody","given":"Steven L.","non-dropping-particle":"","parse-names":false,"suffix":""},{"dropping-particle":"","family":"Horani","given":"Amjad","non-dropping-particle":"","parse-names":false,"suffix":""},{"dropping-particle":"","family":"Barth","given":"Alison L.","non-dropping-particle":"","parse-names":false,"suffix":""},{"dropping-particle":"","family":"Moore","given":"Christopher I.","non-dropping-particle":"","parse-names":false,"suffix":""},{"dropping-particle":"","family":"Ren","given":"Xi","non-dropping-particle":"","parse-names":false,"suffix":""},{"dropping-particle":"","family":"Zhao","given":"Yongxin","non-dropping-particle":"","parse-names":false,"suffix":""}],"container-title":"Nature Biotechnology","id":"ITEM-1","issued":{"date-parts":[["2023"]]},"publisher":"Springer US","title":"Magnify is a universal molecular anchoring strategy for expansion microscopy","type":"article-journal"},"uris":["http://www.mendeley.com/documents/?uuid=62267381-5794-4d06-9389-2b71ea248851"]}],"mendeley":{"formattedCitation":"&lt;sup&gt;325&lt;/sup&gt;","plainTextFormattedCitation":"325","previouslyFormattedCitation":"&lt;sup&gt;325&lt;/sup&gt;"},"properties":{"noteIndex":0},"schema":"https://github.com/citation-style-language/schema/raw/master/csl-citation.json"}</w:instrText>
      </w:r>
      <w:r w:rsidR="0073537B">
        <w:rPr>
          <w:rFonts w:ascii="Arial" w:hAnsi="Arial" w:cs="Arial"/>
          <w:sz w:val="24"/>
          <w:szCs w:val="24"/>
        </w:rPr>
        <w:fldChar w:fldCharType="separate"/>
      </w:r>
      <w:r w:rsidR="008D4DC0" w:rsidRPr="008D4DC0">
        <w:rPr>
          <w:rFonts w:ascii="Arial" w:hAnsi="Arial" w:cs="Arial"/>
          <w:noProof/>
          <w:sz w:val="24"/>
          <w:szCs w:val="24"/>
          <w:vertAlign w:val="superscript"/>
        </w:rPr>
        <w:t>325</w:t>
      </w:r>
      <w:r w:rsidR="0073537B">
        <w:rPr>
          <w:rFonts w:ascii="Arial" w:hAnsi="Arial" w:cs="Arial"/>
          <w:sz w:val="24"/>
          <w:szCs w:val="24"/>
        </w:rPr>
        <w:fldChar w:fldCharType="end"/>
      </w:r>
    </w:p>
    <w:p w14:paraId="0B8908EC" w14:textId="4FE308CE" w:rsidR="008C3B70" w:rsidRPr="008C3B70" w:rsidRDefault="00021257" w:rsidP="00CC5600">
      <w:pPr>
        <w:spacing w:line="480" w:lineRule="auto"/>
        <w:jc w:val="both"/>
        <w:rPr>
          <w:rFonts w:ascii="Arial" w:hAnsi="Arial" w:cs="Arial"/>
          <w:sz w:val="24"/>
          <w:szCs w:val="24"/>
        </w:rPr>
      </w:pPr>
      <w:r>
        <w:rPr>
          <w:rFonts w:ascii="Arial" w:hAnsi="Arial" w:cs="Arial"/>
          <w:sz w:val="24"/>
          <w:szCs w:val="24"/>
        </w:rPr>
        <w:tab/>
      </w:r>
      <w:r w:rsidR="00FE3465">
        <w:rPr>
          <w:rFonts w:ascii="Arial" w:hAnsi="Arial" w:cs="Arial"/>
          <w:sz w:val="24"/>
          <w:szCs w:val="24"/>
        </w:rPr>
        <w:t xml:space="preserve">In this study, we established the use of Magnify for the ultrastructural visualization of liposomes. </w:t>
      </w:r>
      <w:r>
        <w:rPr>
          <w:rFonts w:ascii="Arial" w:hAnsi="Arial" w:cs="Arial"/>
          <w:sz w:val="24"/>
          <w:szCs w:val="24"/>
        </w:rPr>
        <w:t>Liposomes</w:t>
      </w:r>
      <w:r w:rsidR="00FE3465">
        <w:rPr>
          <w:rFonts w:ascii="Arial" w:hAnsi="Arial" w:cs="Arial"/>
          <w:sz w:val="24"/>
          <w:szCs w:val="24"/>
        </w:rPr>
        <w:t xml:space="preserve"> are </w:t>
      </w:r>
      <w:r>
        <w:rPr>
          <w:rFonts w:ascii="Arial" w:hAnsi="Arial" w:cs="Arial"/>
          <w:sz w:val="24"/>
          <w:szCs w:val="24"/>
        </w:rPr>
        <w:t xml:space="preserve">nanoparticles that are composed of lipid bilayers around an aqueous </w:t>
      </w:r>
      <w:r w:rsidR="00535332">
        <w:rPr>
          <w:rFonts w:ascii="Arial" w:hAnsi="Arial" w:cs="Arial"/>
          <w:sz w:val="24"/>
          <w:szCs w:val="24"/>
        </w:rPr>
        <w:t>core and</w:t>
      </w:r>
      <w:r>
        <w:rPr>
          <w:rFonts w:ascii="Arial" w:hAnsi="Arial" w:cs="Arial"/>
          <w:sz w:val="24"/>
          <w:szCs w:val="24"/>
        </w:rPr>
        <w:t xml:space="preserve"> are among the most commonly used types of organic nanoparticles used in the clinic. As a result of this biphasic structure, liposomes are capable of encapsulating </w:t>
      </w:r>
      <w:r w:rsidR="00900F00">
        <w:rPr>
          <w:rFonts w:ascii="Arial" w:hAnsi="Arial" w:cs="Arial"/>
          <w:sz w:val="24"/>
          <w:szCs w:val="24"/>
        </w:rPr>
        <w:t>hydrophilic drugs within their aqueous core and hydrophobic drugs</w:t>
      </w:r>
      <w:r>
        <w:rPr>
          <w:rFonts w:ascii="Arial" w:hAnsi="Arial" w:cs="Arial"/>
          <w:sz w:val="24"/>
          <w:szCs w:val="24"/>
        </w:rPr>
        <w:t xml:space="preserve"> </w:t>
      </w:r>
      <w:r w:rsidR="00900F00">
        <w:rPr>
          <w:rFonts w:ascii="Arial" w:hAnsi="Arial" w:cs="Arial"/>
          <w:sz w:val="24"/>
          <w:szCs w:val="24"/>
        </w:rPr>
        <w:t>within their lipid bilayer.</w:t>
      </w:r>
      <w:r w:rsidR="00900F00">
        <w:rPr>
          <w:rFonts w:ascii="Arial" w:hAnsi="Arial" w:cs="Arial"/>
          <w:sz w:val="24"/>
          <w:szCs w:val="24"/>
        </w:rPr>
        <w:fldChar w:fldCharType="begin" w:fldLock="1"/>
      </w:r>
      <w:r w:rsidR="00E26DE5">
        <w:rPr>
          <w:rFonts w:ascii="Arial" w:hAnsi="Arial" w:cs="Arial"/>
          <w:sz w:val="24"/>
          <w:szCs w:val="24"/>
        </w:rPr>
        <w:instrText>ADDIN CSL_CITATION {"citationItems":[{"id":"ITEM-1","itemData":{"DOI":"10.3390/ijms24076615","ISSN":"14220067","PMID":"37047585","abstract":"Since their first discovery in the 1960s by Alec Bangham, liposomes have been shown to be effective drug delivery systems for treating various cancers. Several liposome-based formulations received approval by the U.S. Food and Drug Administration (FDA) and European Medicines Agency (EMA), with many others in clinical trials. Liposomes have several advantages, including improved pharmacokinetic properties of the encapsulated drug, reduced systemic toxicity, extended circulation time, and targeted disposition in tumor sites due to the enhanced permeability and retention (EPR) mechanism. However, it is worth noting that despite their efficacy in treating various cancers, liposomes still have some potential toxicity and lack specific targeting and disposition. This explains, in part, why their translation into the clinic has progressed only incrementally, which poses the need for more research to focus on addressing such translational limitations. This review summarizes the main properties of liposomes, their current status in cancer therapy, and their limitations and challenges to achieving maximal therapeutic efficacy.","author":[{"dropping-particle":"","family":"Fulton","given":"Melody D.","non-dropping-particle":"","parse-names":false,"suffix":""},{"dropping-particle":"","family":"Najahi-Missaoui","given":"Wided","non-dropping-particle":"","parse-names":false,"suffix":""}],"container-title":"International Journal of Molecular Sciences","id":"ITEM-1","issue":"7","issued":{"date-parts":[["2023"]]},"title":"Liposomes in Cancer Therapy: How Did We Start and Where Are We Now","type":"article-journal","volume":"24"},"uris":["http://www.mendeley.com/documents/?uuid=137be51b-5dc6-412c-8ebc-2be874895495"]}],"mendeley":{"formattedCitation":"&lt;sup&gt;326&lt;/sup&gt;","plainTextFormattedCitation":"326","previouslyFormattedCitation":"&lt;sup&gt;326&lt;/sup&gt;"},"properties":{"noteIndex":0},"schema":"https://github.com/citation-style-language/schema/raw/master/csl-citation.json"}</w:instrText>
      </w:r>
      <w:r w:rsidR="00900F00">
        <w:rPr>
          <w:rFonts w:ascii="Arial" w:hAnsi="Arial" w:cs="Arial"/>
          <w:sz w:val="24"/>
          <w:szCs w:val="24"/>
        </w:rPr>
        <w:fldChar w:fldCharType="separate"/>
      </w:r>
      <w:r w:rsidR="008D4DC0" w:rsidRPr="008D4DC0">
        <w:rPr>
          <w:rFonts w:ascii="Arial" w:hAnsi="Arial" w:cs="Arial"/>
          <w:noProof/>
          <w:sz w:val="24"/>
          <w:szCs w:val="24"/>
          <w:vertAlign w:val="superscript"/>
        </w:rPr>
        <w:t>326</w:t>
      </w:r>
      <w:r w:rsidR="00900F00">
        <w:rPr>
          <w:rFonts w:ascii="Arial" w:hAnsi="Arial" w:cs="Arial"/>
          <w:sz w:val="24"/>
          <w:szCs w:val="24"/>
        </w:rPr>
        <w:fldChar w:fldCharType="end"/>
      </w:r>
      <w:r w:rsidR="00900F00">
        <w:rPr>
          <w:rFonts w:ascii="Arial" w:hAnsi="Arial" w:cs="Arial"/>
          <w:sz w:val="24"/>
          <w:szCs w:val="24"/>
        </w:rPr>
        <w:t xml:space="preserve"> </w:t>
      </w:r>
      <w:r w:rsidR="00DA1782">
        <w:rPr>
          <w:rFonts w:ascii="Arial" w:hAnsi="Arial" w:cs="Arial"/>
          <w:sz w:val="24"/>
          <w:szCs w:val="24"/>
        </w:rPr>
        <w:t xml:space="preserve">Given that the refractive index of liposomes is highly similar to that of </w:t>
      </w:r>
      <w:r w:rsidR="0047156C">
        <w:rPr>
          <w:rFonts w:ascii="Arial" w:hAnsi="Arial" w:cs="Arial"/>
          <w:sz w:val="24"/>
          <w:szCs w:val="24"/>
        </w:rPr>
        <w:t xml:space="preserve">fixed </w:t>
      </w:r>
      <w:r w:rsidR="00DA1782">
        <w:rPr>
          <w:rFonts w:ascii="Arial" w:hAnsi="Arial" w:cs="Arial"/>
          <w:sz w:val="24"/>
          <w:szCs w:val="24"/>
        </w:rPr>
        <w:t xml:space="preserve">cultured cells, </w:t>
      </w:r>
      <w:r w:rsidR="0047156C">
        <w:rPr>
          <w:rFonts w:ascii="Arial" w:hAnsi="Arial" w:cs="Arial"/>
          <w:sz w:val="24"/>
          <w:szCs w:val="24"/>
        </w:rPr>
        <w:t>light scattering imaging would not provide much contrast between the liposomes and the cells due to the minimal refractive index mismatch.</w:t>
      </w:r>
      <w:r w:rsidR="0047156C">
        <w:rPr>
          <w:rFonts w:ascii="Arial" w:hAnsi="Arial" w:cs="Arial"/>
          <w:sz w:val="24"/>
          <w:szCs w:val="24"/>
        </w:rPr>
        <w:fldChar w:fldCharType="begin" w:fldLock="1"/>
      </w:r>
      <w:r w:rsidR="00E26DE5">
        <w:rPr>
          <w:rFonts w:ascii="Arial" w:hAnsi="Arial" w:cs="Arial"/>
          <w:sz w:val="24"/>
          <w:szCs w:val="24"/>
        </w:rPr>
        <w:instrText>ADDIN CSL_CITATION {"citationItems":[{"id":"ITEM-1","itemData":{"DOI":"10.1038/s41592-022-01460-z","ISSN":"15487105","PMID":"35534632","abstract":"Characterization of the size and material properties of particles in liquid suspensions is in very high demand, for example, in the analysis of colloidal samples or of bodily fluids such as urine or blood plasma. However, existing methods are limited in their ability to decipher the constituents of realistic samples. Here we introduce iNTA as a new method that combines interferometric detection of scattering with nanoparticle tracking analysis to reach unprecedented sensitivity and precision in determining the size and refractive index distributions of nanoparticles in suspensions. After benchmarking iNTA with samples of colloidal gold, we present its remarkable ability to resolve the constituents of various multicomponent and polydisperse samples of known origin. Furthermore, we showcase the method by elucidating the refractive index and size distributions of extracellular vesicles from Leishmania parasites and human urine. The current performance of iNTA already enables advances in several important applications, but we also discuss possible improvements.","author":[{"dropping-particle":"","family":"Kashkanova","given":"Anna D.","non-dropping-particle":"","parse-names":false,"suffix":""},{"dropping-particle":"","family":"Blessing","given":"Martin","non-dropping-particle":"","parse-names":false,"suffix":""},{"dropping-particle":"","family":"Gemeinhardt","given":"André","non-dropping-particle":"","parse-names":false,"suffix":""},{"dropping-particle":"","family":"Soulat","given":"Didier","non-dropping-particle":"","parse-names":false,"suffix":""},{"dropping-particle":"","family":"Sandoghdar","given":"Vahid","non-dropping-particle":"","parse-names":false,"suffix":""}],"container-title":"Nature Methods","id":"ITEM-1","issue":"5","issued":{"date-parts":[["2022"]]},"page":"586-593","publisher":"Springer US","title":"Precision size and refractive index analysis of weakly scattering nanoparticles in polydispersions","type":"article-journal","volume":"19"},"uris":["http://www.mendeley.com/documents/?uuid=5b7956f7-d6e3-4b76-99d5-daba08211926"]},{"id":"ITEM-2","itemData":{"DOI":"10.1002/cyto.a.24229","ISSN":"15524930","PMID":"32959478","abstract":"Three-dimensional quantitative phase imaging is an emerging method, which provides the 3D distribution of the refractive index (RI) and the dry mass in live and fixed cells as well as in tissues. However, an insufficiently answered question is the influence of chemical cell fixation procedures on the results of RI reconstructions. Therefore, this work is devoted to systematic investigations on the RI in cellular organelles of live and fixed cells including nucleus, nucleolus, nucleoplasm, and cytoplasm. The research was carried out on four different cell lines using a common paraformaldehyde (PFA)-based fixation protocol. The selected cell types represent the diversity of mammalian cells and therefore the results presented provide a picture of fixation caused RI changes in a broader context. A commercial Tomocube HT-1S device was used for 3D RI acquisition. The changes in the RI values after the fixation process are detected in the reconstructed phase distributions and amount to the order of 10−3. The RI values decrease and the observed RI changes are found to be different between various cell lines; however, all of them show the most significant loss in the nucleolus. In conclusion, our study demonstrates the evident need for standardized preparation procedures in phase tomographic measurements. © 2020 The Authors. Cytometry Part A published by Wiley Periodicals LLC. on behalf of International Society for Advancement of Cytometry.","author":[{"dropping-particle":"","family":"Baczewska","given":"Maria","non-dropping-particle":"","parse-names":false,"suffix":""},{"dropping-particle":"","family":"Eder","given":"Kai","non-dropping-particle":"","parse-names":false,"suffix":""},{"dropping-particle":"","family":"Ketelhut","given":"Steffi","non-dropping-particle":"","parse-names":false,"suffix":""},{"dropping-particle":"","family":"Kemper","given":"Björn","non-dropping-particle":"","parse-names":false,"suffix":""},{"dropping-particle":"","family":"Kujawińska","given":"Małgorzata","non-dropping-particle":"","parse-names":false,"suffix":""}],"container-title":"Cytometry Part A","id":"ITEM-2","issue":"4","issued":{"date-parts":[["2021"]]},"page":"388-398","title":"Refractive Index Changes of Cells and Cellular Compartments Upon Paraformaldehyde Fixation Acquired by Tomographic Phase Microscopy","type":"article-journal","volume":"99"},"uris":["http://www.mendeley.com/documents/?uuid=b11c1d85-463b-4a52-8cf8-0936c66c5715"]},{"id":"ITEM-3","itemData":{"DOI":"10.1021/jacs.7b04022","ISSN":"0002-7863","author":[{"dropping-particle":"","family":"Syed","given":"Abdullah Muhammad","non-dropping-particle":"","parse-names":false,"suffix":""},{"dropping-particle":"","family":"Sindhwani","given":"Shrey","non-dropping-particle":"","parse-names":false,"suffix":""},{"dropping-particle":"","family":"Wilhelm","given":"Stefan","non-dropping-particle":"","parse-names":false,"suffix":""},{"dropping-particle":"","family":"Kingston","given":"Benjamin R.","non-dropping-particle":"","parse-names":false,"suffix":""},{"dropping-particle":"","family":"Lee","given":"Dennis S. W.","non-dropping-particle":"","parse-names":false,"suffix":""},{"dropping-particle":"","family":"Gommerman","given":"Jennifer L.","non-dropping-particle":"","parse-names":false,"suffix":""},{"dropping-particle":"","family":"Chan","given":"Warren C. W.","non-dropping-particle":"","parse-names":false,"suffix":""}],"container-title":"Journal of the American Chemical Society","id":"ITEM-3","issue":"29","issued":{"date-parts":[["2017","7","26"]]},"page":"9961-9971","title":"Three-Dimensional Imaging of Transparent Tissues via Metal Nanoparticle Labeling","type":"article-journal","volume":"139"},"uris":["http://www.mendeley.com/documents/?uuid=c1e0c606-4d64-4079-8bda-209d4890a628"]}],"mendeley":{"formattedCitation":"&lt;sup&gt;265,327,328&lt;/sup&gt;","plainTextFormattedCitation":"265,327,328","previouslyFormattedCitation":"&lt;sup&gt;265,327,328&lt;/sup&gt;"},"properties":{"noteIndex":0},"schema":"https://github.com/citation-style-language/schema/raw/master/csl-citation.json"}</w:instrText>
      </w:r>
      <w:r w:rsidR="0047156C">
        <w:rPr>
          <w:rFonts w:ascii="Arial" w:hAnsi="Arial" w:cs="Arial"/>
          <w:sz w:val="24"/>
          <w:szCs w:val="24"/>
        </w:rPr>
        <w:fldChar w:fldCharType="separate"/>
      </w:r>
      <w:r w:rsidR="008D4DC0" w:rsidRPr="008D4DC0">
        <w:rPr>
          <w:rFonts w:ascii="Arial" w:hAnsi="Arial" w:cs="Arial"/>
          <w:noProof/>
          <w:sz w:val="24"/>
          <w:szCs w:val="24"/>
          <w:vertAlign w:val="superscript"/>
        </w:rPr>
        <w:t>265,327,328</w:t>
      </w:r>
      <w:r w:rsidR="0047156C">
        <w:rPr>
          <w:rFonts w:ascii="Arial" w:hAnsi="Arial" w:cs="Arial"/>
          <w:sz w:val="24"/>
          <w:szCs w:val="24"/>
        </w:rPr>
        <w:fldChar w:fldCharType="end"/>
      </w:r>
      <w:r w:rsidR="0047156C">
        <w:rPr>
          <w:rFonts w:ascii="Arial" w:hAnsi="Arial" w:cs="Arial"/>
          <w:sz w:val="24"/>
          <w:szCs w:val="24"/>
        </w:rPr>
        <w:t xml:space="preserve"> However, liposomes can be visualized through internalized fluorescent tags within their hydrophilic or hydrophobic regions,</w:t>
      </w:r>
      <w:r w:rsidR="0047156C">
        <w:rPr>
          <w:rFonts w:ascii="Arial" w:hAnsi="Arial" w:cs="Arial"/>
          <w:sz w:val="24"/>
          <w:szCs w:val="24"/>
        </w:rPr>
        <w:fldChar w:fldCharType="begin" w:fldLock="1"/>
      </w:r>
      <w:r w:rsidR="00E26DE5">
        <w:rPr>
          <w:rFonts w:ascii="Arial" w:hAnsi="Arial" w:cs="Arial"/>
          <w:sz w:val="24"/>
          <w:szCs w:val="24"/>
        </w:rPr>
        <w:instrText>ADDIN CSL_CITATION {"citationItems":[{"id":"ITEM-1","itemData":{"DOI":"10.3390/micro3010005","abstract":"Liposomes encapsulating chloroquine were synthesized and characterized. Cryogenic transmission electron microscopy and dynamic light scattering confirmed a liposome size of ~100 nm and uniform shape. Two independent analytical methods were used to quantify chloroquine encapsulation: (i) HPLC, and (ii) UV-Vis spectrophotometry. Using RAW264.7 murine macrophages as model immune cells, cell culture experiments revealed an improved acute cytotoxicity profile of chloroquine encapsulating liposomes with &gt;90% cell viability compared to free chloroquine (cell viability ~30%) at equivalent drug doses. These results may potentially be relevant for liposome-based chloroquine delivery for nanomedicine applications.","author":[{"dropping-particle":"","family":"Donahue","given":"Nathan D.","non-dropping-particle":"","parse-names":false,"suffix":""},{"dropping-particle":"","family":"Vance","given":"Ellen A.","non-dropping-particle":"","parse-names":false,"suffix":""},{"dropping-particle":"","family":"Sheth","given":"Vinit","non-dropping-particle":"","parse-names":false,"suffix":""},{"dropping-particle":"","family":"Francek","given":"Emmy R.","non-dropping-particle":"","parse-names":false,"suffix":""},{"dropping-particle":"","family":"Wilhelm","given":"Stefan","non-dropping-particle":"","parse-names":false,"suffix":""}],"container-title":"Micro","id":"ITEM-1","issue":"1","issued":{"date-parts":[["2023"]]},"page":"51-59","title":"Synthesis, Characterization, and Acute Cytotoxicity Evaluation of Chloroquine Encapsulating Liposomes","type":"article-journal","volume":"3"},"uris":["http://www.mendeley.com/documents/?uuid=bf231570-b898-478a-82cf-490c21b97d32"]},{"id":"ITEM-2","itemData":{"DOI":"10.1111/j.1747-0285.2007.00610.x","ISSN":"17470277","PMID":"18086150","abstract":"A major obstacle in drug delivery is the inability to effectively deliver drugs to their intended biological target without deleterious side-effects. Delivery vehicles such as liposomes can minimize toxic side-effects by shielding the drug from reaction with unintended targets while in systemic circulation. Liposomes have the ability to accommodate both hydrophilic and hydrophobic drugs, either in the internal aqueous core or the lipid bilayer, respectively. In the present study, fluorescein and rhodamine have been used to model hydrophilic and hydrophobic drugs, respectively. We have compared the stabilities of liposomes encapsulating these fluorophores as a function of lipid content, time, and temperature. At 25 and 37°C, liposomes containing distearoyl phosphatidylcholine as the major phospholipid component were found to be more stable over time than those containing dipalmitoyl phosphatidylcholine, regardless of the fluorophore encapsulated. Liposomes loaded with fluorescein were found to be more stable than those with rhodamine. Dipalmitoyl phosphatidylcholine liposomes that encapsulated rhodamine were the least stable. The results indicate that the physical properties of the drug cargo play a role in the stability, and hence drug delivery kinetics, of liposomal delivery systems, and desired drug release times can be achieved by adjusting/fine-tuning the lipid compositions. © 2007 The Authors.","author":[{"dropping-particle":"","family":"Khan","given":"David R.","non-dropping-particle":"","parse-names":false,"suffix":""},{"dropping-particle":"","family":"Rezler","given":"Evonne M.","non-dropping-particle":"","parse-names":false,"suffix":""},{"dropping-particle":"","family":"Lauer-Fields","given":"Janelle","non-dropping-particle":"","parse-names":false,"suffix":""},{"dropping-particle":"","family":"Fields","given":"Gregg B.","non-dropping-particle":"","parse-names":false,"suffix":""}],"container-title":"Chemical Biology and Drug Design","id":"ITEM-2","issue":"1","issued":{"date-parts":[["2008"]]},"page":"3-7","title":"Effects of drug hydrophobicity on liposomal stability","type":"article-journal","volume":"71"},"uris":["http://www.mendeley.com/documents/?uuid=1141db60-0d30-4f53-9482-61ba3d5c1f81"]}],"mendeley":{"formattedCitation":"&lt;sup&gt;329,330&lt;/sup&gt;","plainTextFormattedCitation":"329,330","previouslyFormattedCitation":"&lt;sup&gt;329,330&lt;/sup&gt;"},"properties":{"noteIndex":0},"schema":"https://github.com/citation-style-language/schema/raw/master/csl-citation.json"}</w:instrText>
      </w:r>
      <w:r w:rsidR="0047156C">
        <w:rPr>
          <w:rFonts w:ascii="Arial" w:hAnsi="Arial" w:cs="Arial"/>
          <w:sz w:val="24"/>
          <w:szCs w:val="24"/>
        </w:rPr>
        <w:fldChar w:fldCharType="separate"/>
      </w:r>
      <w:r w:rsidR="008D4DC0" w:rsidRPr="008D4DC0">
        <w:rPr>
          <w:rFonts w:ascii="Arial" w:hAnsi="Arial" w:cs="Arial"/>
          <w:noProof/>
          <w:sz w:val="24"/>
          <w:szCs w:val="24"/>
          <w:vertAlign w:val="superscript"/>
        </w:rPr>
        <w:t>329,330</w:t>
      </w:r>
      <w:r w:rsidR="0047156C">
        <w:rPr>
          <w:rFonts w:ascii="Arial" w:hAnsi="Arial" w:cs="Arial"/>
          <w:sz w:val="24"/>
          <w:szCs w:val="24"/>
        </w:rPr>
        <w:fldChar w:fldCharType="end"/>
      </w:r>
      <w:r w:rsidR="0047156C">
        <w:rPr>
          <w:rFonts w:ascii="Arial" w:hAnsi="Arial" w:cs="Arial"/>
          <w:sz w:val="24"/>
          <w:szCs w:val="24"/>
        </w:rPr>
        <w:t xml:space="preserve"> presenting a variety of avenues for their compatibility with expansion microscopy. </w:t>
      </w:r>
    </w:p>
    <w:p w14:paraId="3692C149" w14:textId="35AA616D" w:rsidR="00305282" w:rsidRDefault="00305282" w:rsidP="00721691">
      <w:pPr>
        <w:pStyle w:val="Heading2"/>
      </w:pPr>
      <w:bookmarkStart w:id="53" w:name="_Toc151032434"/>
      <w:r>
        <w:t>4.2 Results and Discussion</w:t>
      </w:r>
      <w:bookmarkEnd w:id="53"/>
    </w:p>
    <w:p w14:paraId="4B63FE4C" w14:textId="77777777" w:rsidR="00721691" w:rsidRPr="00721691" w:rsidRDefault="00721691" w:rsidP="00721691"/>
    <w:p w14:paraId="3B8145BF" w14:textId="567B24C0" w:rsidR="006247C5" w:rsidRDefault="006247C5" w:rsidP="00721691">
      <w:pPr>
        <w:pStyle w:val="Heading3"/>
      </w:pPr>
      <w:bookmarkStart w:id="54" w:name="_Toc151032435"/>
      <w:r>
        <w:t>4.2.1 Comparison of Magnify to pan</w:t>
      </w:r>
      <w:r w:rsidR="003C512D">
        <w:t>-</w:t>
      </w:r>
      <w:r>
        <w:t>ExM</w:t>
      </w:r>
      <w:bookmarkEnd w:id="54"/>
    </w:p>
    <w:p w14:paraId="07C46218" w14:textId="77777777" w:rsidR="00721691" w:rsidRPr="00721691" w:rsidRDefault="00721691" w:rsidP="00721691"/>
    <w:p w14:paraId="68664DC9" w14:textId="2F81B642" w:rsidR="009111AB" w:rsidRDefault="006247C5" w:rsidP="00DF6719">
      <w:pPr>
        <w:spacing w:line="480" w:lineRule="auto"/>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Liposomes are </w:t>
      </w:r>
      <w:r w:rsidR="00F46CA0">
        <w:rPr>
          <w:rFonts w:ascii="Arial" w:hAnsi="Arial" w:cs="Arial"/>
          <w:sz w:val="24"/>
          <w:szCs w:val="24"/>
        </w:rPr>
        <w:t>widely recognized as</w:t>
      </w:r>
      <w:r>
        <w:rPr>
          <w:rFonts w:ascii="Arial" w:hAnsi="Arial" w:cs="Arial"/>
          <w:sz w:val="24"/>
          <w:szCs w:val="24"/>
        </w:rPr>
        <w:t xml:space="preserve"> more clinically relevant for the treatment of solid tumors than metallic nanoparticles. </w:t>
      </w:r>
      <w:r w:rsidR="0067574C">
        <w:rPr>
          <w:rFonts w:ascii="Arial" w:hAnsi="Arial" w:cs="Arial"/>
          <w:sz w:val="24"/>
          <w:szCs w:val="24"/>
        </w:rPr>
        <w:t>To achieve a better understanding of the ultrastructural</w:t>
      </w:r>
      <w:r w:rsidR="00DF6719">
        <w:rPr>
          <w:rFonts w:ascii="Arial" w:hAnsi="Arial" w:cs="Arial"/>
          <w:sz w:val="24"/>
          <w:szCs w:val="24"/>
        </w:rPr>
        <w:t xml:space="preserve"> intracellular</w:t>
      </w:r>
      <w:r w:rsidR="0067574C">
        <w:rPr>
          <w:rFonts w:ascii="Arial" w:hAnsi="Arial" w:cs="Arial"/>
          <w:sz w:val="24"/>
          <w:szCs w:val="24"/>
        </w:rPr>
        <w:t xml:space="preserve"> distribution </w:t>
      </w:r>
      <w:r w:rsidR="00DF6719">
        <w:rPr>
          <w:rFonts w:ascii="Arial" w:hAnsi="Arial" w:cs="Arial"/>
          <w:sz w:val="24"/>
          <w:szCs w:val="24"/>
        </w:rPr>
        <w:t xml:space="preserve">of liposomes, we adopted the Magnify expansion microscopy protocol. </w:t>
      </w:r>
      <w:r>
        <w:rPr>
          <w:rFonts w:ascii="Arial" w:hAnsi="Arial" w:cs="Arial"/>
          <w:sz w:val="24"/>
          <w:szCs w:val="24"/>
        </w:rPr>
        <w:t>Magnify provides several advantages over pan</w:t>
      </w:r>
      <w:r w:rsidR="003C512D">
        <w:rPr>
          <w:rFonts w:ascii="Arial" w:hAnsi="Arial" w:cs="Arial"/>
          <w:sz w:val="24"/>
          <w:szCs w:val="24"/>
        </w:rPr>
        <w:t>-</w:t>
      </w:r>
      <w:r>
        <w:rPr>
          <w:rFonts w:ascii="Arial" w:hAnsi="Arial" w:cs="Arial"/>
          <w:sz w:val="24"/>
          <w:szCs w:val="24"/>
        </w:rPr>
        <w:t>ExM for the visualization of liposomes in cultured cells</w:t>
      </w:r>
      <w:r w:rsidR="00DF6719">
        <w:rPr>
          <w:rFonts w:ascii="Arial" w:hAnsi="Arial" w:cs="Arial"/>
          <w:sz w:val="24"/>
          <w:szCs w:val="24"/>
        </w:rPr>
        <w:t>, as shown in Figure 4.1a.</w:t>
      </w:r>
      <w:r w:rsidR="0034572F">
        <w:rPr>
          <w:rFonts w:ascii="Arial" w:hAnsi="Arial" w:cs="Arial"/>
          <w:sz w:val="24"/>
          <w:szCs w:val="24"/>
        </w:rPr>
        <w:t xml:space="preserve"> The main benefit of Magnify is that it</w:t>
      </w:r>
      <w:r w:rsidR="00DF6719">
        <w:rPr>
          <w:rFonts w:ascii="Arial" w:hAnsi="Arial" w:cs="Arial"/>
          <w:sz w:val="24"/>
          <w:szCs w:val="24"/>
        </w:rPr>
        <w:t xml:space="preserve"> retains proteins, lipids, and nucleic acids through the expansion process, whereas pan</w:t>
      </w:r>
      <w:r w:rsidR="003C512D">
        <w:rPr>
          <w:rFonts w:ascii="Arial" w:hAnsi="Arial" w:cs="Arial"/>
          <w:sz w:val="24"/>
          <w:szCs w:val="24"/>
        </w:rPr>
        <w:t>-</w:t>
      </w:r>
      <w:r w:rsidR="00DF6719">
        <w:rPr>
          <w:rFonts w:ascii="Arial" w:hAnsi="Arial" w:cs="Arial"/>
          <w:sz w:val="24"/>
          <w:szCs w:val="24"/>
        </w:rPr>
        <w:t xml:space="preserve">ExM primarily retains proteins. </w:t>
      </w:r>
      <w:r w:rsidR="0034572F">
        <w:rPr>
          <w:rFonts w:ascii="Arial" w:hAnsi="Arial" w:cs="Arial"/>
          <w:sz w:val="24"/>
          <w:szCs w:val="24"/>
        </w:rPr>
        <w:t>Furthermore, Magnify</w:t>
      </w:r>
      <w:r>
        <w:rPr>
          <w:rFonts w:ascii="Arial" w:hAnsi="Arial" w:cs="Arial"/>
          <w:sz w:val="24"/>
          <w:szCs w:val="24"/>
        </w:rPr>
        <w:t xml:space="preserve"> </w:t>
      </w:r>
      <w:r w:rsidR="009111AB">
        <w:rPr>
          <w:rFonts w:ascii="Arial" w:hAnsi="Arial" w:cs="Arial"/>
          <w:sz w:val="24"/>
          <w:szCs w:val="24"/>
        </w:rPr>
        <w:t xml:space="preserve">is a significantly faster </w:t>
      </w:r>
      <w:r w:rsidR="009111AB">
        <w:rPr>
          <w:rFonts w:ascii="Arial" w:hAnsi="Arial" w:cs="Arial"/>
          <w:sz w:val="24"/>
          <w:szCs w:val="24"/>
        </w:rPr>
        <w:lastRenderedPageBreak/>
        <w:t>and less involved process as it involves only one gelation step, compared to three for pan</w:t>
      </w:r>
      <w:r w:rsidR="003C512D">
        <w:rPr>
          <w:rFonts w:ascii="Arial" w:hAnsi="Arial" w:cs="Arial"/>
          <w:sz w:val="24"/>
          <w:szCs w:val="24"/>
        </w:rPr>
        <w:t>-</w:t>
      </w:r>
      <w:r w:rsidR="009111AB">
        <w:rPr>
          <w:rFonts w:ascii="Arial" w:hAnsi="Arial" w:cs="Arial"/>
          <w:sz w:val="24"/>
          <w:szCs w:val="24"/>
        </w:rPr>
        <w:t>ExM.</w:t>
      </w:r>
      <w:r w:rsidR="009111AB" w:rsidRPr="009111AB">
        <w:rPr>
          <w:rFonts w:ascii="Arial" w:hAnsi="Arial" w:cs="Arial"/>
          <w:sz w:val="24"/>
          <w:szCs w:val="24"/>
        </w:rPr>
        <w:t xml:space="preserve"> </w:t>
      </w:r>
      <w:r w:rsidR="009111AB">
        <w:rPr>
          <w:rFonts w:ascii="Arial" w:hAnsi="Arial" w:cs="Arial"/>
          <w:sz w:val="24"/>
          <w:szCs w:val="24"/>
        </w:rPr>
        <w:t>However, similar to other single gelation ExM methods,</w:t>
      </w:r>
      <w:r w:rsidR="009111AB">
        <w:rPr>
          <w:rFonts w:ascii="Arial" w:hAnsi="Arial" w:cs="Arial"/>
          <w:sz w:val="24"/>
          <w:szCs w:val="24"/>
        </w:rPr>
        <w:fldChar w:fldCharType="begin" w:fldLock="1"/>
      </w:r>
      <w:r w:rsidR="00E26DE5">
        <w:rPr>
          <w:rFonts w:ascii="Arial" w:hAnsi="Arial" w:cs="Arial"/>
          <w:sz w:val="24"/>
          <w:szCs w:val="24"/>
        </w:rPr>
        <w:instrText>ADDIN CSL_CITATION {"citationItems":[{"id":"ITEM-1","itemData":{"DOI":"10.1038/nbt.3625","ISSN":"15461696","PMID":"27376584","abstract":"Expansion microscopy (ExM) enables imaging of preserved specimens with nanoscale precision on diffraction-limited instead of specialized super-resolution microscopes. ExM works by physically separating fluorescent probes after anchoring them to a swellable gel. The first ExM method did not result in the retention of native proteins in the gel and relied on custom-made reagents that are not widely available. Here we describe protein retention ExM (proExM), a variant of ExM in which proteins are anchored to the swellable gel, allowing the use of conventional fluorescently labeled antibodies and streptavidin, and fluorescent proteins. We validated and demonstrated the utility of proExM for multicolor super-resolution (</w:instrText>
      </w:r>
      <w:r w:rsidR="00E26DE5">
        <w:rPr>
          <w:rFonts w:ascii="Cambria Math" w:hAnsi="Cambria Math" w:cs="Cambria Math"/>
          <w:sz w:val="24"/>
          <w:szCs w:val="24"/>
        </w:rPr>
        <w:instrText>∼</w:instrText>
      </w:r>
      <w:r w:rsidR="00E26DE5">
        <w:rPr>
          <w:rFonts w:ascii="Arial" w:hAnsi="Arial" w:cs="Arial"/>
          <w:sz w:val="24"/>
          <w:szCs w:val="24"/>
        </w:rPr>
        <w:instrText>1/470 nm) imaging of cells and mammalian tissues on conventional microscopes.","author":[{"dropping-particle":"","family":"Tillberg","given":"Paul W.","non-dropping-particle":"","parse-names":false,"suffix":""},{"dropping-particle":"","family":"Chen","given":"Fei","non-dropping-particle":"","parse-names":false,"suffix":""},{"dropping-particle":"","family":"Piatkevich","given":"Kiryl D.","non-dropping-particle":"","parse-names":false,"suffix":""},{"dropping-particle":"","family":"Zhao","given":"Yongxin","non-dropping-particle":"","parse-names":false,"suffix":""},{"dropping-particle":"","family":"Yu","given":"C. C.","non-dropping-particle":"","parse-names":false,"suffix":""},{"dropping-particle":"","family":"English","given":"Brian P.","non-dropping-particle":"","parse-names":false,"suffix":""},{"dropping-particle":"","family":"Gao","given":"Linyi","non-dropping-particle":"","parse-names":false,"suffix":""},{"dropping-particle":"","family":"Martorell","given":"Anthony","non-dropping-particle":"","parse-names":false,"suffix":""},{"dropping-particle":"","family":"Suk","given":"Ho Jun","non-dropping-particle":"","parse-names":false,"suffix":""},{"dropping-particle":"","family":"Yoshida","given":"Fumiaki","non-dropping-particle":"","parse-names":false,"suffix":""},{"dropping-particle":"","family":"Degennaro","given":"Ellen M.","non-dropping-particle":"","parse-names":false,"suffix":""},{"dropping-particle":"","family":"Roossien","given":"Douglas H.","non-dropping-particle":"","parse-names":false,"suffix":""},{"dropping-particle":"","family":"Gong","given":"Guanyu","non-dropping-particle":"","parse-names":false,"suffix":""},{"dropping-particle":"","family":"Seneviratne","given":"Uthpala","non-dropping-particle":"","parse-names":false,"suffix":""},{"dropping-particle":"","family":"Tannenbaum","given":"Steven R.","non-dropping-particle":"","parse-names":false,"suffix":""},{"dropping-particle":"","family":"Desimone","given":"Robert","non-dropping-particle":"","parse-names":false,"suffix":""},{"dropping-particle":"","family":"Cai","given":"Dawen","non-dropping-particle":"","parse-names":false,"suffix":""},{"dropping-particle":"","family":"Boyden","given":"Edward S.","non-dropping-particle":"","parse-names":false,"suffix":""}],"container-title":"Nature Biotechnology","id":"ITEM-1","issue":"9","issued":{"date-parts":[["2016"]]},"page":"987-992","title":"Protein-retention expansion microscopy of cells and tissues labeled using standard fluorescent proteins and antibodies","type":"article-journal","volume":"34"},"uris":["http://www.mendeley.com/documents/?uuid=7d5436d4-04f0-4aea-87c6-1a3f25267be2"]},{"id":"ITEM-2","itemData":{"DOI":"10.15252/embr.201845836","ISSN":"1469-221X","abstract":"Expansion microscopy is a recently introduced imaging technique that achieves super-resolution through physically expanding the specimen by ~4×, after embedding into a swellable gel. The resolution attained is, correspondingly, approximately fourfold better than the diffraction limit, or ~70 nm. This is a major improvement over conventional microscopy, but still lags behind modern STED or STORM setups, whose resolution can reach 20-30 nm. We addressed this issue here by introducing an improved gel recipe that enables an expansion factor of ~10× in each dimension, which corresponds to an expansion of the sample volume by more than 1,000-fold. Our protocol, which we termed X10 microscopy, achieves a resolution of 25-30 nm on conventional epifluorescence microscopes. X10 provides multi-color images similar or even superior to those produced with more challenging methods, such as STED, STORM, and iterative expansion microscopy (iExM). X10 is therefore the cheapest and easiest option for high-quality super-resolution imaging currently available. X10 should be usable in any laboratory, irrespective of the machinery owned or of the technical knowledge.","author":[{"dropping-particle":"","family":"Truckenbrodt","given":"Sven","non-dropping-particle":"","parse-names":false,"suffix":""},{"dropping-particle":"","family":"Maidorn","given":"Manuel","non-dropping-particle":"","parse-names":false,"suffix":""},{"dropping-particle":"","family":"Crzan","given":"Dagmar","non-dropping-particle":"","parse-names":false,"suffix":""},{"dropping-particle":"","family":"Wildhagen","given":"Hanna","non-dropping-particle":"","parse-names":false,"suffix":""},{"dropping-particle":"","family":"Kabatas","given":"Selda","non-dropping-particle":"","parse-names":false,"suffix":""},{"dropping-particle":"","family":"Rizzoli","given":"Silvio O","non-dropping-particle":"","parse-names":false,"suffix":""}],"container-title":"EMBO reports","id":"ITEM-2","issue":"9","issued":{"date-parts":[["2018"]]},"page":"1-12","title":"X10 expansion microscopy enables 25</w:instrText>
      </w:r>
      <w:r w:rsidR="00E26DE5">
        <w:rPr>
          <w:rFonts w:ascii="Cambria Math" w:hAnsi="Cambria Math" w:cs="Cambria Math"/>
          <w:sz w:val="24"/>
          <w:szCs w:val="24"/>
        </w:rPr>
        <w:instrText>‐</w:instrText>
      </w:r>
      <w:r w:rsidR="00E26DE5">
        <w:rPr>
          <w:rFonts w:ascii="Arial" w:hAnsi="Arial" w:cs="Arial"/>
          <w:sz w:val="24"/>
          <w:szCs w:val="24"/>
        </w:rPr>
        <w:instrText>nm resolution on conventional microscopes","type":"article-journal","volume":"19"},"uris":["http://www.mendeley.com/documents/?uuid=0dc71e04-a21c-482f-8e65-28d7ba59e01d"]},{"id":"ITEM-3","itemData":{"DOI":"10.1126/sciadv.abm4006","ISSN":"2375-2548","abstract":"Superresolution microscopy enables probing of cellular ultrastructures. However, its widespread applications are limited by the need for expensive machinery, specific hardware, and sophisticated data processing. Expansion microscopy (ExM) improves the resolution of conventional microscopy by physically expanding biological specimens before imaging and currently provides ~70-nm resolution, which still lags behind that of modern superresolution microscopy (~30 nm). Here, we demonstrate a ninefold swelling (NIFS) hydrogel, that can reduce ExM resolution to 31 nm when using regular traditional microscopy. We also design a detachable chip that integrates all the experimental operations to facilitate the maximal reproducibility of this high-resolution imaging technology. We demonstrate this technique on the superimaging of nuclear pore complex and clathrin-coated pits, whose structures can hardly be resolved by conventional microscopy. The method presented here offers a universal platform with superresolution imaging to unveil cellular ultrastructural details using standard conventional laboratory microscopes.","author":[{"dropping-particle":"","family":"Li","given":"Hongxia","non-dropping-particle":"","parse-names":false,"suffix":""},{"dropping-particle":"","family":"Warden","given":"Antony R","non-dropping-particle":"","parse-names":false,"suffix":""},{"dropping-particle":"","family":"He","given":"Jie","non-dropping-particle":"","parse-names":false,"suffix":""},{"dropping-particle":"","family":"Shen","given":"Guangxia","non-dropping-particle":"","parse-names":false,"suffix":""},{"dropping-particle":"","family":"Ding","given":"Xianting","non-dropping-particle":"","parse-names":false,"suffix":""}],"container-title":"Science Advances","id":"ITEM-3","issue":"18","issued":{"date-parts":[["2022","5","6"]]},"page":"1-11","title":"Expansion microscopy with ninefold swelling (NIFS) hydrogel permits cellular ultrastructure imaging on conventional microscope","type":"article-journal","volume":"8"},"uris":["http://www.mendeley.com/documents/?uuid=bcbc3617-07b0-4b74-892f-0cff3676c789"]},{"id":"ITEM-4","itemData":{"DOI":"10.7554/eLife.73775","ISSN":"2050-084X","abstract":"Expansion microscopy (ExM) is a powerful technique to overcome the diffraction limit of light microscopy that can be applied in both tissues and cells. In ExM, samples are embedded in a swellable polymer gel to physically expand the sample and isotropically increase resolution in x, y, and z. The maximum resolution increase is limited by the expansion factor of the gel, which is four-fold for the original ExM protocol. Variations on the original ExM method have been reported that allow for greater expansion factors but at the cost of ease of adoption or versatility. Here, we systematically explore the ExM recipe space and present a novel method termed Ten-fold Robust Expansion Microscopy (TREx) that, like the original ExM method, requires no specialized equipment or procedures. We demonstrate that TREx gels expand 10-fold, can be handled easily, and can be applied to both thick mouse brain tissue sections and cultured human cells enabling high-resolution subcellular imaging with a single expansion step. Furthermore, we show that TREx can provide ultrastructural context to subcellular protein localization by combining antibody-stained samples with off-the-shelf small-molecule stains for both total protein and membranes.","author":[{"dropping-particle":"","family":"Damstra","given":"Hugo GJ","non-dropping-particle":"","parse-names":false,"suffix":""},{"dropping-particle":"","family":"Mohar","given":"Boaz","non-dropping-particle":"","parse-names":false,"suffix":""},{"dropping-particle":"","family":"Eddison","given":"Mark","non-dropping-particle":"","parse-names":false,"suffix":""},{"dropping-particle":"","family":"Akhmanova","given":"Anna","non-dropping-particle":"","parse-names":false,"suffix":""},{"dropping-particle":"","family":"Kapitein","given":"Lukas C","non-dropping-particle":"","parse-names":false,"suffix":""},{"dropping-particle":"","family":"Tillberg","given":"Paul W","non-dropping-particle":"","parse-names":false,"suffix":""}],"container-title":"eLife","id":"ITEM-4","issued":{"date-parts":[["2022","2","18"]]},"page":"1-52","title":"Visualizing cellular and tissue ultrastructure using Ten-fold Robust Expansion Microscopy (TREx)","type":"article-journal","volume":"11"},"uris":["http://www.mendeley.com/documents/?uuid=2b80bc6c-61d5-4ce7-b011-5c74ba2273aa"]}],"mendeley":{"formattedCitation":"&lt;sup&gt;287–289,331&lt;/sup&gt;","plainTextFormattedCitation":"287–289,331","previouslyFormattedCitation":"&lt;sup&gt;287–289,331&lt;/sup&gt;"},"properties":{"noteIndex":0},"schema":"https://github.com/citation-style-language/schema/raw/master/csl-citation.json"}</w:instrText>
      </w:r>
      <w:r w:rsidR="009111AB">
        <w:rPr>
          <w:rFonts w:ascii="Arial" w:hAnsi="Arial" w:cs="Arial"/>
          <w:sz w:val="24"/>
          <w:szCs w:val="24"/>
        </w:rPr>
        <w:fldChar w:fldCharType="separate"/>
      </w:r>
      <w:r w:rsidR="008D4DC0" w:rsidRPr="008D4DC0">
        <w:rPr>
          <w:rFonts w:ascii="Arial" w:hAnsi="Arial" w:cs="Arial"/>
          <w:noProof/>
          <w:sz w:val="24"/>
          <w:szCs w:val="24"/>
          <w:vertAlign w:val="superscript"/>
        </w:rPr>
        <w:t>287–289,331</w:t>
      </w:r>
      <w:r w:rsidR="009111AB">
        <w:rPr>
          <w:rFonts w:ascii="Arial" w:hAnsi="Arial" w:cs="Arial"/>
          <w:sz w:val="24"/>
          <w:szCs w:val="24"/>
        </w:rPr>
        <w:fldChar w:fldCharType="end"/>
      </w:r>
      <w:r w:rsidR="009111AB">
        <w:rPr>
          <w:rFonts w:ascii="Arial" w:hAnsi="Arial" w:cs="Arial"/>
          <w:sz w:val="24"/>
          <w:szCs w:val="24"/>
        </w:rPr>
        <w:t xml:space="preserve"> Magnify results in a significantly lower maximum expansion factor than pan</w:t>
      </w:r>
      <w:r w:rsidR="003C512D">
        <w:rPr>
          <w:rFonts w:ascii="Arial" w:hAnsi="Arial" w:cs="Arial"/>
          <w:sz w:val="24"/>
          <w:szCs w:val="24"/>
        </w:rPr>
        <w:t>-</w:t>
      </w:r>
      <w:r w:rsidR="009111AB">
        <w:rPr>
          <w:rFonts w:ascii="Arial" w:hAnsi="Arial" w:cs="Arial"/>
          <w:sz w:val="24"/>
          <w:szCs w:val="24"/>
        </w:rPr>
        <w:t>ExM (11X compared to 21X). Figure 4.1</w:t>
      </w:r>
      <w:r w:rsidR="00A3260C">
        <w:rPr>
          <w:rFonts w:ascii="Arial" w:hAnsi="Arial" w:cs="Arial"/>
          <w:sz w:val="24"/>
          <w:szCs w:val="24"/>
        </w:rPr>
        <w:t>(</w:t>
      </w:r>
      <w:r w:rsidR="009111AB">
        <w:rPr>
          <w:rFonts w:ascii="Arial" w:hAnsi="Arial" w:cs="Arial"/>
          <w:sz w:val="24"/>
          <w:szCs w:val="24"/>
        </w:rPr>
        <w:t>b-d</w:t>
      </w:r>
      <w:r w:rsidR="00A3260C">
        <w:rPr>
          <w:rFonts w:ascii="Arial" w:hAnsi="Arial" w:cs="Arial"/>
          <w:sz w:val="24"/>
          <w:szCs w:val="24"/>
        </w:rPr>
        <w:t>)</w:t>
      </w:r>
      <w:r w:rsidR="009111AB">
        <w:rPr>
          <w:rFonts w:ascii="Arial" w:hAnsi="Arial" w:cs="Arial"/>
          <w:sz w:val="24"/>
          <w:szCs w:val="24"/>
        </w:rPr>
        <w:t xml:space="preserve"> </w:t>
      </w:r>
      <w:proofErr w:type="gramStart"/>
      <w:r w:rsidR="009111AB">
        <w:rPr>
          <w:rFonts w:ascii="Arial" w:hAnsi="Arial" w:cs="Arial"/>
          <w:sz w:val="24"/>
          <w:szCs w:val="24"/>
        </w:rPr>
        <w:t>show</w:t>
      </w:r>
      <w:proofErr w:type="gramEnd"/>
      <w:r w:rsidR="009111AB">
        <w:rPr>
          <w:rFonts w:ascii="Arial" w:hAnsi="Arial" w:cs="Arial"/>
          <w:sz w:val="24"/>
          <w:szCs w:val="24"/>
        </w:rPr>
        <w:t xml:space="preserve"> RAW 264.7 macrophages that are non-expanded, pan</w:t>
      </w:r>
      <w:r w:rsidR="003C512D">
        <w:rPr>
          <w:rFonts w:ascii="Arial" w:hAnsi="Arial" w:cs="Arial"/>
          <w:sz w:val="24"/>
          <w:szCs w:val="24"/>
        </w:rPr>
        <w:t>-</w:t>
      </w:r>
      <w:r w:rsidR="009111AB">
        <w:rPr>
          <w:rFonts w:ascii="Arial" w:hAnsi="Arial" w:cs="Arial"/>
          <w:sz w:val="24"/>
          <w:szCs w:val="24"/>
        </w:rPr>
        <w:t>ExM processed, and Magnify processed</w:t>
      </w:r>
      <w:r w:rsidR="00F61219">
        <w:rPr>
          <w:rFonts w:ascii="Arial" w:hAnsi="Arial" w:cs="Arial"/>
          <w:sz w:val="24"/>
          <w:szCs w:val="24"/>
        </w:rPr>
        <w:t xml:space="preserve"> respectively</w:t>
      </w:r>
      <w:r w:rsidR="009111AB">
        <w:rPr>
          <w:rFonts w:ascii="Arial" w:hAnsi="Arial" w:cs="Arial"/>
          <w:sz w:val="24"/>
          <w:szCs w:val="24"/>
        </w:rPr>
        <w:t xml:space="preserve">. </w:t>
      </w:r>
      <w:r w:rsidR="00F61219">
        <w:rPr>
          <w:rFonts w:ascii="Arial" w:hAnsi="Arial" w:cs="Arial"/>
          <w:sz w:val="24"/>
          <w:szCs w:val="24"/>
        </w:rPr>
        <w:t>We then determined the linear expansion factors from these methods in Figure 4.1e to be ~10.4X for pan</w:t>
      </w:r>
      <w:r w:rsidR="003C512D">
        <w:rPr>
          <w:rFonts w:ascii="Arial" w:hAnsi="Arial" w:cs="Arial"/>
          <w:sz w:val="24"/>
          <w:szCs w:val="24"/>
        </w:rPr>
        <w:t>-</w:t>
      </w:r>
      <w:r w:rsidR="00F61219">
        <w:rPr>
          <w:rFonts w:ascii="Arial" w:hAnsi="Arial" w:cs="Arial"/>
          <w:sz w:val="24"/>
          <w:szCs w:val="24"/>
        </w:rPr>
        <w:t>ExM and ~5.9X for Magnify. While these</w:t>
      </w:r>
      <w:r w:rsidR="00ED3CD9">
        <w:rPr>
          <w:rFonts w:ascii="Arial" w:hAnsi="Arial" w:cs="Arial"/>
          <w:sz w:val="24"/>
          <w:szCs w:val="24"/>
        </w:rPr>
        <w:t xml:space="preserve"> expansion factors</w:t>
      </w:r>
      <w:r w:rsidR="00F61219">
        <w:rPr>
          <w:rFonts w:ascii="Arial" w:hAnsi="Arial" w:cs="Arial"/>
          <w:sz w:val="24"/>
          <w:szCs w:val="24"/>
        </w:rPr>
        <w:t xml:space="preserve"> are significantly lower than the maximum reported expansion factors, likely as a result of the purity of the sodium acrylate used in the gelation solutions</w:t>
      </w:r>
      <w:r w:rsidR="00ED3CD9">
        <w:rPr>
          <w:rFonts w:ascii="Arial" w:hAnsi="Arial" w:cs="Arial"/>
          <w:sz w:val="24"/>
          <w:szCs w:val="24"/>
        </w:rPr>
        <w:t>, most intracellular vesicles of interest for cancer nanomedicine should still be resolvable (Figure 1.6).</w:t>
      </w:r>
      <w:r w:rsidR="00ED3CD9">
        <w:rPr>
          <w:rFonts w:ascii="Arial" w:hAnsi="Arial" w:cs="Arial"/>
          <w:sz w:val="24"/>
          <w:szCs w:val="24"/>
        </w:rPr>
        <w:fldChar w:fldCharType="begin" w:fldLock="1"/>
      </w:r>
      <w:r w:rsidR="00E26DE5">
        <w:rPr>
          <w:rFonts w:ascii="Arial" w:hAnsi="Arial" w:cs="Arial"/>
          <w:sz w:val="24"/>
          <w:szCs w:val="24"/>
        </w:rPr>
        <w:instrText>ADDIN CSL_CITATION {"citationItems":[{"id":"ITEM-1","itemData":{"DOI":"10.7554/eLife.73775","ISSN":"2050-084X","abstract":"Expansion microscopy (ExM) is a powerful technique to overcome the diffraction limit of light microscopy that can be applied in both tissues and cells. In ExM, samples are embedded in a swellable polymer gel to physically expand the sample and isotropically increase resolution in x, y, and z. The maximum resolution increase is limited by the expansion factor of the gel, which is four-fold for the original ExM protocol. Variations on the original ExM method have been reported that allow for greater expansion factors but at the cost of ease of adoption or versatility. Here, we systematically explore the ExM recipe space and present a novel method termed Ten-fold Robust Expansion Microscopy (TREx) that, like the original ExM method, requires no specialized equipment or procedures. We demonstrate that TREx gels expand 10-fold, can be handled easily, and can be applied to both thick mouse brain tissue sections and cultured human cells enabling high-resolution subcellular imaging with a single expansion step. Furthermore, we show that TREx can provide ultrastructural context to subcellular protein localization by combining antibody-stained samples with off-the-shelf small-molecule stains for both total protein and membranes.","author":[{"dropping-particle":"","family":"Damstra","given":"Hugo GJ","non-dropping-particle":"","parse-names":false,"suffix":""},{"dropping-particle":"","family":"Mohar","given":"Boaz","non-dropping-particle":"","parse-names":false,"suffix":""},{"dropping-particle":"","family":"Eddison","given":"Mark","non-dropping-particle":"","parse-names":false,"suffix":""},{"dropping-particle":"","family":"Akhmanova","given":"Anna","non-dropping-particle":"","parse-names":false,"suffix":""},{"dropping-particle":"","family":"Kapitein","given":"Lukas C","non-dropping-particle":"","parse-names":false,"suffix":""},{"dropping-particle":"","family":"Tillberg","given":"Paul W","non-dropping-particle":"","parse-names":false,"suffix":""}],"container-title":"eLife","id":"ITEM-1","issued":{"date-parts":[["2022","2","18"]]},"page":"1-52","title":"Visualizing cellular and tissue ultrastructure using Ten-fold Robust Expansion Microscopy (TREx)","type":"article-journal","volume":"11"},"uris":["http://www.mendeley.com/documents/?uuid=2b80bc6c-61d5-4ce7-b011-5c74ba2273aa"]},{"id":"ITEM-2","itemData":{"DOI":"10.1038/s41467-020-17523-8","ISSN":"2041-1723","abstract":"Resolving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Communications","id":"ITEM-2","issue":"1","issued":{"date-parts":[["2020","12","31"]]},"page":"3850","publisher":"Springer US","title":"Light microscopy of proteins in their ultrastructural context","type":"article-journal","volume":"11"},"uris":["http://www.mendeley.com/documents/?uuid=4a540ae9-cfd4-4c46-9883-3156d444641e"]},{"id":"ITEM-3","itemData":{"DOI":"10.1038/s41587-022-01546-1","ISSN":"15461696","abstract":"Expansion microscopy enables nanoimaging with conventional microscopes by physically and isotropically magnifying preserved biological specimens embedded in a crosslinked water-swellable hydrogel. Current expansion microscopy protocols require prior treatment with reactive anchoring chemicals to link specific labels and biomolecule classes to the gel. We describe a strategy called Magnify, which uses a mechanically sturdy gel that retains nucleic acids, proteins and lipids without the need for a separate anchoring step. Magnify expands biological specimens up to 11 times and facilitates imaging of cells and tissues with effectively around 25-nm resolution using a diffraction-limited objective lens of about 280 nm on conventional optical microscopes or with around 15 nm effective resolution if combined with super-resolution optical fluctuation imaging. We demonstrate Magnify on a broad range of biological specimens, providing insight into nanoscopic subcellular structures, including synaptic proteins from mouse brain, podocyte foot processes in formalin-fixed paraffin-embedded human kidney and defects in cilia and basal bodies in drug-treated human lung organoids.","author":[{"dropping-particle":"","family":"Klimas","given":"Aleksandra","non-dropping-particle":"","parse-names":false,"suffix":""},{"dropping-particle":"","family":"Gallagher","given":"Brendan R.","non-dropping-particle":"","parse-names":false,"suffix":""},{"dropping-particle":"","family":"Wijesekara","given":"Piyumi","non-dropping-particle":"","parse-names":false,"suffix":""},{"dropping-particle":"","family":"Fekir","given":"Sinda","non-dropping-particle":"","parse-names":false,"suffix":""},{"dropping-particle":"","family":"DiBernardo","given":"Emma F.","non-dropping-particle":"","parse-names":false,"suffix":""},{"dropping-particle":"","family":"Cheng","given":"Zhangyu","non-dropping-particle":"","parse-names":false,"suffix":""},{"dropping-particle":"","family":"Stolz","given":"Donna B.","non-dropping-particle":"","parse-names":false,"suffix":""},{"dropping-particle":"","family":"Cambi","given":"Franca","non-dropping-particle":"","parse-names":false,"suffix":""},{"dropping-particle":"","family":"Watkins","given":"Simon C.","non-dropping-particle":"","parse-names":false,"suffix":""},{"dropping-particle":"","family":"Brody","given":"Steven L.","non-dropping-particle":"","parse-names":false,"suffix":""},{"dropping-particle":"","family":"Horani","given":"Amjad","non-dropping-particle":"","parse-names":false,"suffix":""},{"dropping-particle":"","family":"Barth","given":"Alison L.","non-dropping-particle":"","parse-names":false,"suffix":""},{"dropping-particle":"","family":"Moore","given":"Christopher I.","non-dropping-particle":"","parse-names":false,"suffix":""},{"dropping-particle":"","family":"Ren","given":"Xi","non-dropping-particle":"","parse-names":false,"suffix":""},{"dropping-particle":"","family":"Zhao","given":"Yongxin","non-dropping-particle":"","parse-names":false,"suffix":""}],"container-title":"Nature Biotechnology","id":"ITEM-3","issued":{"date-parts":[["2023"]]},"publisher":"Springer US","title":"Magnify is a universal molecular anchoring strategy for expansion microscopy","type":"article-journal"},"uris":["http://www.mendeley.com/documents/?uuid=62267381-5794-4d06-9389-2b71ea248851"]}],"mendeley":{"formattedCitation":"&lt;sup&gt;280,289,325&lt;/sup&gt;","plainTextFormattedCitation":"280,289,325","previouslyFormattedCitation":"&lt;sup&gt;280,289,325&lt;/sup&gt;"},"properties":{"noteIndex":0},"schema":"https://github.com/citation-style-language/schema/raw/master/csl-citation.json"}</w:instrText>
      </w:r>
      <w:r w:rsidR="00ED3CD9">
        <w:rPr>
          <w:rFonts w:ascii="Arial" w:hAnsi="Arial" w:cs="Arial"/>
          <w:sz w:val="24"/>
          <w:szCs w:val="24"/>
        </w:rPr>
        <w:fldChar w:fldCharType="separate"/>
      </w:r>
      <w:r w:rsidR="008D4DC0" w:rsidRPr="008D4DC0">
        <w:rPr>
          <w:rFonts w:ascii="Arial" w:hAnsi="Arial" w:cs="Arial"/>
          <w:noProof/>
          <w:sz w:val="24"/>
          <w:szCs w:val="24"/>
          <w:vertAlign w:val="superscript"/>
        </w:rPr>
        <w:t>280,289,325</w:t>
      </w:r>
      <w:r w:rsidR="00ED3CD9">
        <w:rPr>
          <w:rFonts w:ascii="Arial" w:hAnsi="Arial" w:cs="Arial"/>
          <w:sz w:val="24"/>
          <w:szCs w:val="24"/>
        </w:rPr>
        <w:fldChar w:fldCharType="end"/>
      </w:r>
      <w:r w:rsidR="00A3260C">
        <w:rPr>
          <w:rFonts w:ascii="Arial" w:hAnsi="Arial" w:cs="Arial"/>
          <w:sz w:val="24"/>
          <w:szCs w:val="24"/>
        </w:rPr>
        <w:t xml:space="preserve"> </w:t>
      </w:r>
    </w:p>
    <w:p w14:paraId="5EAF34C6" w14:textId="4F36BDDE" w:rsidR="00DF6719" w:rsidRDefault="009111AB" w:rsidP="00DF6719">
      <w:pPr>
        <w:spacing w:line="480" w:lineRule="auto"/>
        <w:jc w:val="both"/>
        <w:rPr>
          <w:rFonts w:ascii="Arial" w:hAnsi="Arial" w:cs="Arial"/>
          <w:sz w:val="24"/>
          <w:szCs w:val="24"/>
        </w:rPr>
      </w:pPr>
      <w:r>
        <w:rPr>
          <w:rFonts w:ascii="Arial" w:hAnsi="Arial" w:cs="Arial"/>
          <w:sz w:val="24"/>
          <w:szCs w:val="24"/>
        </w:rPr>
        <w:t xml:space="preserve"> </w:t>
      </w:r>
    </w:p>
    <w:p w14:paraId="629B35FD" w14:textId="77777777" w:rsidR="00DF6719" w:rsidRDefault="00DF6719">
      <w:pPr>
        <w:rPr>
          <w:rFonts w:ascii="Arial" w:hAnsi="Arial" w:cs="Arial"/>
          <w:sz w:val="24"/>
          <w:szCs w:val="24"/>
        </w:rPr>
      </w:pPr>
      <w:r>
        <w:rPr>
          <w:rFonts w:ascii="Arial" w:hAnsi="Arial" w:cs="Arial"/>
          <w:sz w:val="24"/>
          <w:szCs w:val="24"/>
        </w:rPr>
        <w:br w:type="page"/>
      </w:r>
    </w:p>
    <w:p w14:paraId="30AC605C" w14:textId="33E5587B" w:rsidR="00ED3CD9" w:rsidRDefault="001278FC">
      <w:pPr>
        <w:rPr>
          <w:rFonts w:ascii="Arial" w:hAnsi="Arial" w:cs="Arial"/>
          <w:sz w:val="24"/>
          <w:szCs w:val="24"/>
        </w:rPr>
      </w:pPr>
      <w:r>
        <w:rPr>
          <w:rFonts w:ascii="Arial" w:hAnsi="Arial" w:cs="Arial"/>
          <w:noProof/>
          <w:sz w:val="24"/>
          <w:szCs w:val="24"/>
        </w:rPr>
        <w:lastRenderedPageBreak/>
        <w:drawing>
          <wp:inline distT="0" distB="0" distL="0" distR="0" wp14:anchorId="23E1F114" wp14:editId="008028C6">
            <wp:extent cx="5943600" cy="6796405"/>
            <wp:effectExtent l="0" t="0" r="0" b="4445"/>
            <wp:docPr id="163662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6796405"/>
                    </a:xfrm>
                    <a:prstGeom prst="rect">
                      <a:avLst/>
                    </a:prstGeom>
                    <a:noFill/>
                    <a:ln>
                      <a:noFill/>
                    </a:ln>
                  </pic:spPr>
                </pic:pic>
              </a:graphicData>
            </a:graphic>
          </wp:inline>
        </w:drawing>
      </w:r>
    </w:p>
    <w:p w14:paraId="134BCED4" w14:textId="4BF58D5B" w:rsidR="00DF6719" w:rsidRDefault="00ED3CD9" w:rsidP="00600AD0">
      <w:pPr>
        <w:jc w:val="both"/>
        <w:rPr>
          <w:rFonts w:ascii="Arial" w:hAnsi="Arial" w:cs="Arial"/>
          <w:sz w:val="24"/>
          <w:szCs w:val="24"/>
        </w:rPr>
      </w:pPr>
      <w:r w:rsidRPr="00E57377">
        <w:rPr>
          <w:rFonts w:ascii="Arial" w:hAnsi="Arial" w:cs="Arial"/>
          <w:b/>
          <w:bCs/>
          <w:sz w:val="24"/>
          <w:szCs w:val="24"/>
        </w:rPr>
        <w:t xml:space="preserve">Figure </w:t>
      </w:r>
      <w:r>
        <w:rPr>
          <w:rFonts w:ascii="Arial" w:hAnsi="Arial" w:cs="Arial"/>
          <w:b/>
          <w:bCs/>
          <w:sz w:val="24"/>
          <w:szCs w:val="24"/>
        </w:rPr>
        <w:t>4</w:t>
      </w:r>
      <w:r w:rsidRPr="00E57377">
        <w:rPr>
          <w:rFonts w:ascii="Arial" w:hAnsi="Arial" w:cs="Arial"/>
          <w:b/>
          <w:bCs/>
          <w:sz w:val="24"/>
          <w:szCs w:val="24"/>
        </w:rPr>
        <w:t>.</w:t>
      </w:r>
      <w:r>
        <w:rPr>
          <w:rFonts w:ascii="Arial" w:hAnsi="Arial" w:cs="Arial"/>
          <w:b/>
          <w:bCs/>
          <w:sz w:val="24"/>
          <w:szCs w:val="24"/>
        </w:rPr>
        <w:t>1</w:t>
      </w:r>
      <w:r w:rsidRPr="00E57377">
        <w:rPr>
          <w:rFonts w:ascii="Arial" w:hAnsi="Arial" w:cs="Arial"/>
          <w:b/>
          <w:bCs/>
          <w:sz w:val="24"/>
          <w:szCs w:val="24"/>
        </w:rPr>
        <w:t>:</w:t>
      </w:r>
      <w:r>
        <w:rPr>
          <w:rFonts w:ascii="Arial" w:hAnsi="Arial" w:cs="Arial"/>
          <w:b/>
          <w:bCs/>
          <w:sz w:val="24"/>
          <w:szCs w:val="24"/>
        </w:rPr>
        <w:t xml:space="preserve"> Comparison of pan</w:t>
      </w:r>
      <w:r w:rsidR="003C512D">
        <w:rPr>
          <w:rFonts w:ascii="Arial" w:hAnsi="Arial" w:cs="Arial"/>
          <w:b/>
          <w:bCs/>
          <w:sz w:val="24"/>
          <w:szCs w:val="24"/>
        </w:rPr>
        <w:t>-</w:t>
      </w:r>
      <w:r>
        <w:rPr>
          <w:rFonts w:ascii="Arial" w:hAnsi="Arial" w:cs="Arial"/>
          <w:b/>
          <w:bCs/>
          <w:sz w:val="24"/>
          <w:szCs w:val="24"/>
        </w:rPr>
        <w:t>ExM and Magnify</w:t>
      </w:r>
      <w:r w:rsidR="004834B6">
        <w:rPr>
          <w:rFonts w:ascii="Arial" w:hAnsi="Arial" w:cs="Arial"/>
          <w:b/>
          <w:bCs/>
          <w:sz w:val="24"/>
          <w:szCs w:val="24"/>
        </w:rPr>
        <w:t>.</w:t>
      </w:r>
      <w:r>
        <w:rPr>
          <w:rFonts w:ascii="Arial" w:hAnsi="Arial" w:cs="Arial"/>
          <w:b/>
          <w:bCs/>
          <w:sz w:val="24"/>
          <w:szCs w:val="24"/>
        </w:rPr>
        <w:t xml:space="preserve"> </w:t>
      </w:r>
      <w:r w:rsidR="004834B6" w:rsidRPr="004834B6">
        <w:rPr>
          <w:rFonts w:ascii="Arial" w:hAnsi="Arial" w:cs="Arial"/>
          <w:sz w:val="24"/>
          <w:szCs w:val="24"/>
        </w:rPr>
        <w:t>a)</w:t>
      </w:r>
      <w:r w:rsidR="004834B6">
        <w:rPr>
          <w:rFonts w:ascii="Arial" w:hAnsi="Arial" w:cs="Arial"/>
          <w:sz w:val="24"/>
          <w:szCs w:val="24"/>
        </w:rPr>
        <w:t xml:space="preserve"> The major steps and processing times (including relevant incubation and washing steps) for pan</w:t>
      </w:r>
      <w:r w:rsidR="003C512D">
        <w:rPr>
          <w:rFonts w:ascii="Arial" w:hAnsi="Arial" w:cs="Arial"/>
          <w:sz w:val="24"/>
          <w:szCs w:val="24"/>
        </w:rPr>
        <w:t>-</w:t>
      </w:r>
      <w:r w:rsidR="004834B6">
        <w:rPr>
          <w:rFonts w:ascii="Arial" w:hAnsi="Arial" w:cs="Arial"/>
          <w:sz w:val="24"/>
          <w:szCs w:val="24"/>
        </w:rPr>
        <w:t>ExM and Magnify are depicted in flow charts. While pan</w:t>
      </w:r>
      <w:r w:rsidR="003C512D">
        <w:rPr>
          <w:rFonts w:ascii="Arial" w:hAnsi="Arial" w:cs="Arial"/>
          <w:sz w:val="24"/>
          <w:szCs w:val="24"/>
        </w:rPr>
        <w:t>-</w:t>
      </w:r>
      <w:r w:rsidR="004834B6">
        <w:rPr>
          <w:rFonts w:ascii="Arial" w:hAnsi="Arial" w:cs="Arial"/>
          <w:sz w:val="24"/>
          <w:szCs w:val="24"/>
        </w:rPr>
        <w:t>ExM provides superior expansion factors, Magnify is a significantly faster process and allows for a wider retention of biomolecules. RAW 264.7 macrophages are shown as non-expanded (b), pan</w:t>
      </w:r>
      <w:r w:rsidR="003C512D">
        <w:rPr>
          <w:rFonts w:ascii="Arial" w:hAnsi="Arial" w:cs="Arial"/>
          <w:sz w:val="24"/>
          <w:szCs w:val="24"/>
        </w:rPr>
        <w:t>-</w:t>
      </w:r>
      <w:r w:rsidR="004834B6">
        <w:rPr>
          <w:rFonts w:ascii="Arial" w:hAnsi="Arial" w:cs="Arial"/>
          <w:sz w:val="24"/>
          <w:szCs w:val="24"/>
        </w:rPr>
        <w:t xml:space="preserve">ExM processed (c) and Magnify processed (d). Cells are stained </w:t>
      </w:r>
      <w:r w:rsidR="004834B6" w:rsidRPr="004834B6">
        <w:rPr>
          <w:rFonts w:ascii="Arial" w:hAnsi="Arial" w:cs="Arial"/>
          <w:sz w:val="24"/>
          <w:szCs w:val="24"/>
        </w:rPr>
        <w:t>with the DNA stain, 4′,6-diamidino-2-phenylindole (DAPI) (blue) for nuclei visualization</w:t>
      </w:r>
      <w:r w:rsidR="004834B6">
        <w:rPr>
          <w:rFonts w:ascii="Arial" w:hAnsi="Arial" w:cs="Arial"/>
          <w:sz w:val="24"/>
          <w:szCs w:val="24"/>
        </w:rPr>
        <w:t xml:space="preserve"> and are </w:t>
      </w:r>
      <w:r w:rsidR="004834B6" w:rsidRPr="004834B6">
        <w:rPr>
          <w:rFonts w:ascii="Arial" w:hAnsi="Arial" w:cs="Arial"/>
          <w:sz w:val="24"/>
          <w:szCs w:val="24"/>
        </w:rPr>
        <w:t>bulk (pan) stained with NHS-AF</w:t>
      </w:r>
      <w:r w:rsidR="004834B6">
        <w:rPr>
          <w:rFonts w:ascii="Arial" w:hAnsi="Arial" w:cs="Arial"/>
          <w:sz w:val="24"/>
          <w:szCs w:val="24"/>
        </w:rPr>
        <w:t>488 (gray)</w:t>
      </w:r>
      <w:r w:rsidR="004834B6" w:rsidRPr="004834B6">
        <w:rPr>
          <w:rFonts w:ascii="Arial" w:hAnsi="Arial" w:cs="Arial"/>
          <w:sz w:val="24"/>
          <w:szCs w:val="24"/>
        </w:rPr>
        <w:t xml:space="preserve"> to </w:t>
      </w:r>
      <w:r w:rsidR="004834B6" w:rsidRPr="004834B6">
        <w:rPr>
          <w:rFonts w:ascii="Arial" w:hAnsi="Arial" w:cs="Arial"/>
          <w:sz w:val="24"/>
          <w:szCs w:val="24"/>
        </w:rPr>
        <w:lastRenderedPageBreak/>
        <w:t>visualize the entire proteome of the cell</w:t>
      </w:r>
      <w:r w:rsidR="004834B6">
        <w:rPr>
          <w:rFonts w:ascii="Arial" w:hAnsi="Arial" w:cs="Arial"/>
          <w:sz w:val="24"/>
          <w:szCs w:val="24"/>
        </w:rPr>
        <w:t>.</w:t>
      </w:r>
      <w:r w:rsidR="00FB25D0">
        <w:rPr>
          <w:rFonts w:ascii="Arial" w:hAnsi="Arial" w:cs="Arial"/>
          <w:sz w:val="24"/>
          <w:szCs w:val="24"/>
        </w:rPr>
        <w:t xml:space="preserve"> </w:t>
      </w:r>
      <w:bookmarkStart w:id="55" w:name="_Hlk146703975"/>
      <w:r w:rsidR="0024649F" w:rsidRPr="0024649F">
        <w:rPr>
          <w:rFonts w:ascii="Arial" w:hAnsi="Arial" w:cs="Arial"/>
          <w:sz w:val="24"/>
          <w:szCs w:val="24"/>
        </w:rPr>
        <w:t xml:space="preserve">The presence of resolved intracellular vesicles after </w:t>
      </w:r>
      <w:r w:rsidR="0024649F">
        <w:rPr>
          <w:rFonts w:ascii="Arial" w:hAnsi="Arial" w:cs="Arial"/>
          <w:sz w:val="24"/>
          <w:szCs w:val="24"/>
        </w:rPr>
        <w:t>pan</w:t>
      </w:r>
      <w:r w:rsidR="003C512D">
        <w:rPr>
          <w:rFonts w:ascii="Arial" w:hAnsi="Arial" w:cs="Arial"/>
          <w:sz w:val="24"/>
          <w:szCs w:val="24"/>
        </w:rPr>
        <w:t>-</w:t>
      </w:r>
      <w:r w:rsidR="0024649F">
        <w:rPr>
          <w:rFonts w:ascii="Arial" w:hAnsi="Arial" w:cs="Arial"/>
          <w:sz w:val="24"/>
          <w:szCs w:val="24"/>
        </w:rPr>
        <w:t>ExM and Magnify</w:t>
      </w:r>
      <w:r w:rsidR="0024649F" w:rsidRPr="0024649F">
        <w:rPr>
          <w:rFonts w:ascii="Arial" w:hAnsi="Arial" w:cs="Arial"/>
          <w:sz w:val="24"/>
          <w:szCs w:val="24"/>
        </w:rPr>
        <w:t xml:space="preserve"> is demonstrated</w:t>
      </w:r>
      <w:r w:rsidR="0024649F">
        <w:rPr>
          <w:rFonts w:ascii="Arial" w:hAnsi="Arial" w:cs="Arial"/>
          <w:sz w:val="24"/>
          <w:szCs w:val="24"/>
        </w:rPr>
        <w:t xml:space="preserve"> </w:t>
      </w:r>
      <w:r w:rsidR="0024649F" w:rsidRPr="0024649F">
        <w:rPr>
          <w:rFonts w:ascii="Arial" w:hAnsi="Arial" w:cs="Arial"/>
          <w:sz w:val="24"/>
          <w:szCs w:val="24"/>
        </w:rPr>
        <w:t>as the dark areas in the cytoplasm of the cells through the NHS-ester stain, having negative contrast against the surrounding protein</w:t>
      </w:r>
      <w:r w:rsidR="0024649F">
        <w:rPr>
          <w:rFonts w:ascii="Arial" w:hAnsi="Arial" w:cs="Arial"/>
          <w:sz w:val="24"/>
          <w:szCs w:val="24"/>
        </w:rPr>
        <w:t xml:space="preserve"> filled regions. </w:t>
      </w:r>
      <w:r w:rsidR="00FB25D0" w:rsidRPr="00E57377">
        <w:rPr>
          <w:rFonts w:ascii="Arial" w:hAnsi="Arial" w:cs="Arial"/>
          <w:sz w:val="24"/>
          <w:szCs w:val="24"/>
        </w:rPr>
        <w:t xml:space="preserve">The scale bars indicate </w:t>
      </w:r>
      <w:r w:rsidR="00FB25D0">
        <w:rPr>
          <w:rFonts w:ascii="Arial" w:hAnsi="Arial" w:cs="Arial"/>
          <w:sz w:val="24"/>
          <w:szCs w:val="24"/>
        </w:rPr>
        <w:t>20</w:t>
      </w:r>
      <w:r w:rsidR="00FB25D0" w:rsidRPr="00E57377">
        <w:rPr>
          <w:rFonts w:ascii="Arial" w:hAnsi="Arial" w:cs="Arial"/>
          <w:sz w:val="24"/>
          <w:szCs w:val="24"/>
        </w:rPr>
        <w:t xml:space="preserve"> µm in the unmagnified images and 5 µm in the magnified images, not corrected for expansion factors.</w:t>
      </w:r>
      <w:r w:rsidR="00600AD0">
        <w:rPr>
          <w:rFonts w:ascii="Arial" w:hAnsi="Arial" w:cs="Arial"/>
          <w:sz w:val="24"/>
          <w:szCs w:val="24"/>
        </w:rPr>
        <w:t xml:space="preserve"> </w:t>
      </w:r>
      <w:bookmarkEnd w:id="55"/>
      <w:r w:rsidR="00600AD0">
        <w:rPr>
          <w:rFonts w:ascii="Arial" w:hAnsi="Arial" w:cs="Arial"/>
          <w:sz w:val="24"/>
          <w:szCs w:val="24"/>
        </w:rPr>
        <w:t>(e)</w:t>
      </w:r>
      <w:r w:rsidR="004834B6">
        <w:rPr>
          <w:rFonts w:ascii="Arial" w:hAnsi="Arial" w:cs="Arial"/>
          <w:sz w:val="24"/>
          <w:szCs w:val="24"/>
        </w:rPr>
        <w:t xml:space="preserve"> </w:t>
      </w:r>
      <w:r w:rsidR="00600AD0" w:rsidRPr="00E57377">
        <w:rPr>
          <w:rFonts w:ascii="Arial" w:hAnsi="Arial" w:cs="Arial"/>
          <w:sz w:val="24"/>
          <w:szCs w:val="24"/>
        </w:rPr>
        <w:t>Quantitative analysis of the nuclei area in µm</w:t>
      </w:r>
      <w:r w:rsidR="00600AD0" w:rsidRPr="00E57377">
        <w:rPr>
          <w:rFonts w:ascii="Arial" w:hAnsi="Arial" w:cs="Arial"/>
          <w:sz w:val="24"/>
          <w:szCs w:val="24"/>
          <w:vertAlign w:val="superscript"/>
        </w:rPr>
        <w:t>2</w:t>
      </w:r>
      <w:r w:rsidR="00600AD0" w:rsidRPr="00E57377">
        <w:rPr>
          <w:rFonts w:ascii="Arial" w:hAnsi="Arial" w:cs="Arial"/>
          <w:sz w:val="24"/>
          <w:szCs w:val="24"/>
        </w:rPr>
        <w:t xml:space="preserve"> of non-expanded and expanded cells, measured on ImageJ. The mean values (solid black line) were used to calculate the linear expansion factor of </w:t>
      </w:r>
      <w:r w:rsidR="00600AD0">
        <w:rPr>
          <w:rFonts w:ascii="Arial" w:hAnsi="Arial" w:cs="Arial"/>
          <w:sz w:val="24"/>
          <w:szCs w:val="24"/>
        </w:rPr>
        <w:t>10.4</w:t>
      </w:r>
      <w:r w:rsidR="00600AD0" w:rsidRPr="00E57377">
        <w:rPr>
          <w:rFonts w:ascii="Arial" w:hAnsi="Arial" w:cs="Arial"/>
          <w:sz w:val="24"/>
          <w:szCs w:val="24"/>
        </w:rPr>
        <w:t>X</w:t>
      </w:r>
      <w:r w:rsidR="00600AD0">
        <w:rPr>
          <w:rFonts w:ascii="Arial" w:hAnsi="Arial" w:cs="Arial"/>
          <w:sz w:val="24"/>
          <w:szCs w:val="24"/>
        </w:rPr>
        <w:t xml:space="preserve"> and 5.9X for pan</w:t>
      </w:r>
      <w:r w:rsidR="003C512D">
        <w:rPr>
          <w:rFonts w:ascii="Arial" w:hAnsi="Arial" w:cs="Arial"/>
          <w:sz w:val="24"/>
          <w:szCs w:val="24"/>
        </w:rPr>
        <w:t>-</w:t>
      </w:r>
      <w:r w:rsidR="00600AD0">
        <w:rPr>
          <w:rFonts w:ascii="Arial" w:hAnsi="Arial" w:cs="Arial"/>
          <w:sz w:val="24"/>
          <w:szCs w:val="24"/>
        </w:rPr>
        <w:t>ExM and Magnify respectively</w:t>
      </w:r>
      <w:r w:rsidR="00600AD0" w:rsidRPr="00E57377">
        <w:rPr>
          <w:rFonts w:ascii="Arial" w:hAnsi="Arial" w:cs="Arial"/>
          <w:sz w:val="24"/>
          <w:szCs w:val="24"/>
        </w:rPr>
        <w:t xml:space="preserve"> (n=</w:t>
      </w:r>
      <w:r w:rsidR="00600AD0">
        <w:rPr>
          <w:rFonts w:ascii="Arial" w:hAnsi="Arial" w:cs="Arial"/>
          <w:sz w:val="24"/>
          <w:szCs w:val="24"/>
        </w:rPr>
        <w:t>30</w:t>
      </w:r>
      <w:r w:rsidR="00600AD0" w:rsidRPr="00E57377">
        <w:rPr>
          <w:rFonts w:ascii="Arial" w:hAnsi="Arial" w:cs="Arial"/>
          <w:sz w:val="24"/>
          <w:szCs w:val="24"/>
        </w:rPr>
        <w:t xml:space="preserve">) using Equation 1. </w:t>
      </w:r>
      <w:bookmarkStart w:id="56" w:name="_Hlk146703735"/>
      <w:r w:rsidR="00600AD0" w:rsidRPr="00E57377">
        <w:rPr>
          <w:rFonts w:ascii="Arial" w:hAnsi="Arial" w:cs="Arial"/>
          <w:sz w:val="24"/>
          <w:szCs w:val="24"/>
        </w:rPr>
        <w:t>A</w:t>
      </w:r>
      <w:r w:rsidR="00600AD0">
        <w:rPr>
          <w:rFonts w:ascii="Arial" w:hAnsi="Arial" w:cs="Arial"/>
          <w:sz w:val="24"/>
          <w:szCs w:val="24"/>
        </w:rPr>
        <w:t xml:space="preserve"> one-way ANOVA</w:t>
      </w:r>
      <w:r w:rsidR="00600AD0" w:rsidRPr="00E57377">
        <w:rPr>
          <w:rFonts w:ascii="Arial" w:hAnsi="Arial" w:cs="Arial"/>
          <w:sz w:val="24"/>
          <w:szCs w:val="24"/>
        </w:rPr>
        <w:t xml:space="preserve"> </w:t>
      </w:r>
      <w:r w:rsidR="00600AD0">
        <w:rPr>
          <w:rFonts w:ascii="Arial" w:hAnsi="Arial" w:cs="Arial"/>
          <w:sz w:val="24"/>
          <w:szCs w:val="24"/>
        </w:rPr>
        <w:t xml:space="preserve">with Tukey’s multiple comparison test </w:t>
      </w:r>
      <w:r w:rsidR="00600AD0" w:rsidRPr="00E57377">
        <w:rPr>
          <w:rFonts w:ascii="Arial" w:hAnsi="Arial" w:cs="Arial"/>
          <w:sz w:val="24"/>
          <w:szCs w:val="24"/>
        </w:rPr>
        <w:t>resulted in statistically significant difference</w:t>
      </w:r>
      <w:r w:rsidR="00600AD0">
        <w:rPr>
          <w:rFonts w:ascii="Arial" w:hAnsi="Arial" w:cs="Arial"/>
          <w:sz w:val="24"/>
          <w:szCs w:val="24"/>
        </w:rPr>
        <w:t>s</w:t>
      </w:r>
      <w:r w:rsidR="00600AD0" w:rsidRPr="00E57377">
        <w:rPr>
          <w:rFonts w:ascii="Arial" w:hAnsi="Arial" w:cs="Arial"/>
          <w:sz w:val="24"/>
          <w:szCs w:val="24"/>
        </w:rPr>
        <w:t xml:space="preserve"> in the means of the nuclei areas between the </w:t>
      </w:r>
      <w:r w:rsidR="00600AD0">
        <w:rPr>
          <w:rFonts w:ascii="Arial" w:hAnsi="Arial" w:cs="Arial"/>
          <w:sz w:val="24"/>
          <w:szCs w:val="24"/>
        </w:rPr>
        <w:t>three</w:t>
      </w:r>
      <w:r w:rsidR="00600AD0" w:rsidRPr="00E57377">
        <w:rPr>
          <w:rFonts w:ascii="Arial" w:hAnsi="Arial" w:cs="Arial"/>
          <w:sz w:val="24"/>
          <w:szCs w:val="24"/>
        </w:rPr>
        <w:t xml:space="preserve"> groups (****p&lt;0.0001).</w:t>
      </w:r>
    </w:p>
    <w:bookmarkEnd w:id="56"/>
    <w:p w14:paraId="3AB1C4F9" w14:textId="4DD55459" w:rsidR="00427236" w:rsidRDefault="00427236">
      <w:pPr>
        <w:rPr>
          <w:rFonts w:ascii="Arial" w:hAnsi="Arial" w:cs="Arial"/>
          <w:sz w:val="24"/>
          <w:szCs w:val="24"/>
        </w:rPr>
      </w:pPr>
      <w:r>
        <w:rPr>
          <w:rFonts w:ascii="Arial" w:hAnsi="Arial" w:cs="Arial"/>
          <w:sz w:val="24"/>
          <w:szCs w:val="24"/>
        </w:rPr>
        <w:br w:type="page"/>
      </w:r>
    </w:p>
    <w:p w14:paraId="55FAAE9C" w14:textId="17A724F9" w:rsidR="001C0FA4" w:rsidRDefault="001C0FA4" w:rsidP="00721691">
      <w:pPr>
        <w:pStyle w:val="Heading3"/>
      </w:pPr>
      <w:bookmarkStart w:id="57" w:name="_Toc151032436"/>
      <w:r>
        <w:lastRenderedPageBreak/>
        <w:t>4.2.2 Visualization of liposomes in expanded cells through internalized fluorescent cargo</w:t>
      </w:r>
      <w:bookmarkEnd w:id="57"/>
    </w:p>
    <w:p w14:paraId="4B600F06" w14:textId="77777777" w:rsidR="00721691" w:rsidRPr="00721691" w:rsidRDefault="00721691" w:rsidP="00721691"/>
    <w:p w14:paraId="540B6A73" w14:textId="65BF3FBD" w:rsidR="00301143" w:rsidRDefault="001C0FA4" w:rsidP="001C0FA4">
      <w:pPr>
        <w:spacing w:line="480" w:lineRule="auto"/>
        <w:jc w:val="both"/>
        <w:rPr>
          <w:rFonts w:ascii="Arial" w:hAnsi="Arial" w:cs="Arial"/>
          <w:sz w:val="24"/>
          <w:szCs w:val="24"/>
        </w:rPr>
      </w:pPr>
      <w:r>
        <w:rPr>
          <w:rFonts w:ascii="Arial" w:hAnsi="Arial" w:cs="Arial"/>
          <w:b/>
          <w:bCs/>
          <w:sz w:val="24"/>
          <w:szCs w:val="24"/>
        </w:rPr>
        <w:tab/>
      </w:r>
      <w:r w:rsidR="002B78E9">
        <w:rPr>
          <w:rFonts w:ascii="Arial" w:hAnsi="Arial" w:cs="Arial"/>
          <w:sz w:val="24"/>
          <w:szCs w:val="24"/>
        </w:rPr>
        <w:t>Given that the primary goal of liposomes for cancer therapy is to deliver drugs to solid tumors, w</w:t>
      </w:r>
      <w:r>
        <w:rPr>
          <w:rFonts w:ascii="Arial" w:hAnsi="Arial" w:cs="Arial"/>
          <w:sz w:val="24"/>
          <w:szCs w:val="24"/>
        </w:rPr>
        <w:t>e first investigated the compatibility of liposomes with Magnify through the use of internalized fluorescent cargo</w:t>
      </w:r>
      <w:r w:rsidR="00427236">
        <w:rPr>
          <w:rFonts w:ascii="Arial" w:hAnsi="Arial" w:cs="Arial"/>
          <w:sz w:val="24"/>
          <w:szCs w:val="24"/>
        </w:rPr>
        <w:t xml:space="preserve">. </w:t>
      </w:r>
      <w:r w:rsidR="002B78E9">
        <w:rPr>
          <w:rFonts w:ascii="Arial" w:hAnsi="Arial" w:cs="Arial"/>
          <w:sz w:val="24"/>
          <w:szCs w:val="24"/>
        </w:rPr>
        <w:t>Doxorubicin</w:t>
      </w:r>
      <w:r w:rsidR="007934A9">
        <w:rPr>
          <w:rFonts w:ascii="Arial" w:hAnsi="Arial" w:cs="Arial"/>
          <w:sz w:val="24"/>
          <w:szCs w:val="24"/>
        </w:rPr>
        <w:t xml:space="preserve"> (DOX)</w:t>
      </w:r>
      <w:r w:rsidR="002B78E9">
        <w:rPr>
          <w:rFonts w:ascii="Arial" w:hAnsi="Arial" w:cs="Arial"/>
          <w:sz w:val="24"/>
          <w:szCs w:val="24"/>
        </w:rPr>
        <w:t xml:space="preserve"> is one of the most commonly used cancer chemotherapeutic drugs in the clinic</w:t>
      </w:r>
      <w:r w:rsidR="007934A9">
        <w:rPr>
          <w:rFonts w:ascii="Arial" w:hAnsi="Arial" w:cs="Arial"/>
          <w:sz w:val="24"/>
          <w:szCs w:val="24"/>
        </w:rPr>
        <w:t xml:space="preserve"> and</w:t>
      </w:r>
      <w:r w:rsidR="002B78E9">
        <w:rPr>
          <w:rFonts w:ascii="Arial" w:hAnsi="Arial" w:cs="Arial"/>
          <w:sz w:val="24"/>
          <w:szCs w:val="24"/>
        </w:rPr>
        <w:t xml:space="preserve"> </w:t>
      </w:r>
      <w:r w:rsidR="00A83B9B">
        <w:rPr>
          <w:rFonts w:ascii="Arial" w:hAnsi="Arial" w:cs="Arial"/>
          <w:sz w:val="24"/>
          <w:szCs w:val="24"/>
        </w:rPr>
        <w:t>is intrinsically fluorescent</w:t>
      </w:r>
      <w:r w:rsidR="007934A9">
        <w:rPr>
          <w:rFonts w:ascii="Arial" w:hAnsi="Arial" w:cs="Arial"/>
          <w:sz w:val="24"/>
          <w:szCs w:val="24"/>
        </w:rPr>
        <w:t>.</w:t>
      </w:r>
      <w:r w:rsidR="007934A9">
        <w:rPr>
          <w:rFonts w:ascii="Arial" w:hAnsi="Arial" w:cs="Arial"/>
          <w:sz w:val="24"/>
          <w:szCs w:val="24"/>
        </w:rPr>
        <w:fldChar w:fldCharType="begin" w:fldLock="1"/>
      </w:r>
      <w:r w:rsidR="00E26DE5">
        <w:rPr>
          <w:rFonts w:ascii="Arial" w:hAnsi="Arial" w:cs="Arial"/>
          <w:sz w:val="24"/>
          <w:szCs w:val="24"/>
        </w:rPr>
        <w:instrText>ADDIN CSL_CITATION {"citationItems":[{"id":"ITEM-1","itemData":{"DOI":"10.1016/j.jphotobiol.2017.03.024","ISBN":"8586542555","ISSN":"10111344","abstract":"In 2011, the National Institute on Aging and Alzheimer’s Association created separate diagnostic recommendations for the preclinical, mild cognitive impairment, and dementia stages of Alzheimer’s disease. Scientific progress in the interim led to an initiative by the National Institute on Aging and Alzheimer’s Association to update and unify the 2011 guidelines. This unifying update is labeled a “research framework” because its intended use is for observational and interventional research, not routine clinical care. In the National Institute on Aging and Alzheimer’s Association Research Framework, Alzheimer’s disease (AD) is defined by its underlying pathologic processes that can be documented by postmortem examination or in vivo by biomarkers. The diagnosis is not based on the clinical consequences of the disease (i.e., symptoms/ signs) in this research framework, which shifts the definition of AD in living people from a syndromal to a biological construct. The research framework focuses on the diagnosis of AD with biomarkers in living persons. Biomarkers are grouped into those of β amyloid deposition, pathologic tau, and neurodegeneration [AT(N)]. This ATN classification system groups different biomarkers (imaging and biofluids) by the pathologic process each measures. The AT(N) system is flexible in that new biomarkers can be added to the three existing AT(N) groups, and new biomarker groups beyond AT(N) can be added when they become available. We focus on AD as a continuum, and cognitive staging may be accomplished using continuous measures. However, we also outline two different categorical cognitive schemes for staging the severity of cognitive impairment: a scheme using three traditional syndromal categories and a six-stage numeric scheme. It is important to stress that this framework seeks to create a common language with which investigators can generate and test hypotheses about the interactions among different pathologic processes (denoted by biomarkers) and cognitive symptoms. We appreciate the concern that this biomarker-based research framework has the potential to be misused. Therefore, we emphasize, first, it is premature and inappropriate to use this research framework in general medical practice. Second, this research framework should not be used to restrict alternative approaches to hypothesis testing that do not use biomarkers. There will be situations where biomarkers are not available or requiring them would be counterproductive to …","author":[{"dropping-particle":"","family":"Shah","given":"Sunil","non-dropping-particle":"","parse-names":false,"suffix":""},{"dropping-particle":"","family":"Chandra","given":"Anjali","non-dropping-particle":"","parse-names":false,"suffix":""},{"dropping-particle":"","family":"Kaur","given":"Amanjot","non-dropping-particle":"","parse-names":false,"suffix":""},{"dropping-particle":"","family":"Sabnis","given":"Nirupama","non-dropping-particle":"","parse-names":false,"suffix":""},{"dropping-particle":"","family":"Lacko","given":"Andras","non-dropping-particle":"","parse-names":false,"suffix":""},{"dropping-particle":"","family":"Gryczynski","given":"Zygmunt","non-dropping-particle":"","parse-names":false,"suffix":""},{"dropping-particle":"","family":"Fudala","given":"Rafal","non-dropping-particle":"","parse-names":false,"suffix":""},{"dropping-particle":"","family":"Gryczynski","given":"Ignacy","non-dropping-particle":"","parse-names":false,"suffix":""}],"container-title":"Journal of Photochemistry and Photobiology B: Biology","id":"ITEM-1","issue":"4","issued":{"date-parts":[["2017","5"]]},"page":"65-69","title":"Fluorescence properties of doxorubicin in PBS buffer and PVA films","type":"article-journal","volume":"170"},"uris":["http://www.mendeley.com/documents/?uuid=c2361c5b-822e-4919-bdff-b315372b8b12"]}],"mendeley":{"formattedCitation":"&lt;sup&gt;332&lt;/sup&gt;","plainTextFormattedCitation":"332","previouslyFormattedCitation":"&lt;sup&gt;332&lt;/sup&gt;"},"properties":{"noteIndex":0},"schema":"https://github.com/citation-style-language/schema/raw/master/csl-citation.json"}</w:instrText>
      </w:r>
      <w:r w:rsidR="007934A9">
        <w:rPr>
          <w:rFonts w:ascii="Arial" w:hAnsi="Arial" w:cs="Arial"/>
          <w:sz w:val="24"/>
          <w:szCs w:val="24"/>
        </w:rPr>
        <w:fldChar w:fldCharType="separate"/>
      </w:r>
      <w:r w:rsidR="008D4DC0" w:rsidRPr="008D4DC0">
        <w:rPr>
          <w:rFonts w:ascii="Arial" w:hAnsi="Arial" w:cs="Arial"/>
          <w:noProof/>
          <w:sz w:val="24"/>
          <w:szCs w:val="24"/>
          <w:vertAlign w:val="superscript"/>
        </w:rPr>
        <w:t>332</w:t>
      </w:r>
      <w:r w:rsidR="007934A9">
        <w:rPr>
          <w:rFonts w:ascii="Arial" w:hAnsi="Arial" w:cs="Arial"/>
          <w:sz w:val="24"/>
          <w:szCs w:val="24"/>
        </w:rPr>
        <w:fldChar w:fldCharType="end"/>
      </w:r>
      <w:r w:rsidR="007934A9">
        <w:rPr>
          <w:rFonts w:ascii="Arial" w:hAnsi="Arial" w:cs="Arial"/>
          <w:sz w:val="24"/>
          <w:szCs w:val="24"/>
        </w:rPr>
        <w:t xml:space="preserve"> Typically, a hydrophilic version of DOX, Doxorubicin hydrochloride</w:t>
      </w:r>
      <w:r w:rsidR="00C5679F">
        <w:rPr>
          <w:rFonts w:ascii="Arial" w:hAnsi="Arial" w:cs="Arial"/>
          <w:sz w:val="24"/>
          <w:szCs w:val="24"/>
        </w:rPr>
        <w:t xml:space="preserve"> (DOX-HCl)</w:t>
      </w:r>
      <w:r w:rsidR="007934A9">
        <w:rPr>
          <w:rFonts w:ascii="Arial" w:hAnsi="Arial" w:cs="Arial"/>
          <w:sz w:val="24"/>
          <w:szCs w:val="24"/>
        </w:rPr>
        <w:t xml:space="preserve">, is encapsulated into the aqueous phase of </w:t>
      </w:r>
      <w:r w:rsidR="0008500C">
        <w:rPr>
          <w:rFonts w:ascii="Arial" w:hAnsi="Arial" w:cs="Arial"/>
          <w:sz w:val="24"/>
          <w:szCs w:val="24"/>
        </w:rPr>
        <w:t xml:space="preserve">PEGylated </w:t>
      </w:r>
      <w:r w:rsidR="007934A9">
        <w:rPr>
          <w:rFonts w:ascii="Arial" w:hAnsi="Arial" w:cs="Arial"/>
          <w:sz w:val="24"/>
          <w:szCs w:val="24"/>
        </w:rPr>
        <w:t>liposomes</w:t>
      </w:r>
      <w:r w:rsidR="0008500C">
        <w:rPr>
          <w:rFonts w:ascii="Arial" w:hAnsi="Arial" w:cs="Arial"/>
          <w:sz w:val="24"/>
          <w:szCs w:val="24"/>
        </w:rPr>
        <w:t xml:space="preserve">, with one specific formulation, </w:t>
      </w:r>
      <w:proofErr w:type="spellStart"/>
      <w:r w:rsidR="0008500C">
        <w:rPr>
          <w:rFonts w:ascii="Arial" w:hAnsi="Arial" w:cs="Arial"/>
          <w:sz w:val="24"/>
          <w:szCs w:val="24"/>
        </w:rPr>
        <w:t>Doxil</w:t>
      </w:r>
      <w:proofErr w:type="spellEnd"/>
      <w:r w:rsidR="0008500C" w:rsidRPr="0008500C">
        <w:rPr>
          <w:rFonts w:ascii="Arial" w:hAnsi="Arial" w:cs="Arial"/>
          <w:sz w:val="24"/>
          <w:szCs w:val="24"/>
        </w:rPr>
        <w:t>®</w:t>
      </w:r>
      <w:r w:rsidR="0008500C">
        <w:rPr>
          <w:rFonts w:ascii="Arial" w:hAnsi="Arial" w:cs="Arial"/>
          <w:sz w:val="24"/>
          <w:szCs w:val="24"/>
        </w:rPr>
        <w:t>, having gained FDA approval for the treatment of various cancers.</w:t>
      </w:r>
      <w:r w:rsidR="0008500C">
        <w:rPr>
          <w:rFonts w:ascii="Arial" w:hAnsi="Arial" w:cs="Arial"/>
          <w:sz w:val="24"/>
          <w:szCs w:val="24"/>
        </w:rPr>
        <w:fldChar w:fldCharType="begin" w:fldLock="1"/>
      </w:r>
      <w:r w:rsidR="00E26DE5">
        <w:rPr>
          <w:rFonts w:ascii="Arial" w:hAnsi="Arial" w:cs="Arial"/>
          <w:sz w:val="24"/>
          <w:szCs w:val="24"/>
        </w:rPr>
        <w:instrText>ADDIN CSL_CITATION {"citationItems":[{"id":"ITEM-1","itemData":{"DOI":"10.1016/j.lfs.2021.119527","ISSN":"00243205","author":[{"dropping-particle":"","family":"Sritharan","given":"Sruthi","non-dropping-particle":"","parse-names":false,"suffix":""},{"dropping-particle":"","family":"Sivalingam","given":"Nageswaran","non-dropping-particle":"","parse-names":false,"suffix":""}],"container-title":"Life Sciences","id":"ITEM-1","issued":{"date-parts":[["2021","8"]]},"page":"119527","title":"A comprehensive review on time-tested anticancer drug doxorubicin","type":"article-journal","volume":"278"},"uris":["http://www.mendeley.com/documents/?uuid=2d46c405-630d-49c0-8984-c7a0e1133144"]}],"mendeley":{"formattedCitation":"&lt;sup&gt;333&lt;/sup&gt;","plainTextFormattedCitation":"333","previouslyFormattedCitation":"&lt;sup&gt;333&lt;/sup&gt;"},"properties":{"noteIndex":0},"schema":"https://github.com/citation-style-language/schema/raw/master/csl-citation.json"}</w:instrText>
      </w:r>
      <w:r w:rsidR="0008500C">
        <w:rPr>
          <w:rFonts w:ascii="Arial" w:hAnsi="Arial" w:cs="Arial"/>
          <w:sz w:val="24"/>
          <w:szCs w:val="24"/>
        </w:rPr>
        <w:fldChar w:fldCharType="separate"/>
      </w:r>
      <w:r w:rsidR="008D4DC0" w:rsidRPr="008D4DC0">
        <w:rPr>
          <w:rFonts w:ascii="Arial" w:hAnsi="Arial" w:cs="Arial"/>
          <w:noProof/>
          <w:sz w:val="24"/>
          <w:szCs w:val="24"/>
          <w:vertAlign w:val="superscript"/>
        </w:rPr>
        <w:t>333</w:t>
      </w:r>
      <w:r w:rsidR="0008500C">
        <w:rPr>
          <w:rFonts w:ascii="Arial" w:hAnsi="Arial" w:cs="Arial"/>
          <w:sz w:val="24"/>
          <w:szCs w:val="24"/>
        </w:rPr>
        <w:fldChar w:fldCharType="end"/>
      </w:r>
      <w:r w:rsidR="00E81069">
        <w:rPr>
          <w:rFonts w:ascii="Arial" w:hAnsi="Arial" w:cs="Arial"/>
          <w:sz w:val="24"/>
          <w:szCs w:val="24"/>
        </w:rPr>
        <w:t xml:space="preserve"> These properties make </w:t>
      </w:r>
      <w:r w:rsidR="00893081">
        <w:rPr>
          <w:rFonts w:ascii="Arial" w:hAnsi="Arial" w:cs="Arial"/>
          <w:sz w:val="24"/>
          <w:szCs w:val="24"/>
        </w:rPr>
        <w:t>DOX-encapsulated PEGylated liposomes</w:t>
      </w:r>
      <w:r w:rsidR="00E81069">
        <w:rPr>
          <w:rFonts w:ascii="Arial" w:hAnsi="Arial" w:cs="Arial"/>
          <w:sz w:val="24"/>
          <w:szCs w:val="24"/>
        </w:rPr>
        <w:t xml:space="preserve"> an attractive </w:t>
      </w:r>
      <w:r w:rsidR="00F97AA0">
        <w:rPr>
          <w:rFonts w:ascii="Arial" w:hAnsi="Arial" w:cs="Arial"/>
          <w:sz w:val="24"/>
          <w:szCs w:val="24"/>
        </w:rPr>
        <w:t>choice for testing the compatibility of liposomes with Magnify</w:t>
      </w:r>
      <w:r w:rsidR="00301143">
        <w:rPr>
          <w:rFonts w:ascii="Arial" w:hAnsi="Arial" w:cs="Arial"/>
          <w:sz w:val="24"/>
          <w:szCs w:val="24"/>
        </w:rPr>
        <w:t xml:space="preserve"> for visualizing intracellular distribution. </w:t>
      </w:r>
      <w:r w:rsidR="00893081">
        <w:rPr>
          <w:rFonts w:ascii="Arial" w:hAnsi="Arial" w:cs="Arial"/>
          <w:sz w:val="24"/>
          <w:szCs w:val="24"/>
        </w:rPr>
        <w:t>Here, we used commercially available Doxo</w:t>
      </w:r>
      <w:r w:rsidR="009A0688">
        <w:rPr>
          <w:rFonts w:ascii="Arial" w:hAnsi="Arial" w:cs="Arial"/>
          <w:sz w:val="24"/>
          <w:szCs w:val="24"/>
        </w:rPr>
        <w:t>ves</w:t>
      </w:r>
      <w:r w:rsidR="00893081" w:rsidRPr="0008500C">
        <w:rPr>
          <w:rFonts w:ascii="Arial" w:hAnsi="Arial" w:cs="Arial"/>
          <w:sz w:val="24"/>
          <w:szCs w:val="24"/>
        </w:rPr>
        <w:t>®</w:t>
      </w:r>
      <w:r w:rsidR="000D36E7">
        <w:rPr>
          <w:rFonts w:ascii="Arial" w:hAnsi="Arial" w:cs="Arial"/>
          <w:sz w:val="24"/>
          <w:szCs w:val="24"/>
        </w:rPr>
        <w:t>:</w:t>
      </w:r>
      <w:r w:rsidR="00290111">
        <w:rPr>
          <w:rFonts w:ascii="Arial" w:hAnsi="Arial" w:cs="Arial"/>
          <w:sz w:val="24"/>
          <w:szCs w:val="24"/>
        </w:rPr>
        <w:t xml:space="preserve"> DOX-encapsulated PEGylated liposomes that</w:t>
      </w:r>
      <w:r w:rsidR="00F75663">
        <w:rPr>
          <w:rFonts w:ascii="Arial" w:hAnsi="Arial" w:cs="Arial"/>
          <w:sz w:val="24"/>
          <w:szCs w:val="24"/>
        </w:rPr>
        <w:t xml:space="preserve"> </w:t>
      </w:r>
      <w:r w:rsidR="00290111">
        <w:rPr>
          <w:rFonts w:ascii="Arial" w:hAnsi="Arial" w:cs="Arial"/>
          <w:sz w:val="24"/>
          <w:szCs w:val="24"/>
        </w:rPr>
        <w:t>are</w:t>
      </w:r>
      <w:r w:rsidR="00F75663">
        <w:rPr>
          <w:rFonts w:ascii="Arial" w:hAnsi="Arial" w:cs="Arial"/>
          <w:sz w:val="24"/>
          <w:szCs w:val="24"/>
        </w:rPr>
        <w:t xml:space="preserve"> similar to </w:t>
      </w:r>
      <w:proofErr w:type="spellStart"/>
      <w:r w:rsidR="009A0C4B">
        <w:rPr>
          <w:rFonts w:ascii="Arial" w:hAnsi="Arial" w:cs="Arial"/>
          <w:sz w:val="24"/>
          <w:szCs w:val="24"/>
        </w:rPr>
        <w:t>Doxil</w:t>
      </w:r>
      <w:proofErr w:type="spellEnd"/>
      <w:r w:rsidR="00290111">
        <w:rPr>
          <w:rFonts w:ascii="Arial" w:hAnsi="Arial" w:cs="Arial"/>
          <w:sz w:val="24"/>
          <w:szCs w:val="24"/>
        </w:rPr>
        <w:t>. We characterized the Doxo</w:t>
      </w:r>
      <w:r w:rsidR="009A0688">
        <w:rPr>
          <w:rFonts w:ascii="Arial" w:hAnsi="Arial" w:cs="Arial"/>
          <w:sz w:val="24"/>
          <w:szCs w:val="24"/>
        </w:rPr>
        <w:t>v</w:t>
      </w:r>
      <w:r w:rsidR="00290111">
        <w:rPr>
          <w:rFonts w:ascii="Arial" w:hAnsi="Arial" w:cs="Arial"/>
          <w:sz w:val="24"/>
          <w:szCs w:val="24"/>
        </w:rPr>
        <w:t>es with dynamic light scattering (DLS) (Table S</w:t>
      </w:r>
      <w:r w:rsidR="009A0688">
        <w:rPr>
          <w:rFonts w:ascii="Arial" w:hAnsi="Arial" w:cs="Arial"/>
          <w:sz w:val="24"/>
          <w:szCs w:val="24"/>
        </w:rPr>
        <w:t>3</w:t>
      </w:r>
      <w:r w:rsidR="00290111">
        <w:rPr>
          <w:rFonts w:ascii="Arial" w:hAnsi="Arial" w:cs="Arial"/>
          <w:sz w:val="24"/>
          <w:szCs w:val="24"/>
        </w:rPr>
        <w:t>) and zeta potential (Table S</w:t>
      </w:r>
      <w:r w:rsidR="009A0688">
        <w:rPr>
          <w:rFonts w:ascii="Arial" w:hAnsi="Arial" w:cs="Arial"/>
          <w:sz w:val="24"/>
          <w:szCs w:val="24"/>
        </w:rPr>
        <w:t>4</w:t>
      </w:r>
      <w:r w:rsidR="00290111">
        <w:rPr>
          <w:rFonts w:ascii="Arial" w:hAnsi="Arial" w:cs="Arial"/>
          <w:sz w:val="24"/>
          <w:szCs w:val="24"/>
        </w:rPr>
        <w:t>).</w:t>
      </w:r>
      <w:r w:rsidR="00AC278B">
        <w:rPr>
          <w:rFonts w:ascii="Arial" w:hAnsi="Arial" w:cs="Arial"/>
          <w:sz w:val="24"/>
          <w:szCs w:val="24"/>
        </w:rPr>
        <w:t xml:space="preserve"> </w:t>
      </w:r>
      <w:r w:rsidR="006824D5">
        <w:rPr>
          <w:rFonts w:ascii="Arial" w:hAnsi="Arial" w:cs="Arial"/>
          <w:sz w:val="24"/>
          <w:szCs w:val="24"/>
        </w:rPr>
        <w:t>We incubated RAW 264.7 macrophages with 100 µg/ mL Doxoves for 3 or 24 hours before washing, fixing, and staining them with DAPI and NHS-AF647. Non-expanded cells are shown in Figure S4.1(a</w:t>
      </w:r>
      <w:r w:rsidR="002B40E9">
        <w:rPr>
          <w:rFonts w:ascii="Arial" w:hAnsi="Arial" w:cs="Arial"/>
          <w:sz w:val="24"/>
          <w:szCs w:val="24"/>
        </w:rPr>
        <w:t xml:space="preserve"> - </w:t>
      </w:r>
      <w:r w:rsidR="00024F8D">
        <w:rPr>
          <w:rFonts w:ascii="Arial" w:hAnsi="Arial" w:cs="Arial"/>
          <w:sz w:val="24"/>
          <w:szCs w:val="24"/>
        </w:rPr>
        <w:t>c</w:t>
      </w:r>
      <w:r w:rsidR="006824D5">
        <w:rPr>
          <w:rFonts w:ascii="Arial" w:hAnsi="Arial" w:cs="Arial"/>
          <w:sz w:val="24"/>
          <w:szCs w:val="24"/>
        </w:rPr>
        <w:t xml:space="preserve">). As expected, there is a visible DOX signal throughout the intracellular space of macrophages, demonstrating the uptake of the Doxoves, as well as </w:t>
      </w:r>
      <w:r w:rsidR="00C5679F">
        <w:rPr>
          <w:rFonts w:ascii="Arial" w:hAnsi="Arial" w:cs="Arial"/>
          <w:sz w:val="24"/>
          <w:szCs w:val="24"/>
        </w:rPr>
        <w:t>throughout</w:t>
      </w:r>
      <w:r w:rsidR="00F95EDB">
        <w:rPr>
          <w:rFonts w:ascii="Arial" w:hAnsi="Arial" w:cs="Arial"/>
          <w:sz w:val="24"/>
          <w:szCs w:val="24"/>
        </w:rPr>
        <w:t xml:space="preserve"> the</w:t>
      </w:r>
      <w:r w:rsidR="00C5679F">
        <w:rPr>
          <w:rFonts w:ascii="Arial" w:hAnsi="Arial" w:cs="Arial"/>
          <w:sz w:val="24"/>
          <w:szCs w:val="24"/>
        </w:rPr>
        <w:t xml:space="preserve"> DNA-rich portions</w:t>
      </w:r>
      <w:r w:rsidR="00F95EDB">
        <w:rPr>
          <w:rFonts w:ascii="Arial" w:hAnsi="Arial" w:cs="Arial"/>
          <w:sz w:val="24"/>
          <w:szCs w:val="24"/>
        </w:rPr>
        <w:t xml:space="preserve"> </w:t>
      </w:r>
      <w:r w:rsidR="00C5679F">
        <w:rPr>
          <w:rFonts w:ascii="Arial" w:hAnsi="Arial" w:cs="Arial"/>
          <w:sz w:val="24"/>
          <w:szCs w:val="24"/>
        </w:rPr>
        <w:t xml:space="preserve">of the </w:t>
      </w:r>
      <w:r w:rsidR="00F95EDB">
        <w:rPr>
          <w:rFonts w:ascii="Arial" w:hAnsi="Arial" w:cs="Arial"/>
          <w:sz w:val="24"/>
          <w:szCs w:val="24"/>
        </w:rPr>
        <w:t xml:space="preserve">nucleus, as </w:t>
      </w:r>
      <w:r w:rsidR="00C5679F">
        <w:rPr>
          <w:rFonts w:ascii="Arial" w:hAnsi="Arial" w:cs="Arial"/>
          <w:sz w:val="24"/>
          <w:szCs w:val="24"/>
        </w:rPr>
        <w:t>DOX</w:t>
      </w:r>
      <w:r w:rsidR="00F95EDB">
        <w:rPr>
          <w:rFonts w:ascii="Arial" w:hAnsi="Arial" w:cs="Arial"/>
          <w:sz w:val="24"/>
          <w:szCs w:val="24"/>
        </w:rPr>
        <w:t xml:space="preserve"> intercalates with DNA.</w:t>
      </w:r>
      <w:r w:rsidR="00F95EDB">
        <w:rPr>
          <w:rFonts w:ascii="Arial" w:hAnsi="Arial" w:cs="Arial"/>
          <w:sz w:val="24"/>
          <w:szCs w:val="24"/>
        </w:rPr>
        <w:fldChar w:fldCharType="begin" w:fldLock="1"/>
      </w:r>
      <w:r w:rsidR="00E26DE5">
        <w:rPr>
          <w:rFonts w:ascii="Arial" w:hAnsi="Arial" w:cs="Arial"/>
          <w:sz w:val="24"/>
          <w:szCs w:val="24"/>
        </w:rPr>
        <w:instrText>ADDIN CSL_CITATION {"citationItems":[{"id":"ITEM-1","itemData":{"DOI":"10.1016/j.lfs.2021.119527","ISSN":"00243205","author":[{"dropping-particle":"","family":"Sritharan","given":"Sruthi","non-dropping-particle":"","parse-names":false,"suffix":""},{"dropping-particle":"","family":"Sivalingam","given":"Nageswaran","non-dropping-particle":"","parse-names":false,"suffix":""}],"container-title":"Life Sciences","id":"ITEM-1","issued":{"date-parts":[["2021","8"]]},"page":"119527","title":"A comprehensive review on time-tested anticancer drug doxorubicin","type":"article-journal","volume":"278"},"uris":["http://www.mendeley.com/documents/?uuid=2d46c405-630d-49c0-8984-c7a0e1133144"]}],"mendeley":{"formattedCitation":"&lt;sup&gt;333&lt;/sup&gt;","plainTextFormattedCitation":"333","previouslyFormattedCitation":"&lt;sup&gt;333&lt;/sup&gt;"},"properties":{"noteIndex":0},"schema":"https://github.com/citation-style-language/schema/raw/master/csl-citation.json"}</w:instrText>
      </w:r>
      <w:r w:rsidR="00F95EDB">
        <w:rPr>
          <w:rFonts w:ascii="Arial" w:hAnsi="Arial" w:cs="Arial"/>
          <w:sz w:val="24"/>
          <w:szCs w:val="24"/>
        </w:rPr>
        <w:fldChar w:fldCharType="separate"/>
      </w:r>
      <w:r w:rsidR="008D4DC0" w:rsidRPr="008D4DC0">
        <w:rPr>
          <w:rFonts w:ascii="Arial" w:hAnsi="Arial" w:cs="Arial"/>
          <w:noProof/>
          <w:sz w:val="24"/>
          <w:szCs w:val="24"/>
          <w:vertAlign w:val="superscript"/>
        </w:rPr>
        <w:t>333</w:t>
      </w:r>
      <w:r w:rsidR="00F95EDB">
        <w:rPr>
          <w:rFonts w:ascii="Arial" w:hAnsi="Arial" w:cs="Arial"/>
          <w:sz w:val="24"/>
          <w:szCs w:val="24"/>
        </w:rPr>
        <w:fldChar w:fldCharType="end"/>
      </w:r>
      <w:r w:rsidR="00C5679F">
        <w:rPr>
          <w:rFonts w:ascii="Arial" w:hAnsi="Arial" w:cs="Arial"/>
          <w:sz w:val="24"/>
          <w:szCs w:val="24"/>
        </w:rPr>
        <w:t xml:space="preserve"> However, following Magnify expansion (Figure S4.1 (d</w:t>
      </w:r>
      <w:r w:rsidR="002B40E9">
        <w:rPr>
          <w:rFonts w:ascii="Arial" w:hAnsi="Arial" w:cs="Arial"/>
          <w:sz w:val="24"/>
          <w:szCs w:val="24"/>
        </w:rPr>
        <w:t xml:space="preserve"> - </w:t>
      </w:r>
      <w:r w:rsidR="00024F8D">
        <w:rPr>
          <w:rFonts w:ascii="Arial" w:hAnsi="Arial" w:cs="Arial"/>
          <w:sz w:val="24"/>
          <w:szCs w:val="24"/>
        </w:rPr>
        <w:t>f</w:t>
      </w:r>
      <w:r w:rsidR="00C5679F">
        <w:rPr>
          <w:rFonts w:ascii="Arial" w:hAnsi="Arial" w:cs="Arial"/>
          <w:sz w:val="24"/>
          <w:szCs w:val="24"/>
        </w:rPr>
        <w:t>)), the DOX signal is mostly lost throughout the cell, suggesting that DOX-HCl is not compatible with Magnify. It is likely that the DOX-HCl molecule is too small (</w:t>
      </w:r>
      <w:r w:rsidR="00B3563E">
        <w:rPr>
          <w:rFonts w:ascii="Arial" w:hAnsi="Arial" w:cs="Arial"/>
          <w:sz w:val="24"/>
          <w:szCs w:val="24"/>
        </w:rPr>
        <w:t>579.99 Da)</w:t>
      </w:r>
      <w:r w:rsidR="00B3563E">
        <w:rPr>
          <w:rFonts w:ascii="Arial" w:hAnsi="Arial" w:cs="Arial"/>
          <w:sz w:val="24"/>
          <w:szCs w:val="24"/>
        </w:rPr>
        <w:fldChar w:fldCharType="begin" w:fldLock="1"/>
      </w:r>
      <w:r w:rsidR="00E26DE5">
        <w:rPr>
          <w:rFonts w:ascii="Arial" w:hAnsi="Arial" w:cs="Arial"/>
          <w:sz w:val="24"/>
          <w:szCs w:val="24"/>
        </w:rPr>
        <w:instrText>ADDIN CSL_CITATION {"citationItems":[{"id":"ITEM-1","itemData":{"DOI":"10.1016/j.biomaterials.2008.12.044","ISSN":"01429612","PMID":"19135245","abstract":"We report a new process of making highly-porous large polymeric microparticles for local drug delivery to the lungs by inhalation. Poly(lactic-co-glycolic acid) (PLGA) microparticles (average diameter, 10-20 μm) were made by the double-emulsion method. To impart favorable aerodynamic properties, an effervescent salt ammonium bicarbonate (ABC) was included in the internal aqueous phase. ABC produced highly-porous structures in the PLGA particles as it escaped as ammonia and carbon dioxide. The fine-particle fraction (FPF) of the microparticles increased as a function of the ratio of ABC to PLGA. Microparticles prepared with 7.5%w/w (ABC/PLGA) had a mass median aerodynamic diameter (MMAD) of 4.0 ± 1.2 μm and FPF of 32.0 ± 9.1% when tested with Anderson Cascade Impactor (ACI) and Rotahaler. The highly-porous large particles deposited at the ACI stages corresponding to the trachea and below. The highly-porous large particles avoided phagocytosis by macrophages, while non-porous small particles were quickly taken up by the macrophages. Unlike other encapsulation methods which employ osmogens or extractable porogens, this method could encapsulate lysozyme and doxorubicin·HCl, with high encapsulation efficiency (</w:instrText>
      </w:r>
      <w:r w:rsidR="00E26DE5">
        <w:rPr>
          <w:rFonts w:ascii="Cambria Math" w:hAnsi="Cambria Math" w:cs="Cambria Math"/>
          <w:sz w:val="24"/>
          <w:szCs w:val="24"/>
        </w:rPr>
        <w:instrText>∼</w:instrText>
      </w:r>
      <w:r w:rsidR="00E26DE5">
        <w:rPr>
          <w:rFonts w:ascii="Arial" w:hAnsi="Arial" w:cs="Arial"/>
          <w:sz w:val="24"/>
          <w:szCs w:val="24"/>
        </w:rPr>
        <w:instrText>100% for both lysozyme and doxorubicin), in the PLGA microparticles characterized by desirable MMAD (4.5 ± 0.6 μm lysozyme; 4.6 ± 0.4 μm doxorubicin) and FPF (29.1 ± 12.2% lysozyme; 33.8 ± 3.6% doxorubicin). Fifty-two percent of encapsulated doxorubicin was released over 4 days from the highly-porous microparticles. This method is an efficient way of making polymeric microparticles for sustained local drug delivery by inhalation. © 2008 Elsevier Ltd. All rights reserved.","author":[{"dropping-particle":"","family":"Yang","given":"Yan","non-dropping-particle":"","parse-names":false,"suffix":""},{"dropping-particle":"","family":"Bajaj","given":"Nimisha","non-dropping-particle":"","parse-names":false,"suffix":""},{"dropping-particle":"","family":"Xu","given":"Peisheng","non-dropping-particle":"","parse-names":false,"suffix":""},{"dropping-particle":"","family":"Ohn","given":"Kimberly","non-dropping-particle":"","parse-names":false,"suffix":""},{"dropping-particle":"","family":"Tsifansky","given":"Michael D.","non-dropping-particle":"","parse-names":false,"suffix":""},{"dropping-particle":"","family":"Yeo","given":"Yoon","non-dropping-particle":"","parse-names":false,"suffix":""}],"container-title":"Biomaterials","id":"ITEM-1","issue":"10","issued":{"date-parts":[["2009","4"]]},"page":"1947-1953","publisher":"Elsevier Ltd","title":"Development of highly porous large PLGA microparticles for pulmonary drug delivery","type":"article-journal","volume":"30"},"uris":["http://www.mendeley.com/documents/?uuid=51ff29ba-2c70-4da7-92cc-8935adbad90f"]}],"mendeley":{"formattedCitation":"&lt;sup&gt;334&lt;/sup&gt;","plainTextFormattedCitation":"334","previouslyFormattedCitation":"&lt;sup&gt;334&lt;/sup&gt;"},"properties":{"noteIndex":0},"schema":"https://github.com/citation-style-language/schema/raw/master/csl-citation.json"}</w:instrText>
      </w:r>
      <w:r w:rsidR="00B3563E">
        <w:rPr>
          <w:rFonts w:ascii="Arial" w:hAnsi="Arial" w:cs="Arial"/>
          <w:sz w:val="24"/>
          <w:szCs w:val="24"/>
        </w:rPr>
        <w:fldChar w:fldCharType="separate"/>
      </w:r>
      <w:r w:rsidR="008D4DC0" w:rsidRPr="008D4DC0">
        <w:rPr>
          <w:rFonts w:ascii="Arial" w:hAnsi="Arial" w:cs="Arial"/>
          <w:noProof/>
          <w:sz w:val="24"/>
          <w:szCs w:val="24"/>
          <w:vertAlign w:val="superscript"/>
        </w:rPr>
        <w:t>334</w:t>
      </w:r>
      <w:r w:rsidR="00B3563E">
        <w:rPr>
          <w:rFonts w:ascii="Arial" w:hAnsi="Arial" w:cs="Arial"/>
          <w:sz w:val="24"/>
          <w:szCs w:val="24"/>
        </w:rPr>
        <w:fldChar w:fldCharType="end"/>
      </w:r>
      <w:r w:rsidR="00B3563E">
        <w:rPr>
          <w:rFonts w:ascii="Arial" w:hAnsi="Arial" w:cs="Arial"/>
          <w:sz w:val="24"/>
          <w:szCs w:val="24"/>
        </w:rPr>
        <w:t xml:space="preserve"> to be retained within the gel matrix throughout the expansion process, causing it to passively flow out through the pores of the gel during wash steps. Interestingly, a certain amount of DOX signal is retained in protein-rich, DNA-</w:t>
      </w:r>
      <w:r w:rsidR="00B3563E">
        <w:rPr>
          <w:rFonts w:ascii="Arial" w:hAnsi="Arial" w:cs="Arial"/>
          <w:sz w:val="24"/>
          <w:szCs w:val="24"/>
        </w:rPr>
        <w:lastRenderedPageBreak/>
        <w:t xml:space="preserve">poor regions of the </w:t>
      </w:r>
      <w:r w:rsidR="00ED3443">
        <w:rPr>
          <w:rFonts w:ascii="Arial" w:hAnsi="Arial" w:cs="Arial"/>
          <w:sz w:val="24"/>
          <w:szCs w:val="24"/>
        </w:rPr>
        <w:t>nuclei</w:t>
      </w:r>
      <w:r w:rsidR="00B3563E">
        <w:rPr>
          <w:rFonts w:ascii="Arial" w:hAnsi="Arial" w:cs="Arial"/>
          <w:sz w:val="24"/>
          <w:szCs w:val="24"/>
        </w:rPr>
        <w:t>, appearing as “holes” in the DAPI signal. We quantified this signal in expanded cells that were treated with Doxoves and were stained only with DAPI</w:t>
      </w:r>
      <w:r w:rsidR="00707788">
        <w:rPr>
          <w:rFonts w:ascii="Arial" w:hAnsi="Arial" w:cs="Arial"/>
          <w:sz w:val="24"/>
          <w:szCs w:val="24"/>
        </w:rPr>
        <w:t xml:space="preserve"> through </w:t>
      </w:r>
      <w:r w:rsidR="00590098">
        <w:rPr>
          <w:rFonts w:ascii="Arial" w:hAnsi="Arial" w:cs="Arial"/>
          <w:sz w:val="24"/>
          <w:szCs w:val="24"/>
        </w:rPr>
        <w:t>ImageJ and</w:t>
      </w:r>
      <w:r w:rsidR="00B3563E">
        <w:rPr>
          <w:rFonts w:ascii="Arial" w:hAnsi="Arial" w:cs="Arial"/>
          <w:sz w:val="24"/>
          <w:szCs w:val="24"/>
        </w:rPr>
        <w:t xml:space="preserve"> found an expected increasing signal density trend within the holes with an increased incubation time (Figure S4.1</w:t>
      </w:r>
      <w:r w:rsidR="00024F8D">
        <w:rPr>
          <w:rFonts w:ascii="Arial" w:hAnsi="Arial" w:cs="Arial"/>
          <w:sz w:val="24"/>
          <w:szCs w:val="24"/>
        </w:rPr>
        <w:t>g</w:t>
      </w:r>
      <w:r w:rsidR="00B3563E">
        <w:rPr>
          <w:rFonts w:ascii="Arial" w:hAnsi="Arial" w:cs="Arial"/>
          <w:sz w:val="24"/>
          <w:szCs w:val="24"/>
        </w:rPr>
        <w:t>)</w:t>
      </w:r>
      <w:r w:rsidR="00707788">
        <w:rPr>
          <w:rFonts w:ascii="Arial" w:hAnsi="Arial" w:cs="Arial"/>
          <w:sz w:val="24"/>
          <w:szCs w:val="24"/>
        </w:rPr>
        <w:t xml:space="preserve"> (p&lt;0.01), suggesting that the signal that appears is not </w:t>
      </w:r>
      <w:r w:rsidR="00590098">
        <w:rPr>
          <w:rFonts w:ascii="Arial" w:hAnsi="Arial" w:cs="Arial"/>
          <w:sz w:val="24"/>
          <w:szCs w:val="24"/>
        </w:rPr>
        <w:t xml:space="preserve">occurring </w:t>
      </w:r>
      <w:r w:rsidR="00707788">
        <w:rPr>
          <w:rFonts w:ascii="Arial" w:hAnsi="Arial" w:cs="Arial"/>
          <w:sz w:val="24"/>
          <w:szCs w:val="24"/>
        </w:rPr>
        <w:t>through random chance or autofluorescence.</w:t>
      </w:r>
      <w:r w:rsidR="00590098">
        <w:rPr>
          <w:rFonts w:ascii="Arial" w:hAnsi="Arial" w:cs="Arial"/>
          <w:sz w:val="24"/>
          <w:szCs w:val="24"/>
        </w:rPr>
        <w:t xml:space="preserve"> Further work is needed to determine if the DOX signal within the holes in the nuclei is a true signal </w:t>
      </w:r>
      <w:r w:rsidR="000D36E7">
        <w:rPr>
          <w:rFonts w:ascii="Arial" w:hAnsi="Arial" w:cs="Arial"/>
          <w:sz w:val="24"/>
          <w:szCs w:val="24"/>
        </w:rPr>
        <w:t>from DOX that was</w:t>
      </w:r>
      <w:r w:rsidR="00590098">
        <w:rPr>
          <w:rFonts w:ascii="Arial" w:hAnsi="Arial" w:cs="Arial"/>
          <w:sz w:val="24"/>
          <w:szCs w:val="24"/>
        </w:rPr>
        <w:t xml:space="preserve"> entrapped in the protein-rich surroundings while not being detectable in non-expanded cells due to a large difference in fluorophore density compared to the rest of the DOX within the cell, or </w:t>
      </w:r>
      <w:r w:rsidR="000D36E7">
        <w:rPr>
          <w:rFonts w:ascii="Arial" w:hAnsi="Arial" w:cs="Arial"/>
          <w:sz w:val="24"/>
          <w:szCs w:val="24"/>
        </w:rPr>
        <w:t xml:space="preserve">if it </w:t>
      </w:r>
      <w:r w:rsidR="00590098">
        <w:rPr>
          <w:rFonts w:ascii="Arial" w:hAnsi="Arial" w:cs="Arial"/>
          <w:sz w:val="24"/>
          <w:szCs w:val="24"/>
        </w:rPr>
        <w:t xml:space="preserve">is an artifact from the expansion process. </w:t>
      </w:r>
    </w:p>
    <w:p w14:paraId="24AF427E" w14:textId="6DF40ABC" w:rsidR="00BC4B84" w:rsidRDefault="00432355" w:rsidP="001C0FA4">
      <w:pPr>
        <w:spacing w:line="480" w:lineRule="auto"/>
        <w:jc w:val="both"/>
        <w:rPr>
          <w:rFonts w:ascii="Arial" w:hAnsi="Arial" w:cs="Arial"/>
          <w:sz w:val="24"/>
          <w:szCs w:val="24"/>
        </w:rPr>
      </w:pPr>
      <w:r>
        <w:rPr>
          <w:rFonts w:ascii="Arial" w:hAnsi="Arial" w:cs="Arial"/>
          <w:sz w:val="24"/>
          <w:szCs w:val="24"/>
        </w:rPr>
        <w:tab/>
      </w:r>
      <w:r w:rsidR="00D82F5E">
        <w:rPr>
          <w:rFonts w:ascii="Arial" w:hAnsi="Arial" w:cs="Arial"/>
          <w:sz w:val="24"/>
          <w:szCs w:val="24"/>
        </w:rPr>
        <w:t xml:space="preserve">To address the issue of </w:t>
      </w:r>
      <w:r w:rsidR="00A95BA7">
        <w:rPr>
          <w:rFonts w:ascii="Arial" w:hAnsi="Arial" w:cs="Arial"/>
          <w:sz w:val="24"/>
          <w:szCs w:val="24"/>
        </w:rPr>
        <w:t xml:space="preserve">the cargo not being retained through the expansion process, we synthesized liposomes that have encapsulated larger fluorescent cargo. For </w:t>
      </w:r>
      <w:r w:rsidR="000D36E7">
        <w:rPr>
          <w:rFonts w:ascii="Arial" w:hAnsi="Arial" w:cs="Arial"/>
          <w:sz w:val="24"/>
          <w:szCs w:val="24"/>
        </w:rPr>
        <w:t>this purpose</w:t>
      </w:r>
      <w:r w:rsidR="00A95BA7">
        <w:rPr>
          <w:rFonts w:ascii="Arial" w:hAnsi="Arial" w:cs="Arial"/>
          <w:sz w:val="24"/>
          <w:szCs w:val="24"/>
        </w:rPr>
        <w:t>, we selected 10 kDa dextran-AF488, which is fixable through the presence of free amines</w:t>
      </w:r>
      <w:r w:rsidR="00D1128B">
        <w:rPr>
          <w:rFonts w:ascii="Arial" w:hAnsi="Arial" w:cs="Arial"/>
          <w:sz w:val="24"/>
          <w:szCs w:val="24"/>
        </w:rPr>
        <w:t xml:space="preserve">. Liposomes were synthesized via microfluidics using a custom syringe pump </w:t>
      </w:r>
      <w:r w:rsidR="00FF6D17">
        <w:rPr>
          <w:rFonts w:ascii="Arial" w:hAnsi="Arial" w:cs="Arial"/>
          <w:sz w:val="24"/>
          <w:szCs w:val="24"/>
        </w:rPr>
        <w:t xml:space="preserve">set </w:t>
      </w:r>
      <w:r w:rsidR="00D1128B">
        <w:rPr>
          <w:rFonts w:ascii="Arial" w:hAnsi="Arial" w:cs="Arial"/>
          <w:sz w:val="24"/>
          <w:szCs w:val="24"/>
        </w:rPr>
        <w:t>that was constructed from a</w:t>
      </w:r>
      <w:r w:rsidR="00BC4B84">
        <w:rPr>
          <w:rFonts w:ascii="Arial" w:hAnsi="Arial" w:cs="Arial"/>
          <w:sz w:val="24"/>
          <w:szCs w:val="24"/>
        </w:rPr>
        <w:t>n</w:t>
      </w:r>
      <w:r w:rsidR="00D1128B">
        <w:rPr>
          <w:rFonts w:ascii="Arial" w:hAnsi="Arial" w:cs="Arial"/>
          <w:sz w:val="24"/>
          <w:szCs w:val="24"/>
        </w:rPr>
        <w:t xml:space="preserve"> Ender3 3D printer.</w:t>
      </w:r>
      <w:r w:rsidR="00D1128B">
        <w:rPr>
          <w:rFonts w:ascii="Arial" w:hAnsi="Arial" w:cs="Arial"/>
          <w:sz w:val="24"/>
          <w:szCs w:val="24"/>
        </w:rPr>
        <w:fldChar w:fldCharType="begin" w:fldLock="1"/>
      </w:r>
      <w:r w:rsidR="00E26DE5">
        <w:rPr>
          <w:rFonts w:ascii="Arial" w:hAnsi="Arial" w:cs="Arial"/>
          <w:sz w:val="24"/>
          <w:szCs w:val="24"/>
        </w:rPr>
        <w:instrText xml:space="preserve">ADDIN CSL_CITATION {"citationItems":[{"id":"ITEM-1","itemData":{"DOI":"10.1016/j.ohx.2021.e00219","ISSN":"24680672","abstract":"A cheap, open source 3D printer (Creality Ender 3) is transformed into an Open Hardware, programmable syringe pump set. Only 3 parts need to be purchased outside of the printer kit. All other parts are either in the Ender 3 kit, or can be 3D printed. No prior knowledge in electronics or programming languages is required. The pumps are controlled by the 3D printer firmware and motherboard and programmed in simple G-code text files. The total cost of a three pumps setup is </w:instrText>
      </w:r>
      <w:r w:rsidR="00E26DE5">
        <w:rPr>
          <w:rFonts w:ascii="Cambria Math" w:hAnsi="Cambria Math" w:cs="Cambria Math"/>
          <w:sz w:val="24"/>
          <w:szCs w:val="24"/>
        </w:rPr>
        <w:instrText>∼</w:instrText>
      </w:r>
      <w:r w:rsidR="00E26DE5">
        <w:rPr>
          <w:rFonts w:ascii="Arial" w:hAnsi="Arial" w:cs="Arial"/>
          <w:sz w:val="24"/>
          <w:szCs w:val="24"/>
        </w:rPr>
        <w:instrText>€170. The pumps are capable of reaching stable flows down to 5 µL/min using cheap, disposable 10 mL syringes. Higher flow speeds are also achievable, in the order of mL/min.","author":[{"dropping-particle":"","family":"Baas","given":"Sander","non-dropping-particle":"","parse-names":false,"suffix":""},{"dropping-particle":"","family":"Saggiomo","given":"Vittorio","non-dropping-particle":"","parse-names":false,"suffix":""}],"container-title":"HardwareX","id":"ITEM-1","issued":{"date-parts":[["2021","10"]]},"page":"e00219","publisher":"The Author(s)","title":"Ender3 3D printer kit transformed into open, programmable syringe pump set","type":"article-journal","volume":"10"},"uris":["http://www.mendeley.com/documents/?uuid=ab00b19d-77f0-4305-a727-cbea9ba76e0c"]}],"mendeley":{"formattedCitation":"&lt;sup&gt;335&lt;/sup&gt;","plainTextFormattedCitation":"335","previouslyFormattedCitation":"&lt;sup&gt;335&lt;/sup&gt;"},"properties":{"noteIndex":0},"schema":"https://github.com/citation-style-language/schema/raw/master/csl-citation.json"}</w:instrText>
      </w:r>
      <w:r w:rsidR="00D1128B">
        <w:rPr>
          <w:rFonts w:ascii="Arial" w:hAnsi="Arial" w:cs="Arial"/>
          <w:sz w:val="24"/>
          <w:szCs w:val="24"/>
        </w:rPr>
        <w:fldChar w:fldCharType="separate"/>
      </w:r>
      <w:r w:rsidR="008D4DC0" w:rsidRPr="008D4DC0">
        <w:rPr>
          <w:rFonts w:ascii="Arial" w:hAnsi="Arial" w:cs="Arial"/>
          <w:noProof/>
          <w:sz w:val="24"/>
          <w:szCs w:val="24"/>
          <w:vertAlign w:val="superscript"/>
        </w:rPr>
        <w:t>335</w:t>
      </w:r>
      <w:r w:rsidR="00D1128B">
        <w:rPr>
          <w:rFonts w:ascii="Arial" w:hAnsi="Arial" w:cs="Arial"/>
          <w:sz w:val="24"/>
          <w:szCs w:val="24"/>
        </w:rPr>
        <w:fldChar w:fldCharType="end"/>
      </w:r>
      <w:r w:rsidR="00D1128B">
        <w:rPr>
          <w:rFonts w:ascii="Arial" w:hAnsi="Arial" w:cs="Arial"/>
          <w:sz w:val="24"/>
          <w:szCs w:val="24"/>
        </w:rPr>
        <w:t xml:space="preserve"> Briefly, </w:t>
      </w:r>
      <w:r w:rsidR="00FF6D17">
        <w:rPr>
          <w:rFonts w:ascii="Arial" w:hAnsi="Arial" w:cs="Arial"/>
          <w:sz w:val="24"/>
          <w:szCs w:val="24"/>
        </w:rPr>
        <w:t xml:space="preserve">the two individually controlled syringe pumps are used to separately flow an organic phase (lipids and hydrophobic drugs) and an aqueous phase (hydrophilic drugs) into a T-mixer at controlled rates, with the resulting combined solution containing the newly synthesized </w:t>
      </w:r>
      <w:r w:rsidR="00BC4B84">
        <w:rPr>
          <w:rFonts w:ascii="Arial" w:hAnsi="Arial" w:cs="Arial"/>
          <w:sz w:val="24"/>
          <w:szCs w:val="24"/>
        </w:rPr>
        <w:t xml:space="preserve">drug-encapsulating </w:t>
      </w:r>
      <w:r w:rsidR="00FF6D17">
        <w:rPr>
          <w:rFonts w:ascii="Arial" w:hAnsi="Arial" w:cs="Arial"/>
          <w:sz w:val="24"/>
          <w:szCs w:val="24"/>
        </w:rPr>
        <w:t>liposomes</w:t>
      </w:r>
      <w:r w:rsidR="00C65DF1">
        <w:rPr>
          <w:rFonts w:ascii="Arial" w:hAnsi="Arial" w:cs="Arial"/>
          <w:sz w:val="24"/>
          <w:szCs w:val="24"/>
        </w:rPr>
        <w:t>.</w:t>
      </w:r>
      <w:r w:rsidR="00C65DF1" w:rsidRPr="00C65DF1">
        <w:rPr>
          <w:rFonts w:ascii="Arial" w:hAnsi="Arial" w:cs="Arial"/>
          <w:sz w:val="24"/>
          <w:szCs w:val="24"/>
        </w:rPr>
        <w:t xml:space="preserve"> </w:t>
      </w:r>
      <w:r w:rsidR="00C65DF1">
        <w:rPr>
          <w:rFonts w:ascii="Arial" w:hAnsi="Arial" w:cs="Arial"/>
          <w:sz w:val="24"/>
          <w:szCs w:val="24"/>
        </w:rPr>
        <w:t>The size of the liposomes is dependent on the flow rate ratio (FRR) of the aqueous to the organic phase.</w:t>
      </w:r>
      <w:r w:rsidR="00C65DF1">
        <w:rPr>
          <w:rFonts w:ascii="Arial" w:hAnsi="Arial" w:cs="Arial"/>
          <w:sz w:val="24"/>
          <w:szCs w:val="24"/>
        </w:rPr>
        <w:fldChar w:fldCharType="begin" w:fldLock="1"/>
      </w:r>
      <w:r w:rsidR="00E26DE5">
        <w:rPr>
          <w:rFonts w:ascii="Arial" w:hAnsi="Arial" w:cs="Arial"/>
          <w:sz w:val="24"/>
          <w:szCs w:val="24"/>
        </w:rPr>
        <w:instrText>ADDIN CSL_CITATION {"citationItems":[{"id":"ITEM-1","itemData":{"DOI":"10.1002/SMTD.201700375","ISSN":"23669608","abstract":"Lipid nanoparticles (LNPs) are currently the most clinically advanced nonviral carriers for the delivery of small interfering RNA (siRNA). Free siRNA molecules suffer from unfavorable physicochemical characteristics and rapid clearance mechanisms, hampering the ability to reach the cytoplasm of target cells when administered intravenously. As a result, the therapeutic use of siRNA is crucially dependent on delivery strategies. LNPs can encapsulate siRNA to protect it from degradative endonucleases in the circulation, prevent kidney clearance, and provide a vehicle to deliver siRNA in the cell and induce its subsequent release into the cytoplasm. Here, the structure and composition of LNP–siRNA are described including how these affect their pharmacokinetic parameters and gene-silencing activity. In addition, the evolution of LNP–siRNA production methods is discussed, as the development of rapid-mixing platforms for the reproducible and scalable manufacturing has facilitated entry of LNP–siRNA into the clinic over the last decade. Finally, the potential of LNPs in delivering other nucleic acids, such as messenger RNA and CRISPR/Cas9 components, is highlighted alongside how a design-of-experiment approach may be used to improve the efficacy of LNP formulations.","author":[{"dropping-particle":"","family":"Evers","given":"Martijn J.W.","non-dropping-particle":"","parse-names":false,"suffix":""},{"dropping-particle":"","family":"Kulkarni","given":"Jayesh A.","non-dropping-particle":"","parse-names":false,"suffix":""},{"dropping-particle":"","family":"Meel","given":"Roy","non-dropping-particle":"van der","parse-names":false,"suffix":""},{"dropping-particle":"","family":"Cullis","given":"Pieter R.","non-dropping-particle":"","parse-names":false,"suffix":""},{"dropping-particle":"","family":"Vader","given":"Pieter","non-dropping-particle":"","parse-names":false,"suffix":""},{"dropping-particle":"","family":"Schiffelers","given":"Raymond M.","non-dropping-particle":"","parse-names":false,"suffix":""}],"container-title":"Small Methods","id":"ITEM-1","issue":"9","issued":{"date-parts":[["2018"]]},"page":"1-20","title":"State-of-the-Art Design and Rapid-Mixing Production Techniques of Lipid Nanoparticles for Nucleic Acid Delivery","type":"article-journal","volume":"2"},"uris":["http://www.mendeley.com/documents/?uuid=6c37f125-3168-4dfe-bc8b-c096e531ed7c"]},{"id":"ITEM-2","itemData":{"DOI":"10.3390/mi12020170","ISSN":"2072666X","abstract":"For mass production of liposomes, we designed a plastic micro-channel device on the basis of 5 μm of micro-nozzle array forming T-junction with 100 μm depth of micro-channel. A micro-channel unit for synthesizing liposomes consisted of two micro-nozzle arrays for mixing two solutions as well as delivery and recovery channels for supplying solutions and collecting liposome suspension. The number of micro-nozzles was approximately 2400 for a micro-channel unit, and seven units were applied independently on a micro-channel plate. The plastic micro-channel plate was injection-molded for mass production using a micro-channel stamper previously fabricated by UV lithography and nickel electroforming process. A plastic cover plate with seven pairs of inlet and outlet ports was machined by mechanical milling and drilling and was assembled with a micro-channel plate using a holder to form a liposome synthesizing device. Flow and mixing of solutions in the micro-channels were tested using colored water to check the micro-fluidic characteristics of the device. Finally, a L-α-phosphatidylcholine (SOY PC) liposome was synthesized using EtOH solution of SOY PC (95%) and saline (0.85% NaOH solution) to find that the liposomes were around 230 and 260 nm in diameter, depending on the flow rate of the lipid solution.","author":[{"dropping-particle":"","family":"Woo","given":"Sang Won","non-dropping-particle":"","parse-names":false,"suffix":""},{"dropping-particle":"","family":"Jo","given":"Yun Kyong","non-dropping-particle":"","parse-names":false,"suffix":""},{"dropping-particle":"","family":"Yoo","given":"Yeong Eun","non-dropping-particle":"","parse-names":false,"suffix":""},{"dropping-particle":"","family":"Kim","given":"Sun Kyoung","non-dropping-particle":"","parse-names":false,"suffix":""}],"container-title":"Micromachines","id":"ITEM-2","issue":"2","issued":{"date-parts":[["2021"]]},"title":"High-throughput synthesis of liposome using an injection-molded plastic micro-fluidic device","type":"article-journal","volume":"12"},"uris":["http://www.mendeley.com/documents/?uuid=c8decb22-45be-427e-9f7d-d015e22bd430"]}],"mendeley":{"formattedCitation":"&lt;sup&gt;336,337&lt;/sup&gt;","plainTextFormattedCitation":"336,337","previouslyFormattedCitation":"&lt;sup&gt;336,337&lt;/sup&gt;"},"properties":{"noteIndex":0},"schema":"https://github.com/citation-style-language/schema/raw/master/csl-citation.json"}</w:instrText>
      </w:r>
      <w:r w:rsidR="00C65DF1">
        <w:rPr>
          <w:rFonts w:ascii="Arial" w:hAnsi="Arial" w:cs="Arial"/>
          <w:sz w:val="24"/>
          <w:szCs w:val="24"/>
        </w:rPr>
        <w:fldChar w:fldCharType="separate"/>
      </w:r>
      <w:r w:rsidR="008D4DC0" w:rsidRPr="008D4DC0">
        <w:rPr>
          <w:rFonts w:ascii="Arial" w:hAnsi="Arial" w:cs="Arial"/>
          <w:noProof/>
          <w:sz w:val="24"/>
          <w:szCs w:val="24"/>
          <w:vertAlign w:val="superscript"/>
        </w:rPr>
        <w:t>336,337</w:t>
      </w:r>
      <w:r w:rsidR="00C65DF1">
        <w:rPr>
          <w:rFonts w:ascii="Arial" w:hAnsi="Arial" w:cs="Arial"/>
          <w:sz w:val="24"/>
          <w:szCs w:val="24"/>
        </w:rPr>
        <w:fldChar w:fldCharType="end"/>
      </w:r>
      <w:r w:rsidR="0048167F">
        <w:rPr>
          <w:rFonts w:ascii="Arial" w:hAnsi="Arial" w:cs="Arial"/>
          <w:sz w:val="24"/>
          <w:szCs w:val="24"/>
        </w:rPr>
        <w:t xml:space="preserve"> A schematic of the microfluidic liposome synthesis setup is </w:t>
      </w:r>
      <w:r w:rsidR="00BC4B84">
        <w:rPr>
          <w:rFonts w:ascii="Arial" w:hAnsi="Arial" w:cs="Arial"/>
          <w:sz w:val="24"/>
          <w:szCs w:val="24"/>
        </w:rPr>
        <w:t>shown in Figure 4.2</w:t>
      </w:r>
      <w:r w:rsidR="00FF6D17">
        <w:rPr>
          <w:rFonts w:ascii="Arial" w:hAnsi="Arial" w:cs="Arial"/>
          <w:sz w:val="24"/>
          <w:szCs w:val="24"/>
        </w:rPr>
        <w:t>.</w:t>
      </w:r>
      <w:r w:rsidR="00C65DF1">
        <w:rPr>
          <w:rFonts w:ascii="Arial" w:hAnsi="Arial" w:cs="Arial"/>
          <w:sz w:val="24"/>
          <w:szCs w:val="24"/>
        </w:rPr>
        <w:t xml:space="preserve"> </w:t>
      </w:r>
    </w:p>
    <w:p w14:paraId="4C63655E" w14:textId="0D5BDFEA" w:rsidR="00432355" w:rsidRDefault="00BC4B84" w:rsidP="001C0FA4">
      <w:pPr>
        <w:spacing w:line="480" w:lineRule="auto"/>
        <w:jc w:val="both"/>
        <w:rPr>
          <w:rFonts w:ascii="Arial" w:hAnsi="Arial" w:cs="Arial"/>
          <w:sz w:val="24"/>
          <w:szCs w:val="24"/>
        </w:rPr>
      </w:pPr>
      <w:r>
        <w:rPr>
          <w:rFonts w:ascii="Arial" w:hAnsi="Arial" w:cs="Arial"/>
          <w:noProof/>
          <w:sz w:val="24"/>
          <w:szCs w:val="24"/>
        </w:rPr>
        <w:lastRenderedPageBreak/>
        <w:drawing>
          <wp:inline distT="0" distB="0" distL="0" distR="0" wp14:anchorId="46AB8F72" wp14:editId="1AD8D8C0">
            <wp:extent cx="5943600" cy="2181225"/>
            <wp:effectExtent l="0" t="0" r="0" b="9525"/>
            <wp:docPr id="2134468855" name="Picture 213446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181225"/>
                    </a:xfrm>
                    <a:prstGeom prst="rect">
                      <a:avLst/>
                    </a:prstGeom>
                    <a:noFill/>
                    <a:ln>
                      <a:noFill/>
                    </a:ln>
                  </pic:spPr>
                </pic:pic>
              </a:graphicData>
            </a:graphic>
          </wp:inline>
        </w:drawing>
      </w:r>
      <w:r w:rsidR="00FF6D17">
        <w:rPr>
          <w:rFonts w:ascii="Arial" w:hAnsi="Arial" w:cs="Arial"/>
          <w:sz w:val="24"/>
          <w:szCs w:val="24"/>
        </w:rPr>
        <w:t xml:space="preserve"> </w:t>
      </w:r>
    </w:p>
    <w:p w14:paraId="14E2D065" w14:textId="7D899629" w:rsidR="005F5731" w:rsidRDefault="00BC4B84" w:rsidP="005F5731">
      <w:pPr>
        <w:spacing w:line="240" w:lineRule="auto"/>
        <w:jc w:val="both"/>
        <w:rPr>
          <w:rFonts w:ascii="Arial" w:hAnsi="Arial" w:cs="Arial"/>
          <w:sz w:val="24"/>
          <w:szCs w:val="24"/>
        </w:rPr>
      </w:pPr>
      <w:r w:rsidRPr="00E57377">
        <w:rPr>
          <w:rFonts w:ascii="Arial" w:hAnsi="Arial" w:cs="Arial"/>
          <w:b/>
          <w:bCs/>
          <w:sz w:val="24"/>
          <w:szCs w:val="24"/>
        </w:rPr>
        <w:t xml:space="preserve">Figure </w:t>
      </w:r>
      <w:r>
        <w:rPr>
          <w:rFonts w:ascii="Arial" w:hAnsi="Arial" w:cs="Arial"/>
          <w:b/>
          <w:bCs/>
          <w:sz w:val="24"/>
          <w:szCs w:val="24"/>
        </w:rPr>
        <w:t>4</w:t>
      </w:r>
      <w:r w:rsidRPr="00E57377">
        <w:rPr>
          <w:rFonts w:ascii="Arial" w:hAnsi="Arial" w:cs="Arial"/>
          <w:b/>
          <w:bCs/>
          <w:sz w:val="24"/>
          <w:szCs w:val="24"/>
        </w:rPr>
        <w:t>.</w:t>
      </w:r>
      <w:r>
        <w:rPr>
          <w:rFonts w:ascii="Arial" w:hAnsi="Arial" w:cs="Arial"/>
          <w:b/>
          <w:bCs/>
          <w:sz w:val="24"/>
          <w:szCs w:val="24"/>
        </w:rPr>
        <w:t>2</w:t>
      </w:r>
      <w:r w:rsidRPr="00E57377">
        <w:rPr>
          <w:rFonts w:ascii="Arial" w:hAnsi="Arial" w:cs="Arial"/>
          <w:b/>
          <w:bCs/>
          <w:sz w:val="24"/>
          <w:szCs w:val="24"/>
        </w:rPr>
        <w:t>:</w:t>
      </w:r>
      <w:r>
        <w:rPr>
          <w:rFonts w:ascii="Arial" w:hAnsi="Arial" w:cs="Arial"/>
          <w:b/>
          <w:bCs/>
          <w:sz w:val="24"/>
          <w:szCs w:val="24"/>
        </w:rPr>
        <w:t xml:space="preserve"> Schematic of microfluidic liposome synthesis setup. </w:t>
      </w:r>
      <w:r>
        <w:rPr>
          <w:rFonts w:ascii="Arial" w:hAnsi="Arial" w:cs="Arial"/>
          <w:sz w:val="24"/>
          <w:szCs w:val="24"/>
        </w:rPr>
        <w:t xml:space="preserve">Two syringe pumps constructed from an Ender3 syringe pump are connected to a T-mixer. One syringe is filled with aqueous components, such as hydrophilic drugs dissolved in 1X PBS, while the other is filled with the organic components, such as lipids and hydrophobic drugs dissolved in ethanol. The syringe pumps can be controlled separately, allowing for the two phases to be mixed at different flow rates, with the resulting mixed solution containing liposomes with encapsulated drugs. </w:t>
      </w:r>
    </w:p>
    <w:p w14:paraId="2252929D" w14:textId="77777777" w:rsidR="005F5731" w:rsidRDefault="005F5731">
      <w:pPr>
        <w:rPr>
          <w:rFonts w:ascii="Arial" w:hAnsi="Arial" w:cs="Arial"/>
          <w:sz w:val="24"/>
          <w:szCs w:val="24"/>
        </w:rPr>
      </w:pPr>
      <w:r>
        <w:rPr>
          <w:rFonts w:ascii="Arial" w:hAnsi="Arial" w:cs="Arial"/>
          <w:sz w:val="24"/>
          <w:szCs w:val="24"/>
        </w:rPr>
        <w:br w:type="page"/>
      </w:r>
    </w:p>
    <w:p w14:paraId="7B8D79E1" w14:textId="35E9F7DC" w:rsidR="00BC4B84" w:rsidRDefault="005F5731" w:rsidP="005F5731">
      <w:pPr>
        <w:spacing w:line="480" w:lineRule="auto"/>
        <w:jc w:val="both"/>
        <w:rPr>
          <w:rFonts w:ascii="Arial" w:hAnsi="Arial" w:cs="Arial"/>
          <w:sz w:val="24"/>
          <w:szCs w:val="24"/>
        </w:rPr>
      </w:pPr>
      <w:r>
        <w:rPr>
          <w:rFonts w:ascii="Arial" w:hAnsi="Arial" w:cs="Arial"/>
          <w:sz w:val="24"/>
          <w:szCs w:val="24"/>
        </w:rPr>
        <w:lastRenderedPageBreak/>
        <w:tab/>
        <w:t>We first synthesized</w:t>
      </w:r>
      <w:r w:rsidR="00AB55E6">
        <w:rPr>
          <w:rFonts w:ascii="Arial" w:hAnsi="Arial" w:cs="Arial"/>
          <w:sz w:val="24"/>
          <w:szCs w:val="24"/>
        </w:rPr>
        <w:t xml:space="preserve"> PEGylated</w:t>
      </w:r>
      <w:r>
        <w:rPr>
          <w:rFonts w:ascii="Arial" w:hAnsi="Arial" w:cs="Arial"/>
          <w:sz w:val="24"/>
          <w:szCs w:val="24"/>
        </w:rPr>
        <w:t xml:space="preserve"> </w:t>
      </w:r>
      <w:r w:rsidR="00AB55E6">
        <w:rPr>
          <w:rFonts w:ascii="Arial" w:hAnsi="Arial" w:cs="Arial"/>
          <w:sz w:val="24"/>
          <w:szCs w:val="24"/>
        </w:rPr>
        <w:t xml:space="preserve">liposomes consisting of </w:t>
      </w:r>
      <w:r w:rsidR="007C4734" w:rsidRPr="007C4734">
        <w:rPr>
          <w:rFonts w:ascii="Arial" w:hAnsi="Arial" w:cs="Arial"/>
          <w:sz w:val="24"/>
          <w:szCs w:val="24"/>
        </w:rPr>
        <w:t>1,2-distearoyl-sn-glycero-3-phosphocholine</w:t>
      </w:r>
      <w:r w:rsidR="007C4734">
        <w:rPr>
          <w:rFonts w:ascii="Arial" w:hAnsi="Arial" w:cs="Arial"/>
          <w:sz w:val="24"/>
          <w:szCs w:val="24"/>
        </w:rPr>
        <w:t xml:space="preserve"> (DSPC), cholesterol, and </w:t>
      </w:r>
      <w:proofErr w:type="spellStart"/>
      <w:proofErr w:type="gramStart"/>
      <w:r w:rsidR="007C4734">
        <w:rPr>
          <w:rFonts w:ascii="Arial" w:hAnsi="Arial" w:cs="Arial"/>
          <w:sz w:val="24"/>
          <w:szCs w:val="24"/>
        </w:rPr>
        <w:t>mPEG</w:t>
      </w:r>
      <w:proofErr w:type="spellEnd"/>
      <w:r w:rsidR="007C4734">
        <w:rPr>
          <w:rFonts w:ascii="Arial" w:hAnsi="Arial" w:cs="Arial"/>
          <w:sz w:val="24"/>
          <w:szCs w:val="24"/>
        </w:rPr>
        <w:t>(</w:t>
      </w:r>
      <w:proofErr w:type="gramEnd"/>
      <w:r w:rsidR="007C4734">
        <w:rPr>
          <w:rFonts w:ascii="Arial" w:hAnsi="Arial" w:cs="Arial"/>
          <w:sz w:val="24"/>
          <w:szCs w:val="24"/>
        </w:rPr>
        <w:t>2 kDa)-</w:t>
      </w:r>
      <w:r w:rsidR="007C4734" w:rsidRPr="007C4734">
        <w:rPr>
          <w:rFonts w:ascii="Arial" w:hAnsi="Arial" w:cs="Arial"/>
          <w:sz w:val="24"/>
          <w:szCs w:val="24"/>
        </w:rPr>
        <w:t>1,2-Distearoyl-sn-glycero-3-phosphoethanolamine</w:t>
      </w:r>
      <w:r w:rsidR="007C4734">
        <w:rPr>
          <w:rFonts w:ascii="Arial" w:hAnsi="Arial" w:cs="Arial"/>
          <w:sz w:val="24"/>
          <w:szCs w:val="24"/>
        </w:rPr>
        <w:t xml:space="preserve"> (DSPE)</w:t>
      </w:r>
      <w:r w:rsidR="00A40B30">
        <w:rPr>
          <w:rFonts w:ascii="Arial" w:hAnsi="Arial" w:cs="Arial"/>
          <w:sz w:val="24"/>
          <w:szCs w:val="24"/>
        </w:rPr>
        <w:t xml:space="preserve"> </w:t>
      </w:r>
      <w:r w:rsidR="000839CD">
        <w:rPr>
          <w:rFonts w:ascii="Arial" w:hAnsi="Arial" w:cs="Arial"/>
          <w:sz w:val="24"/>
          <w:szCs w:val="24"/>
        </w:rPr>
        <w:t xml:space="preserve">by running those components </w:t>
      </w:r>
      <w:r w:rsidR="00A40B30">
        <w:rPr>
          <w:rFonts w:ascii="Arial" w:hAnsi="Arial" w:cs="Arial"/>
          <w:sz w:val="24"/>
          <w:szCs w:val="24"/>
        </w:rPr>
        <w:t>in a 1.8: 0.6: 0.6 mass ratio</w:t>
      </w:r>
      <w:r w:rsidR="000839CD">
        <w:rPr>
          <w:rFonts w:ascii="Arial" w:hAnsi="Arial" w:cs="Arial"/>
          <w:sz w:val="24"/>
          <w:szCs w:val="24"/>
        </w:rPr>
        <w:t xml:space="preserve"> dissolved in 100% ethanol and</w:t>
      </w:r>
      <w:r w:rsidR="007C4734">
        <w:rPr>
          <w:rFonts w:ascii="Arial" w:hAnsi="Arial" w:cs="Arial"/>
          <w:sz w:val="24"/>
          <w:szCs w:val="24"/>
        </w:rPr>
        <w:t xml:space="preserve"> </w:t>
      </w:r>
      <w:r w:rsidR="00FD544A">
        <w:rPr>
          <w:rFonts w:ascii="Arial" w:hAnsi="Arial" w:cs="Arial"/>
          <w:sz w:val="24"/>
          <w:szCs w:val="24"/>
        </w:rPr>
        <w:t>10 kDa dextran-AF488</w:t>
      </w:r>
      <w:r w:rsidR="000839CD">
        <w:rPr>
          <w:rFonts w:ascii="Arial" w:hAnsi="Arial" w:cs="Arial"/>
          <w:sz w:val="24"/>
          <w:szCs w:val="24"/>
        </w:rPr>
        <w:t xml:space="preserve"> dissolved in 1X PBS through our microfluidics setup</w:t>
      </w:r>
      <w:r w:rsidR="0048167F">
        <w:rPr>
          <w:rFonts w:ascii="Arial" w:hAnsi="Arial" w:cs="Arial"/>
          <w:sz w:val="24"/>
          <w:szCs w:val="24"/>
        </w:rPr>
        <w:t xml:space="preserve"> in a FRR of 7</w:t>
      </w:r>
      <w:r w:rsidR="00DB106D">
        <w:rPr>
          <w:rFonts w:ascii="Arial" w:hAnsi="Arial" w:cs="Arial"/>
          <w:sz w:val="24"/>
          <w:szCs w:val="24"/>
        </w:rPr>
        <w:t xml:space="preserve"> (hereafter referred to as PEG-Liposomes)</w:t>
      </w:r>
      <w:r w:rsidR="0048167F">
        <w:rPr>
          <w:rFonts w:ascii="Arial" w:hAnsi="Arial" w:cs="Arial"/>
          <w:sz w:val="24"/>
          <w:szCs w:val="24"/>
        </w:rPr>
        <w:t>.</w:t>
      </w:r>
      <w:r w:rsidR="00FD544A">
        <w:rPr>
          <w:rFonts w:ascii="Arial" w:hAnsi="Arial" w:cs="Arial"/>
          <w:sz w:val="24"/>
          <w:szCs w:val="24"/>
        </w:rPr>
        <w:t xml:space="preserve"> </w:t>
      </w:r>
      <w:r w:rsidR="00AD5CEA">
        <w:rPr>
          <w:rFonts w:ascii="Arial" w:hAnsi="Arial" w:cs="Arial"/>
          <w:sz w:val="24"/>
          <w:szCs w:val="24"/>
        </w:rPr>
        <w:t>To remove unencapsulated dextran, the liposome solutions were filtered through several successive washes in Amicon centrifugal filters (100 kDa nominal molecular weight limit)</w:t>
      </w:r>
      <w:r w:rsidR="004269B2">
        <w:rPr>
          <w:rFonts w:ascii="Arial" w:hAnsi="Arial" w:cs="Arial"/>
          <w:sz w:val="24"/>
          <w:szCs w:val="24"/>
        </w:rPr>
        <w:t xml:space="preserve"> that were pre-wet with 0.1% (w/v) bovine serum albumin (BSA) in 1X PBS</w:t>
      </w:r>
      <w:r w:rsidR="00494F6B">
        <w:rPr>
          <w:rFonts w:ascii="Arial" w:hAnsi="Arial" w:cs="Arial"/>
          <w:sz w:val="24"/>
          <w:szCs w:val="24"/>
        </w:rPr>
        <w:t xml:space="preserve"> (</w:t>
      </w:r>
      <w:r w:rsidR="00494F6B" w:rsidRPr="000D3D4F">
        <w:rPr>
          <w:rFonts w:ascii="Arial" w:hAnsi="Arial" w:cs="Arial"/>
          <w:sz w:val="24"/>
          <w:szCs w:val="24"/>
        </w:rPr>
        <w:t>see Methods section</w:t>
      </w:r>
      <w:r w:rsidR="00494F6B">
        <w:rPr>
          <w:rFonts w:ascii="Arial" w:hAnsi="Arial" w:cs="Arial"/>
          <w:sz w:val="24"/>
          <w:szCs w:val="24"/>
        </w:rPr>
        <w:t>)</w:t>
      </w:r>
      <w:r w:rsidR="00AD5CEA">
        <w:rPr>
          <w:rFonts w:ascii="Arial" w:hAnsi="Arial" w:cs="Arial"/>
          <w:sz w:val="24"/>
          <w:szCs w:val="24"/>
        </w:rPr>
        <w:t>. We characterized the resulting filtered liposomes with dynamic light scattering (DLS) (Table S3) and zeta potential (Table S4).</w:t>
      </w:r>
      <w:r w:rsidR="00383225">
        <w:rPr>
          <w:rFonts w:ascii="Arial" w:hAnsi="Arial" w:cs="Arial"/>
          <w:sz w:val="24"/>
          <w:szCs w:val="24"/>
        </w:rPr>
        <w:t xml:space="preserve"> Next, we ran an agarose gel electrophoresis to validate that a high amount of the free dextran had been removed from the liposome solution (Figure S4.2).</w:t>
      </w:r>
    </w:p>
    <w:p w14:paraId="2AFEA0E6" w14:textId="02F9B933" w:rsidR="00DB106D" w:rsidRDefault="004269B2" w:rsidP="005F5731">
      <w:pPr>
        <w:spacing w:line="480" w:lineRule="auto"/>
        <w:jc w:val="both"/>
        <w:rPr>
          <w:rFonts w:ascii="Arial" w:hAnsi="Arial" w:cs="Arial"/>
          <w:sz w:val="24"/>
          <w:szCs w:val="24"/>
        </w:rPr>
      </w:pPr>
      <w:r>
        <w:rPr>
          <w:rFonts w:ascii="Arial" w:hAnsi="Arial" w:cs="Arial"/>
          <w:sz w:val="24"/>
          <w:szCs w:val="24"/>
        </w:rPr>
        <w:tab/>
        <w:t xml:space="preserve">We then incubated RAW 264.7 macrophages with PEG-Liposomes for </w:t>
      </w:r>
      <w:r w:rsidR="00A3260C">
        <w:rPr>
          <w:rFonts w:ascii="Arial" w:hAnsi="Arial" w:cs="Arial"/>
          <w:sz w:val="24"/>
          <w:szCs w:val="24"/>
        </w:rPr>
        <w:t>24 hours and then processed them for Magnify expansion (Figure 4.3 (</w:t>
      </w:r>
      <w:proofErr w:type="spellStart"/>
      <w:proofErr w:type="gramStart"/>
      <w:r w:rsidR="00A3260C">
        <w:rPr>
          <w:rFonts w:ascii="Arial" w:hAnsi="Arial" w:cs="Arial"/>
          <w:sz w:val="24"/>
          <w:szCs w:val="24"/>
        </w:rPr>
        <w:t>a,b</w:t>
      </w:r>
      <w:proofErr w:type="spellEnd"/>
      <w:proofErr w:type="gramEnd"/>
      <w:r w:rsidR="00A3260C">
        <w:rPr>
          <w:rFonts w:ascii="Arial" w:hAnsi="Arial" w:cs="Arial"/>
          <w:sz w:val="24"/>
          <w:szCs w:val="24"/>
        </w:rPr>
        <w:t xml:space="preserve">)). </w:t>
      </w:r>
      <w:r w:rsidR="002B2AEB">
        <w:rPr>
          <w:rFonts w:ascii="Arial" w:hAnsi="Arial" w:cs="Arial"/>
          <w:sz w:val="24"/>
          <w:szCs w:val="24"/>
        </w:rPr>
        <w:t xml:space="preserve">Intracellular vesicles are visible in these bulk (pan) stained samples as dark areas within the cytoplasm as they are typically fluid filled compartments, thereby providing negative contrast against the protein-rich surroundings. </w:t>
      </w:r>
      <w:r w:rsidR="00A3260C">
        <w:rPr>
          <w:rFonts w:ascii="Arial" w:hAnsi="Arial" w:cs="Arial"/>
          <w:sz w:val="24"/>
          <w:szCs w:val="24"/>
        </w:rPr>
        <w:t>The presence of the 10 kDa dextran-AF488 signal within intracellular vesicles</w:t>
      </w:r>
      <w:r w:rsidR="0024649F">
        <w:rPr>
          <w:rFonts w:ascii="Arial" w:hAnsi="Arial" w:cs="Arial"/>
          <w:sz w:val="24"/>
          <w:szCs w:val="24"/>
        </w:rPr>
        <w:t xml:space="preserve"> in the expanded cells</w:t>
      </w:r>
      <w:r w:rsidR="008F694E">
        <w:rPr>
          <w:rFonts w:ascii="Arial" w:hAnsi="Arial" w:cs="Arial"/>
          <w:sz w:val="24"/>
          <w:szCs w:val="24"/>
        </w:rPr>
        <w:t xml:space="preserve"> </w:t>
      </w:r>
      <w:r w:rsidR="002B2AEB">
        <w:rPr>
          <w:rFonts w:ascii="Arial" w:hAnsi="Arial" w:cs="Arial"/>
          <w:sz w:val="24"/>
          <w:szCs w:val="24"/>
        </w:rPr>
        <w:t>demonstrates</w:t>
      </w:r>
      <w:r w:rsidR="0024649F">
        <w:rPr>
          <w:rFonts w:ascii="Arial" w:hAnsi="Arial" w:cs="Arial"/>
          <w:sz w:val="24"/>
          <w:szCs w:val="24"/>
        </w:rPr>
        <w:t xml:space="preserve"> that </w:t>
      </w:r>
      <w:r w:rsidR="002B2AEB">
        <w:rPr>
          <w:rFonts w:ascii="Arial" w:hAnsi="Arial" w:cs="Arial"/>
          <w:sz w:val="24"/>
          <w:szCs w:val="24"/>
        </w:rPr>
        <w:t xml:space="preserve">a larger cargo molecule size likely contributes to the retention of fluorescent liposomal cargo through the Magnify process. </w:t>
      </w:r>
    </w:p>
    <w:p w14:paraId="05302E8B" w14:textId="77777777" w:rsidR="004269B2" w:rsidRDefault="004269B2" w:rsidP="00DB106D">
      <w:pPr>
        <w:spacing w:line="480" w:lineRule="auto"/>
        <w:jc w:val="center"/>
        <w:rPr>
          <w:rFonts w:ascii="Arial" w:hAnsi="Arial" w:cs="Arial"/>
          <w:noProof/>
          <w:sz w:val="24"/>
          <w:szCs w:val="24"/>
        </w:rPr>
      </w:pPr>
    </w:p>
    <w:p w14:paraId="1CB1E025" w14:textId="1278CF47" w:rsidR="00DB106D" w:rsidRDefault="003823C2" w:rsidP="00DB106D">
      <w:pPr>
        <w:spacing w:line="480" w:lineRule="auto"/>
        <w:jc w:val="center"/>
        <w:rPr>
          <w:rFonts w:ascii="Arial" w:hAnsi="Arial" w:cs="Arial"/>
          <w:sz w:val="24"/>
          <w:szCs w:val="24"/>
        </w:rPr>
      </w:pPr>
      <w:r>
        <w:rPr>
          <w:rFonts w:ascii="Arial" w:hAnsi="Arial" w:cs="Arial"/>
          <w:noProof/>
          <w:sz w:val="24"/>
          <w:szCs w:val="24"/>
        </w:rPr>
        <w:lastRenderedPageBreak/>
        <w:drawing>
          <wp:inline distT="0" distB="0" distL="0" distR="0" wp14:anchorId="69EFCC1D" wp14:editId="269D0238">
            <wp:extent cx="5265157" cy="7444596"/>
            <wp:effectExtent l="0" t="0" r="0" b="0"/>
            <wp:docPr id="249138577" name="Picture 24913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81922" cy="7468301"/>
                    </a:xfrm>
                    <a:prstGeom prst="rect">
                      <a:avLst/>
                    </a:prstGeom>
                    <a:noFill/>
                    <a:ln>
                      <a:noFill/>
                    </a:ln>
                  </pic:spPr>
                </pic:pic>
              </a:graphicData>
            </a:graphic>
          </wp:inline>
        </w:drawing>
      </w:r>
    </w:p>
    <w:p w14:paraId="422AFEEC" w14:textId="18F0A48F" w:rsidR="002726D1" w:rsidRDefault="00DB106D" w:rsidP="002726D1">
      <w:pPr>
        <w:jc w:val="both"/>
        <w:rPr>
          <w:rFonts w:ascii="Times New Roman" w:hAnsi="Times New Roman" w:cs="Times New Roman"/>
          <w:sz w:val="24"/>
          <w:szCs w:val="24"/>
        </w:rPr>
      </w:pPr>
      <w:r w:rsidRPr="00E57377">
        <w:rPr>
          <w:rFonts w:ascii="Arial" w:hAnsi="Arial" w:cs="Arial"/>
          <w:b/>
          <w:bCs/>
          <w:sz w:val="24"/>
          <w:szCs w:val="24"/>
        </w:rPr>
        <w:t xml:space="preserve">Figure </w:t>
      </w:r>
      <w:r>
        <w:rPr>
          <w:rFonts w:ascii="Arial" w:hAnsi="Arial" w:cs="Arial"/>
          <w:b/>
          <w:bCs/>
          <w:sz w:val="24"/>
          <w:szCs w:val="24"/>
        </w:rPr>
        <w:t>4</w:t>
      </w:r>
      <w:r w:rsidRPr="00E57377">
        <w:rPr>
          <w:rFonts w:ascii="Arial" w:hAnsi="Arial" w:cs="Arial"/>
          <w:b/>
          <w:bCs/>
          <w:sz w:val="24"/>
          <w:szCs w:val="24"/>
        </w:rPr>
        <w:t>.</w:t>
      </w:r>
      <w:r w:rsidR="002726D1">
        <w:rPr>
          <w:rFonts w:ascii="Arial" w:hAnsi="Arial" w:cs="Arial"/>
          <w:b/>
          <w:bCs/>
          <w:sz w:val="24"/>
          <w:szCs w:val="24"/>
        </w:rPr>
        <w:t>3</w:t>
      </w:r>
      <w:r w:rsidRPr="00E57377">
        <w:rPr>
          <w:rFonts w:ascii="Arial" w:hAnsi="Arial" w:cs="Arial"/>
          <w:b/>
          <w:bCs/>
          <w:sz w:val="24"/>
          <w:szCs w:val="24"/>
        </w:rPr>
        <w:t>:</w:t>
      </w:r>
      <w:r w:rsidR="002726D1">
        <w:rPr>
          <w:rFonts w:ascii="Arial" w:hAnsi="Arial" w:cs="Arial"/>
          <w:b/>
          <w:bCs/>
          <w:sz w:val="24"/>
          <w:szCs w:val="24"/>
        </w:rPr>
        <w:t xml:space="preserve"> </w:t>
      </w:r>
      <w:r w:rsidR="004269B2">
        <w:rPr>
          <w:rFonts w:ascii="Arial" w:hAnsi="Arial" w:cs="Arial"/>
          <w:b/>
          <w:bCs/>
          <w:sz w:val="24"/>
          <w:szCs w:val="24"/>
        </w:rPr>
        <w:t>Magnify enables the super-resolution visualization of fluorescent liposomal cargo within individual intracellular vesicles.</w:t>
      </w:r>
      <w:r>
        <w:rPr>
          <w:rFonts w:ascii="Arial" w:hAnsi="Arial" w:cs="Arial"/>
          <w:b/>
          <w:bCs/>
          <w:sz w:val="24"/>
          <w:szCs w:val="24"/>
        </w:rPr>
        <w:t xml:space="preserve"> </w:t>
      </w:r>
      <w:r w:rsidR="002726D1" w:rsidRPr="0021334C">
        <w:rPr>
          <w:rFonts w:ascii="Arial" w:hAnsi="Arial" w:cs="Arial"/>
          <w:sz w:val="24"/>
          <w:szCs w:val="24"/>
        </w:rPr>
        <w:t xml:space="preserve">RAW 264.7 macrophages </w:t>
      </w:r>
      <w:r w:rsidR="002726D1" w:rsidRPr="0021334C">
        <w:rPr>
          <w:rFonts w:ascii="Arial" w:hAnsi="Arial" w:cs="Arial"/>
          <w:sz w:val="24"/>
          <w:szCs w:val="24"/>
        </w:rPr>
        <w:lastRenderedPageBreak/>
        <w:t xml:space="preserve">were incubated with PEG-Liposomes for 24 </w:t>
      </w:r>
      <w:r w:rsidR="008531D8">
        <w:rPr>
          <w:rFonts w:ascii="Arial" w:hAnsi="Arial" w:cs="Arial"/>
          <w:sz w:val="24"/>
          <w:szCs w:val="24"/>
        </w:rPr>
        <w:t xml:space="preserve">hours </w:t>
      </w:r>
      <w:r w:rsidR="002726D1" w:rsidRPr="0021334C">
        <w:rPr>
          <w:rFonts w:ascii="Arial" w:hAnsi="Arial" w:cs="Arial"/>
          <w:sz w:val="24"/>
          <w:szCs w:val="24"/>
        </w:rPr>
        <w:t xml:space="preserve">before being washed, fixed, and expanded with the Magnify protocol, along with non-treated controls. Non-expanded cells are shown first </w:t>
      </w:r>
      <w:r w:rsidR="002726D1" w:rsidRPr="0021334C">
        <w:rPr>
          <w:rFonts w:ascii="Arial" w:hAnsi="Arial" w:cs="Arial"/>
          <w:b/>
          <w:bCs/>
          <w:sz w:val="24"/>
          <w:szCs w:val="24"/>
        </w:rPr>
        <w:t>(a)</w:t>
      </w:r>
      <w:r w:rsidR="002726D1" w:rsidRPr="0021334C">
        <w:rPr>
          <w:rFonts w:ascii="Arial" w:hAnsi="Arial" w:cs="Arial"/>
          <w:sz w:val="24"/>
          <w:szCs w:val="24"/>
        </w:rPr>
        <w:t xml:space="preserve">, followed by expanded cells </w:t>
      </w:r>
      <w:r w:rsidR="002726D1" w:rsidRPr="0021334C">
        <w:rPr>
          <w:rFonts w:ascii="Arial" w:hAnsi="Arial" w:cs="Arial"/>
          <w:b/>
          <w:bCs/>
          <w:sz w:val="24"/>
          <w:szCs w:val="24"/>
        </w:rPr>
        <w:t>(b)</w:t>
      </w:r>
      <w:r w:rsidR="002726D1" w:rsidRPr="0021334C">
        <w:rPr>
          <w:rFonts w:ascii="Arial" w:hAnsi="Arial" w:cs="Arial"/>
          <w:sz w:val="24"/>
          <w:szCs w:val="24"/>
        </w:rPr>
        <w:t>. Cells were stained with NHS-AF647 (gray) and DAPI (blue). First the overlay of the NHS-AF647, DAPI, and 10 kDa dextran-AF488 (green) is shown, followed by a digital magnification of a region of interest. White arrows indicate the position of 10 kDa dextran-AF488 signal within intracellular vesicles. The scale bars indicate 20 µm in the unmagnified images and 5 µm in the magnified images, not corrected for expansion factors.</w:t>
      </w:r>
      <w:r w:rsidR="002726D1">
        <w:rPr>
          <w:rFonts w:ascii="Times New Roman" w:hAnsi="Times New Roman" w:cs="Times New Roman"/>
          <w:sz w:val="24"/>
          <w:szCs w:val="24"/>
        </w:rPr>
        <w:t xml:space="preserve"> </w:t>
      </w:r>
    </w:p>
    <w:p w14:paraId="6D9565C1" w14:textId="06828346" w:rsidR="005F5731" w:rsidRDefault="005F5731" w:rsidP="005F5731">
      <w:pPr>
        <w:spacing w:line="480" w:lineRule="auto"/>
        <w:jc w:val="both"/>
        <w:rPr>
          <w:rFonts w:ascii="Arial" w:hAnsi="Arial" w:cs="Arial"/>
          <w:sz w:val="24"/>
          <w:szCs w:val="24"/>
        </w:rPr>
      </w:pPr>
    </w:p>
    <w:p w14:paraId="5F6D69E2" w14:textId="53B80016" w:rsidR="002B2AEB" w:rsidRDefault="002B2AEB">
      <w:pPr>
        <w:rPr>
          <w:rFonts w:ascii="Arial" w:hAnsi="Arial" w:cs="Arial"/>
          <w:sz w:val="24"/>
          <w:szCs w:val="24"/>
        </w:rPr>
      </w:pPr>
      <w:r>
        <w:rPr>
          <w:rFonts w:ascii="Arial" w:hAnsi="Arial" w:cs="Arial"/>
          <w:sz w:val="24"/>
          <w:szCs w:val="24"/>
        </w:rPr>
        <w:br w:type="page"/>
      </w:r>
    </w:p>
    <w:p w14:paraId="54E82588" w14:textId="4EE99A6A" w:rsidR="005F5731" w:rsidRDefault="002B2AEB" w:rsidP="005F5731">
      <w:pPr>
        <w:spacing w:line="480" w:lineRule="auto"/>
        <w:jc w:val="both"/>
        <w:rPr>
          <w:rFonts w:ascii="Arial" w:hAnsi="Arial" w:cs="Arial"/>
          <w:sz w:val="24"/>
          <w:szCs w:val="24"/>
        </w:rPr>
      </w:pPr>
      <w:r>
        <w:rPr>
          <w:rFonts w:ascii="Arial" w:hAnsi="Arial" w:cs="Arial"/>
          <w:sz w:val="24"/>
          <w:szCs w:val="24"/>
        </w:rPr>
        <w:lastRenderedPageBreak/>
        <w:tab/>
      </w:r>
      <w:r w:rsidR="0049023A">
        <w:rPr>
          <w:rFonts w:ascii="Arial" w:hAnsi="Arial" w:cs="Arial"/>
          <w:sz w:val="24"/>
          <w:szCs w:val="24"/>
        </w:rPr>
        <w:t>Given that the 10</w:t>
      </w:r>
      <w:r w:rsidR="002F3D60">
        <w:rPr>
          <w:rFonts w:ascii="Arial" w:hAnsi="Arial" w:cs="Arial"/>
          <w:sz w:val="24"/>
          <w:szCs w:val="24"/>
        </w:rPr>
        <w:t xml:space="preserve"> </w:t>
      </w:r>
      <w:r w:rsidR="0049023A">
        <w:rPr>
          <w:rFonts w:ascii="Arial" w:hAnsi="Arial" w:cs="Arial"/>
          <w:sz w:val="24"/>
          <w:szCs w:val="24"/>
        </w:rPr>
        <w:t xml:space="preserve">kDa-dextran-AF488 </w:t>
      </w:r>
      <w:proofErr w:type="gramStart"/>
      <w:r w:rsidR="0049023A">
        <w:rPr>
          <w:rFonts w:ascii="Arial" w:hAnsi="Arial" w:cs="Arial"/>
          <w:sz w:val="24"/>
          <w:szCs w:val="24"/>
        </w:rPr>
        <w:t>signal</w:t>
      </w:r>
      <w:proofErr w:type="gramEnd"/>
      <w:r w:rsidR="0049023A">
        <w:rPr>
          <w:rFonts w:ascii="Arial" w:hAnsi="Arial" w:cs="Arial"/>
          <w:sz w:val="24"/>
          <w:szCs w:val="24"/>
        </w:rPr>
        <w:t xml:space="preserve"> in the expanded cells was relatively weak, we next investigated ways to increase the uptake of liposomes in the cells. </w:t>
      </w:r>
      <w:r w:rsidR="001709BA">
        <w:rPr>
          <w:rFonts w:ascii="Arial" w:hAnsi="Arial" w:cs="Arial"/>
          <w:sz w:val="24"/>
          <w:szCs w:val="24"/>
        </w:rPr>
        <w:t>Previous work has demonstrated that liposomes coated with the polysaccharide heparosan (HEP) have higher uptake in RAW 264.7 macrophages than PEGylated liposomes.</w:t>
      </w:r>
      <w:r w:rsidR="001709BA">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301&lt;/sup&gt;","plainTextFormattedCitation":"301","previouslyFormattedCitation":"&lt;sup&gt;301&lt;/sup&gt;"},"properties":{"noteIndex":0},"schema":"https://github.com/citation-style-language/schema/raw/master/csl-citation.json"}</w:instrText>
      </w:r>
      <w:r w:rsidR="001709BA">
        <w:rPr>
          <w:rFonts w:ascii="Arial" w:hAnsi="Arial" w:cs="Arial"/>
          <w:sz w:val="24"/>
          <w:szCs w:val="24"/>
        </w:rPr>
        <w:fldChar w:fldCharType="separate"/>
      </w:r>
      <w:r w:rsidR="009D7D40" w:rsidRPr="009D7D40">
        <w:rPr>
          <w:rFonts w:ascii="Arial" w:hAnsi="Arial" w:cs="Arial"/>
          <w:noProof/>
          <w:sz w:val="24"/>
          <w:szCs w:val="24"/>
          <w:vertAlign w:val="superscript"/>
        </w:rPr>
        <w:t>301</w:t>
      </w:r>
      <w:r w:rsidR="001709BA">
        <w:rPr>
          <w:rFonts w:ascii="Arial" w:hAnsi="Arial" w:cs="Arial"/>
          <w:sz w:val="24"/>
          <w:szCs w:val="24"/>
        </w:rPr>
        <w:fldChar w:fldCharType="end"/>
      </w:r>
      <w:r w:rsidR="00C848EB">
        <w:rPr>
          <w:rFonts w:ascii="Arial" w:hAnsi="Arial" w:cs="Arial"/>
          <w:sz w:val="24"/>
          <w:szCs w:val="24"/>
        </w:rPr>
        <w:t xml:space="preserve"> We synthesized</w:t>
      </w:r>
      <w:r w:rsidR="000839CD">
        <w:rPr>
          <w:rFonts w:ascii="Arial" w:hAnsi="Arial" w:cs="Arial"/>
          <w:sz w:val="24"/>
          <w:szCs w:val="24"/>
        </w:rPr>
        <w:t xml:space="preserve"> HEPylated liposomes by first synthesizing liposomes with a free thiol group that allow</w:t>
      </w:r>
      <w:r w:rsidR="00494F6B">
        <w:rPr>
          <w:rFonts w:ascii="Arial" w:hAnsi="Arial" w:cs="Arial"/>
          <w:sz w:val="24"/>
          <w:szCs w:val="24"/>
        </w:rPr>
        <w:t>s</w:t>
      </w:r>
      <w:r w:rsidR="000839CD">
        <w:rPr>
          <w:rFonts w:ascii="Arial" w:hAnsi="Arial" w:cs="Arial"/>
          <w:sz w:val="24"/>
          <w:szCs w:val="24"/>
        </w:rPr>
        <w:t xml:space="preserve"> for conjugation to HEP-</w:t>
      </w:r>
      <w:r w:rsidR="000839CD" w:rsidRPr="000839CD">
        <w:t xml:space="preserve"> </w:t>
      </w:r>
      <w:r w:rsidR="000839CD" w:rsidRPr="000839CD">
        <w:rPr>
          <w:rFonts w:ascii="Arial" w:hAnsi="Arial" w:cs="Arial"/>
          <w:sz w:val="24"/>
          <w:szCs w:val="24"/>
        </w:rPr>
        <w:t>orthopyridyl disulfide</w:t>
      </w:r>
      <w:r w:rsidR="000839CD">
        <w:rPr>
          <w:rFonts w:ascii="Arial" w:hAnsi="Arial" w:cs="Arial"/>
          <w:sz w:val="24"/>
          <w:szCs w:val="24"/>
        </w:rPr>
        <w:t xml:space="preserve"> (HEP-OPSS). </w:t>
      </w:r>
      <w:r w:rsidR="001F5654">
        <w:rPr>
          <w:rFonts w:ascii="Arial" w:hAnsi="Arial" w:cs="Arial"/>
          <w:sz w:val="24"/>
          <w:szCs w:val="24"/>
        </w:rPr>
        <w:t>We synthesized these</w:t>
      </w:r>
      <w:r w:rsidR="000839CD">
        <w:rPr>
          <w:rFonts w:ascii="Arial" w:hAnsi="Arial" w:cs="Arial"/>
          <w:sz w:val="24"/>
          <w:szCs w:val="24"/>
        </w:rPr>
        <w:t xml:space="preserve"> liposomes</w:t>
      </w:r>
      <w:r w:rsidR="001F5654">
        <w:rPr>
          <w:rFonts w:ascii="Arial" w:hAnsi="Arial" w:cs="Arial"/>
          <w:sz w:val="24"/>
          <w:szCs w:val="24"/>
        </w:rPr>
        <w:t xml:space="preserve"> consisting</w:t>
      </w:r>
      <w:r w:rsidR="000839CD">
        <w:rPr>
          <w:rFonts w:ascii="Arial" w:hAnsi="Arial" w:cs="Arial"/>
          <w:sz w:val="24"/>
          <w:szCs w:val="24"/>
        </w:rPr>
        <w:t xml:space="preserve"> of DSPC, cholesterol, and </w:t>
      </w:r>
      <w:r w:rsidR="001F5654" w:rsidRPr="001F5654">
        <w:rPr>
          <w:rFonts w:ascii="Arial" w:hAnsi="Arial" w:cs="Arial"/>
          <w:sz w:val="24"/>
          <w:szCs w:val="24"/>
        </w:rPr>
        <w:t>1,2-Dipalmitoyl-sn-Glycero-3-Phosphothioethanol</w:t>
      </w:r>
      <w:r w:rsidR="001F5654">
        <w:rPr>
          <w:rFonts w:ascii="Arial" w:hAnsi="Arial" w:cs="Arial"/>
          <w:sz w:val="24"/>
          <w:szCs w:val="24"/>
        </w:rPr>
        <w:t xml:space="preserve"> (Ptd thioethanol) in a 6.0: 2.0: 0.3 mass ratio dissolved in 100% ethanol and 10 kDa dextran-AF488 dissolved in 1X PBS through our microfluidics setup in a FRR of 7 (hereafter referred to as Thiol-Liposomes). </w:t>
      </w:r>
      <w:r w:rsidR="001F18AC">
        <w:rPr>
          <w:rFonts w:ascii="Arial" w:hAnsi="Arial" w:cs="Arial"/>
          <w:sz w:val="24"/>
          <w:szCs w:val="24"/>
        </w:rPr>
        <w:t>The Thiol-Liposomes were then mixed with HEP-OPSS at a 1:1 molar ratio of Ptd thioethanol to HEP-OPSS for 2 hours on a tube rotator</w:t>
      </w:r>
      <w:r w:rsidR="0084127C">
        <w:rPr>
          <w:rFonts w:ascii="Arial" w:hAnsi="Arial" w:cs="Arial"/>
          <w:sz w:val="24"/>
          <w:szCs w:val="24"/>
        </w:rPr>
        <w:t xml:space="preserve">, resulting in HEPylated liposomes (HEP-Liposomes), as validated by an increase in the hydrodynamic diameter of the liposomes </w:t>
      </w:r>
      <w:r w:rsidR="00BA3586">
        <w:rPr>
          <w:rFonts w:ascii="Arial" w:hAnsi="Arial" w:cs="Arial"/>
          <w:sz w:val="24"/>
          <w:szCs w:val="24"/>
        </w:rPr>
        <w:t>by 25.6 +/- 1.5 nm (propagation of error) as</w:t>
      </w:r>
      <w:r w:rsidR="0084127C">
        <w:rPr>
          <w:rFonts w:ascii="Arial" w:hAnsi="Arial" w:cs="Arial"/>
          <w:sz w:val="24"/>
          <w:szCs w:val="24"/>
        </w:rPr>
        <w:t xml:space="preserve"> measured by DLS (Table S3) and an expected negative zeta potential (Table S4). </w:t>
      </w:r>
      <w:r w:rsidR="00BA3586">
        <w:rPr>
          <w:rFonts w:ascii="Arial" w:hAnsi="Arial" w:cs="Arial"/>
          <w:sz w:val="24"/>
          <w:szCs w:val="24"/>
        </w:rPr>
        <w:t>Furthermore,</w:t>
      </w:r>
      <w:r w:rsidR="003E39D8">
        <w:rPr>
          <w:rFonts w:ascii="Arial" w:hAnsi="Arial" w:cs="Arial"/>
          <w:sz w:val="24"/>
          <w:szCs w:val="24"/>
        </w:rPr>
        <w:t xml:space="preserve"> the low liposome uptake seen in Figure 4.3 could potentially be attributed to a low number of liposomes being incubated with the cells. Liposomes are likely to be lost after getting stuck on the Amicon centrifugal filter membranes during each filtration step, so a reduction in the number of necessary filtration steps to achieve a sufficiently purified liposome solution would be needed. T</w:t>
      </w:r>
      <w:r w:rsidR="00BA3586">
        <w:rPr>
          <w:rFonts w:ascii="Arial" w:hAnsi="Arial" w:cs="Arial"/>
          <w:sz w:val="24"/>
          <w:szCs w:val="24"/>
        </w:rPr>
        <w:t xml:space="preserve">o decrease the number of liposomes that are lost during the washes in the Amicon centrifugal filters, we first dialyzed the HEP-Liposomes against chilled 1X PBS overnight using a dialysis membrane with a 12-14 kDa molecular weight cutoff to remove residual ethanol in the liposome solution, which could potentially damage the </w:t>
      </w:r>
      <w:r w:rsidR="00EF7575">
        <w:rPr>
          <w:rFonts w:ascii="Arial" w:hAnsi="Arial" w:cs="Arial"/>
          <w:sz w:val="24"/>
          <w:szCs w:val="24"/>
        </w:rPr>
        <w:t xml:space="preserve">centrifugal filter membrane. We observed that the </w:t>
      </w:r>
      <w:r w:rsidR="00EF7575">
        <w:rPr>
          <w:rFonts w:ascii="Arial" w:hAnsi="Arial" w:cs="Arial"/>
          <w:sz w:val="24"/>
          <w:szCs w:val="24"/>
        </w:rPr>
        <w:lastRenderedPageBreak/>
        <w:t xml:space="preserve">dialysis did improve the efficiency of the centrifugal filtration, </w:t>
      </w:r>
      <w:r w:rsidR="003E39D8">
        <w:rPr>
          <w:rFonts w:ascii="Arial" w:hAnsi="Arial" w:cs="Arial"/>
          <w:sz w:val="24"/>
          <w:szCs w:val="24"/>
        </w:rPr>
        <w:t>with a &gt;2.5X higher concentration increase in a single filtration step compared to undialyzed liposome solutions, thereby reducing the number of filtration steps needed to achieve a similar level of purification. We then once again ran an agarose gel electrophoresis to validate that a high amount of the free dextran had been removed from the liposome solution (Figure S4.3)</w:t>
      </w:r>
      <w:r w:rsidR="005B5163">
        <w:rPr>
          <w:rFonts w:ascii="Arial" w:hAnsi="Arial" w:cs="Arial"/>
          <w:sz w:val="24"/>
          <w:szCs w:val="24"/>
        </w:rPr>
        <w:t>. Next, we incubated RAW 264.7 macrophages with HEP-Liposomes for 3 or 24 hours and then processed them for Magnify expansion. Figure 4.4(a-c) show</w:t>
      </w:r>
      <w:r w:rsidR="002F3D60">
        <w:rPr>
          <w:rFonts w:ascii="Arial" w:hAnsi="Arial" w:cs="Arial"/>
          <w:sz w:val="24"/>
          <w:szCs w:val="24"/>
        </w:rPr>
        <w:t>s</w:t>
      </w:r>
      <w:r w:rsidR="005B5163">
        <w:rPr>
          <w:rFonts w:ascii="Arial" w:hAnsi="Arial" w:cs="Arial"/>
          <w:sz w:val="24"/>
          <w:szCs w:val="24"/>
        </w:rPr>
        <w:t xml:space="preserve"> non-expanded RAW 264.7 macrophages </w:t>
      </w:r>
      <w:r w:rsidR="002F3D60">
        <w:rPr>
          <w:rFonts w:ascii="Arial" w:hAnsi="Arial" w:cs="Arial"/>
          <w:sz w:val="24"/>
          <w:szCs w:val="24"/>
        </w:rPr>
        <w:t xml:space="preserve">that were treated with </w:t>
      </w:r>
      <w:proofErr w:type="spellStart"/>
      <w:r w:rsidR="002F3D60">
        <w:rPr>
          <w:rFonts w:ascii="Arial" w:hAnsi="Arial" w:cs="Arial"/>
          <w:sz w:val="24"/>
          <w:szCs w:val="24"/>
        </w:rPr>
        <w:t>HEP-liposomes</w:t>
      </w:r>
      <w:proofErr w:type="spellEnd"/>
      <w:r w:rsidR="002F3D60">
        <w:rPr>
          <w:rFonts w:ascii="Arial" w:hAnsi="Arial" w:cs="Arial"/>
          <w:sz w:val="24"/>
          <w:szCs w:val="24"/>
        </w:rPr>
        <w:t xml:space="preserve"> for 3 hours, 24 hours, and non-treated controls respectively. Figure 4.4 (d-f) show these same conditions after Magnify processing, first as 3D reconstructions of Z-stacks followed by individual slices from those stacks. These individual slices depict much </w:t>
      </w:r>
      <w:r w:rsidR="00844B74">
        <w:rPr>
          <w:rFonts w:ascii="Arial" w:hAnsi="Arial" w:cs="Arial"/>
          <w:sz w:val="24"/>
          <w:szCs w:val="24"/>
        </w:rPr>
        <w:t xml:space="preserve">higher levels </w:t>
      </w:r>
      <w:r w:rsidR="00494F6B">
        <w:rPr>
          <w:rFonts w:ascii="Arial" w:hAnsi="Arial" w:cs="Arial"/>
          <w:sz w:val="24"/>
          <w:szCs w:val="24"/>
        </w:rPr>
        <w:t>of 10</w:t>
      </w:r>
      <w:r w:rsidR="002F3D60">
        <w:rPr>
          <w:rFonts w:ascii="Arial" w:hAnsi="Arial" w:cs="Arial"/>
          <w:sz w:val="24"/>
          <w:szCs w:val="24"/>
        </w:rPr>
        <w:t xml:space="preserve"> kDa-dextran-AF488 signal within intracellular vesicles than cells that were treated with PEG-Liposomes, especially at a much shorter incubation timepoint of 3 hours compared to the 24-hour incubation of the PEG-Liposomes. </w:t>
      </w:r>
      <w:r w:rsidR="0021334C">
        <w:rPr>
          <w:rFonts w:ascii="Arial" w:hAnsi="Arial" w:cs="Arial"/>
          <w:sz w:val="24"/>
          <w:szCs w:val="24"/>
        </w:rPr>
        <w:t xml:space="preserve">Furthermore, there are visible differences in the distribution of the </w:t>
      </w:r>
      <w:proofErr w:type="spellStart"/>
      <w:r w:rsidR="0021334C">
        <w:rPr>
          <w:rFonts w:ascii="Arial" w:hAnsi="Arial" w:cs="Arial"/>
          <w:sz w:val="24"/>
          <w:szCs w:val="24"/>
        </w:rPr>
        <w:t>HEP-liposomes</w:t>
      </w:r>
      <w:proofErr w:type="spellEnd"/>
      <w:r w:rsidR="0021334C">
        <w:rPr>
          <w:rFonts w:ascii="Arial" w:hAnsi="Arial" w:cs="Arial"/>
          <w:sz w:val="24"/>
          <w:szCs w:val="24"/>
        </w:rPr>
        <w:t xml:space="preserve"> across the macrophages that were incubated for 3 hours compared to 24 hours</w:t>
      </w:r>
      <w:r w:rsidR="00844B74">
        <w:rPr>
          <w:rFonts w:ascii="Arial" w:hAnsi="Arial" w:cs="Arial"/>
          <w:sz w:val="24"/>
          <w:szCs w:val="24"/>
        </w:rPr>
        <w:t xml:space="preserve">. These findings </w:t>
      </w:r>
      <w:r w:rsidR="0021334C">
        <w:rPr>
          <w:rFonts w:ascii="Arial" w:hAnsi="Arial" w:cs="Arial"/>
          <w:sz w:val="24"/>
          <w:szCs w:val="24"/>
        </w:rPr>
        <w:t>suggest that this method can be used for quantifying th</w:t>
      </w:r>
      <w:r w:rsidR="00844B74">
        <w:rPr>
          <w:rFonts w:ascii="Arial" w:hAnsi="Arial" w:cs="Arial"/>
          <w:sz w:val="24"/>
          <w:szCs w:val="24"/>
        </w:rPr>
        <w:t>e intracellular distribution patterns of</w:t>
      </w:r>
      <w:r w:rsidR="00C56502">
        <w:rPr>
          <w:rFonts w:ascii="Arial" w:hAnsi="Arial" w:cs="Arial"/>
          <w:sz w:val="24"/>
          <w:szCs w:val="24"/>
        </w:rPr>
        <w:t xml:space="preserve"> liposome</w:t>
      </w:r>
      <w:r w:rsidR="001D4AA5">
        <w:rPr>
          <w:rFonts w:ascii="Arial" w:hAnsi="Arial" w:cs="Arial"/>
          <w:sz w:val="24"/>
          <w:szCs w:val="24"/>
        </w:rPr>
        <w:t>-</w:t>
      </w:r>
      <w:r w:rsidR="0091467A">
        <w:rPr>
          <w:rFonts w:ascii="Arial" w:hAnsi="Arial" w:cs="Arial"/>
          <w:sz w:val="24"/>
          <w:szCs w:val="24"/>
        </w:rPr>
        <w:t>encapsulated</w:t>
      </w:r>
      <w:r w:rsidR="00844B74">
        <w:rPr>
          <w:rFonts w:ascii="Arial" w:hAnsi="Arial" w:cs="Arial"/>
          <w:sz w:val="24"/>
          <w:szCs w:val="24"/>
        </w:rPr>
        <w:t xml:space="preserve"> large </w:t>
      </w:r>
      <w:r w:rsidR="0091467A">
        <w:rPr>
          <w:rFonts w:ascii="Arial" w:hAnsi="Arial" w:cs="Arial"/>
          <w:sz w:val="24"/>
          <w:szCs w:val="24"/>
        </w:rPr>
        <w:t>molecule drugs</w:t>
      </w:r>
      <w:r w:rsidR="00C56502">
        <w:rPr>
          <w:rFonts w:ascii="Arial" w:hAnsi="Arial" w:cs="Arial"/>
          <w:sz w:val="24"/>
          <w:szCs w:val="24"/>
        </w:rPr>
        <w:t xml:space="preserve"> that have </w:t>
      </w:r>
      <w:r w:rsidR="001D4AA5">
        <w:rPr>
          <w:rFonts w:ascii="Arial" w:hAnsi="Arial" w:cs="Arial"/>
          <w:sz w:val="24"/>
          <w:szCs w:val="24"/>
        </w:rPr>
        <w:t>demonstrated anti-cancer properties</w:t>
      </w:r>
      <w:r w:rsidR="00C56502">
        <w:rPr>
          <w:rFonts w:ascii="Arial" w:hAnsi="Arial" w:cs="Arial"/>
          <w:sz w:val="24"/>
          <w:szCs w:val="24"/>
        </w:rPr>
        <w:t xml:space="preserve">, </w:t>
      </w:r>
      <w:r w:rsidR="0091467A">
        <w:rPr>
          <w:rFonts w:ascii="Arial" w:hAnsi="Arial" w:cs="Arial"/>
          <w:sz w:val="24"/>
          <w:szCs w:val="24"/>
        </w:rPr>
        <w:t>such as chitosan</w:t>
      </w:r>
      <w:r w:rsidR="00C56502">
        <w:rPr>
          <w:rFonts w:ascii="Arial" w:hAnsi="Arial" w:cs="Arial"/>
          <w:sz w:val="24"/>
          <w:szCs w:val="24"/>
        </w:rPr>
        <w:fldChar w:fldCharType="begin" w:fldLock="1"/>
      </w:r>
      <w:r w:rsidR="00E26DE5">
        <w:rPr>
          <w:rFonts w:ascii="Arial" w:hAnsi="Arial" w:cs="Arial"/>
          <w:sz w:val="24"/>
          <w:szCs w:val="24"/>
        </w:rPr>
        <w:instrText>ADDIN CSL_CITATION {"citationItems":[{"id":"ITEM-1","itemData":{"DOI":"10.1155/2018/2952085","ISSN":"1687-8787","abstract":"Tailoring of chitosan through the involvement of its amino, acetamido, and hydroxy groups can give derivatives of enhanced solubility and remarkable anticancer activity. The general mechanism of such activity is associated with the disturbances in normal functioning of cell cycle, interference to the central dogma of biological system from DNA to RNA to protein or enzymatic synthesis, and the disruption of hormonal path to biosynthesis to inhibit the growth of cancer cells. Both chitosan and its various derivatives have been reported to selectively permeate through the cancer cell membranes and show anticancer activity through the cellular enzymatic, antiangiogenic, immunoenhancing, antioxidant defense mechanism, and apoptotic pathways. They get sequestered from noncancer cells and provide their enhanced bioavailability in cancer cells in a sustained release manner. This review presents the putative mechanisms of anticancer activity of chitosan and mechanistic approaches of structure activity relation upon the modification of chitosan through functionalization, complex formation, and graft copolymerization to give different derivatives.","author":[{"dropping-particle":"","family":"Adhikari","given":"Hari Sharan","non-dropping-particle":"","parse-names":false,"suffix":""},{"dropping-particle":"","family":"Yadav","given":"Paras Nath","non-dropping-particle":"","parse-names":false,"suffix":""}],"container-title":"International Journal of Biomaterials","id":"ITEM-1","issued":{"date-parts":[["2018","12","30"]]},"page":"1-29","publisher":"Hindawi","title":"Anticancer Activity of Chitosan, Chitosan Derivatives, and Their Mechanism of Action","type":"article-journal","volume":"2018"},"uris":["http://www.mendeley.com/documents/?uuid=67029413-d277-4c8f-8bb0-efe5412407ba"]},{"id":"ITEM-2","itemData":{"DOI":"10.1248/bpb.28.387","ISSN":"09186158","PMID":"15684508","abstract":"Liposomes are an important colloidal carrier system for controlled drug delivery. However some highly hydrophilic small molecules are difficult to entrap into liposomes and store stably, resulting in poor encapsulation efficiency and fast leakage. In the present work, fluorescein sodium (FS) was used as a model drug that was loaded into chitosan nanoparticles and then encapsulated into liposomes by reverse-phase evaporation (RPV). The encapsulation efficiency, particle size, zeta potential, release in vitro and pharmacokinetics in rats were determined in order to characterize the novel drug delivery system. The entrapment efficiency was above 80% in nanoparticles (Np) and 95% in liposomes encapsulating the nanoparticles (Lip-Np). The Lip-Np was composed of soybean phospholipids, cholesterol and chitosan, which the average diameter was 202.6 nm and zeta potential was -34.8 mV. The release rate of fluorescein sodium from Lip-Np was slower than from Np and liposomes. FS in Lip-Np administered to rats exhibited prolonged circulation and higher bioavailability than FS in Np. The results indicated that liposomal release kinetics can be controlled by encapsulating nanoparticles and thus solid-cored liposomes can be used as a potential drug delivery system. © 2005 Pharmaceutical Society of Japan.","author":[{"dropping-particle":"","family":"Huang","given":"Yong Zhuo","non-dropping-particle":"","parse-names":false,"suffix":""},{"dropping-particle":"","family":"Gao","given":"Jian Qing","non-dropping-particle":"","parse-names":false,"suffix":""},{"dropping-particle":"","family":"Liang","given":"Wen Quan","non-dropping-particle":"","parse-names":false,"suffix":""},{"dropping-particle":"","family":"Nakagawa","given":"Shinsaku","non-dropping-particle":"","parse-names":false,"suffix":""}],"container-title":"Biological and Pharmaceutical Bulletin","id":"ITEM-2","issue":"2","issued":{"date-parts":[["2005"]]},"page":"387-390","title":"Preparation and characterization of liposomes encapsulating chitosan nanoparticles","type":"article-journal","volume":"28"},"uris":["http://www.mendeley.com/documents/?uuid=99a2ee04-2a7d-4036-b1ef-a25b7eecb582"]}],"mendeley":{"formattedCitation":"&lt;sup&gt;338,339&lt;/sup&gt;","plainTextFormattedCitation":"338,339","previouslyFormattedCitation":"&lt;sup&gt;338,339&lt;/sup&gt;"},"properties":{"noteIndex":0},"schema":"https://github.com/citation-style-language/schema/raw/master/csl-citation.json"}</w:instrText>
      </w:r>
      <w:r w:rsidR="00C56502">
        <w:rPr>
          <w:rFonts w:ascii="Arial" w:hAnsi="Arial" w:cs="Arial"/>
          <w:sz w:val="24"/>
          <w:szCs w:val="24"/>
        </w:rPr>
        <w:fldChar w:fldCharType="separate"/>
      </w:r>
      <w:r w:rsidR="008D4DC0" w:rsidRPr="008D4DC0">
        <w:rPr>
          <w:rFonts w:ascii="Arial" w:hAnsi="Arial" w:cs="Arial"/>
          <w:noProof/>
          <w:sz w:val="24"/>
          <w:szCs w:val="24"/>
          <w:vertAlign w:val="superscript"/>
        </w:rPr>
        <w:t>338,339</w:t>
      </w:r>
      <w:r w:rsidR="00C56502">
        <w:rPr>
          <w:rFonts w:ascii="Arial" w:hAnsi="Arial" w:cs="Arial"/>
          <w:sz w:val="24"/>
          <w:szCs w:val="24"/>
        </w:rPr>
        <w:fldChar w:fldCharType="end"/>
      </w:r>
      <w:r w:rsidR="0091467A">
        <w:rPr>
          <w:rFonts w:ascii="Arial" w:hAnsi="Arial" w:cs="Arial"/>
          <w:sz w:val="24"/>
          <w:szCs w:val="24"/>
        </w:rPr>
        <w:t xml:space="preserve"> or </w:t>
      </w:r>
      <w:r w:rsidR="001D4AA5">
        <w:rPr>
          <w:rFonts w:ascii="Arial" w:hAnsi="Arial" w:cs="Arial"/>
          <w:sz w:val="24"/>
          <w:szCs w:val="24"/>
        </w:rPr>
        <w:t>hyaluronic acid</w:t>
      </w:r>
      <w:r w:rsidR="001D4AA5">
        <w:rPr>
          <w:rFonts w:ascii="Arial" w:hAnsi="Arial" w:cs="Arial"/>
          <w:sz w:val="24"/>
          <w:szCs w:val="24"/>
        </w:rPr>
        <w:fldChar w:fldCharType="begin" w:fldLock="1"/>
      </w:r>
      <w:r w:rsidR="00E26DE5">
        <w:rPr>
          <w:rFonts w:ascii="Arial" w:hAnsi="Arial" w:cs="Arial"/>
          <w:sz w:val="24"/>
          <w:szCs w:val="24"/>
        </w:rPr>
        <w:instrText>ADDIN CSL_CITATION {"citationItems":[{"id":"ITEM-1","itemData":{"DOI":"10.3390/ijms24010103","ISSN":"14220067","abstract":"Hyaluronic acid (HA) is a linear polysaccharide and crucial component of the extracellular matrix (ECM), maintaining tissue hydration and tension. Moreover, HA contributes to embryonic development, healing, inflammation, and cancerogenesis. This review summarizes new research on the metabolism and interactions of HA with its binding proteins, known as hyaladherins (CD44, RHAMM), revealing the molecular basis for its distinct biological function in the development of cancer. The presence of HA on the surface of tumor cells is a sign of an adverse prognosis. The involvement of HA in malignancy has been extensively investigated using cancer-free naked mole rats as a model. The HA metabolic components are examined for their potential impact on promoting or inhibiting tumor formation, proliferation, invasion, and metastatic spread. High molecular weight HA is associated with homeostasis and protective action due to its ability to preserve tissue integrity. In contrast, low molecular weight HA indicates a pathological condition in the tissue and plays a role in pro-oncogenic activity. A systematic approach might uncover processes related to cancer growth, establish novel prognostic indicators, and identify potential targets for treatment action.","author":[{"dropping-particle":"","family":"Michalczyk","given":"Monika","non-dropping-particle":"","parse-names":false,"suffix":""},{"dropping-particle":"","family":"Humeniuk","given":"Ewelina","non-dropping-particle":"","parse-names":false,"suffix":""},{"dropping-particle":"","family":"Adamczuk","given":"Grzegorz","non-dropping-particle":"","parse-names":false,"suffix":""},{"dropping-particle":"","family":"Korga-Plewko","given":"Agnieszka","non-dropping-particle":"","parse-names":false,"suffix":""}],"container-title":"International Journal of Molecular Sciences","id":"ITEM-1","issue":"1","issued":{"date-parts":[["2023"]]},"title":"Hyaluronic Acid as a Modern Approach in Anticancer Therapy-Review","type":"article-journal","volume":"24"},"uris":["http://www.mendeley.com/documents/?uuid=8ba1670c-f8b9-4fcb-9b02-54e34df14b57"]},{"id":"ITEM-2","itemData":{"DOI":"10.1016/j.colsurfb.2015.06.029","ISSN":"18734367","PMID":"26142626","abstract":"In the present study, we investigated the release and permeation of hyaluronic acid (HA) encapsulated in liposomes when deposited onto two surfaces: cellulose, a model widely used for investigating transport of drugs; and human skin, a natural biointerface used for transdermal drug delivery. We prepared and characterised liposomes loaded with HA and liposomes incorporating two penetration enhancers (PEs): the non-ionic surfactant Tween® 80, and Transcutol® P, a solubilising agent able to mix with polar and non-polar solvents. In vitro and ex vivo permeation assays showed that PEs indeed enhance HA-release from liposomes. Since one of the possible mechanisms postulated for the action of liposomes on skin is related to its adsorption onto the stratum corneum (SC), we used atomic force microscopy (AFM) topography and force volume (FV) analysis to investigate the structures formed after deposition of liposome formulations onto the investigated surfaces. We explored the possible relationship between the formation of planar lipid structures on the surfaces and the permeation of HA.","author":[{"dropping-particle":"","family":"Vázquez-González","given":"Martha L.","non-dropping-particle":"","parse-names":false,"suffix":""},{"dropping-particle":"","family":"Calpena","given":"Ana C.","non-dropping-particle":"","parse-names":false,"suffix":""},{"dropping-particle":"","family":"Domènech","given":"Òscar","non-dropping-particle":"","parse-names":false,"suffix":""},{"dropping-particle":"","family":"Montero","given":"M. Teresa","non-dropping-particle":"","parse-names":false,"suffix":""},{"dropping-particle":"","family":"Borrell","given":"Jordi H.","non-dropping-particle":"","parse-names":false,"suffix":""}],"container-title":"Colloids and Surfaces B: Biointerfaces","id":"ITEM-2","issued":{"date-parts":[["2015"]]},"page":"31-39","publisher":"Elsevier B.V.","title":"Enhanced topical delivery of hyaluronic acid encapsulated in liposomes: A surface-dependent phenomenon","type":"article-journal","volume":"134"},"uris":["http://www.mendeley.com/documents/?uuid=286d46c9-5894-464e-8d9b-a0c245f8519d"]}],"mendeley":{"formattedCitation":"&lt;sup&gt;340,341&lt;/sup&gt;","plainTextFormattedCitation":"340,341","previouslyFormattedCitation":"&lt;sup&gt;340,341&lt;/sup&gt;"},"properties":{"noteIndex":0},"schema":"https://github.com/citation-style-language/schema/raw/master/csl-citation.json"}</w:instrText>
      </w:r>
      <w:r w:rsidR="001D4AA5">
        <w:rPr>
          <w:rFonts w:ascii="Arial" w:hAnsi="Arial" w:cs="Arial"/>
          <w:sz w:val="24"/>
          <w:szCs w:val="24"/>
        </w:rPr>
        <w:fldChar w:fldCharType="separate"/>
      </w:r>
      <w:r w:rsidR="008D4DC0" w:rsidRPr="008D4DC0">
        <w:rPr>
          <w:rFonts w:ascii="Arial" w:hAnsi="Arial" w:cs="Arial"/>
          <w:noProof/>
          <w:sz w:val="24"/>
          <w:szCs w:val="24"/>
          <w:vertAlign w:val="superscript"/>
        </w:rPr>
        <w:t>340,341</w:t>
      </w:r>
      <w:r w:rsidR="001D4AA5">
        <w:rPr>
          <w:rFonts w:ascii="Arial" w:hAnsi="Arial" w:cs="Arial"/>
          <w:sz w:val="24"/>
          <w:szCs w:val="24"/>
        </w:rPr>
        <w:fldChar w:fldCharType="end"/>
      </w:r>
      <w:r w:rsidR="001D4AA5">
        <w:rPr>
          <w:rFonts w:ascii="Arial" w:hAnsi="Arial" w:cs="Arial"/>
          <w:sz w:val="24"/>
          <w:szCs w:val="24"/>
        </w:rPr>
        <w:t xml:space="preserve">. </w:t>
      </w:r>
    </w:p>
    <w:p w14:paraId="46AD0BA6" w14:textId="77777777" w:rsidR="005B5163" w:rsidRDefault="005B5163" w:rsidP="005F5731">
      <w:pPr>
        <w:spacing w:line="480" w:lineRule="auto"/>
        <w:jc w:val="both"/>
        <w:rPr>
          <w:rFonts w:ascii="Arial" w:hAnsi="Arial" w:cs="Arial"/>
          <w:sz w:val="24"/>
          <w:szCs w:val="24"/>
        </w:rPr>
      </w:pPr>
    </w:p>
    <w:p w14:paraId="039F264B" w14:textId="19864417" w:rsidR="005B5163" w:rsidRDefault="003823C2" w:rsidP="0021334C">
      <w:pPr>
        <w:spacing w:line="480" w:lineRule="auto"/>
        <w:jc w:val="center"/>
        <w:rPr>
          <w:rFonts w:ascii="Arial" w:hAnsi="Arial" w:cs="Arial"/>
          <w:sz w:val="24"/>
          <w:szCs w:val="24"/>
        </w:rPr>
      </w:pPr>
      <w:r>
        <w:rPr>
          <w:rFonts w:ascii="Arial" w:hAnsi="Arial" w:cs="Arial"/>
          <w:noProof/>
          <w:sz w:val="24"/>
          <w:szCs w:val="24"/>
        </w:rPr>
        <w:lastRenderedPageBreak/>
        <w:drawing>
          <wp:inline distT="0" distB="0" distL="0" distR="0" wp14:anchorId="1B208D2F" wp14:editId="45248670">
            <wp:extent cx="5572664" cy="7433619"/>
            <wp:effectExtent l="0" t="0" r="0" b="0"/>
            <wp:docPr id="260805827" name="Picture 26080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5605"/>
                    <a:stretch/>
                  </pic:blipFill>
                  <pic:spPr bwMode="auto">
                    <a:xfrm>
                      <a:off x="0" y="0"/>
                      <a:ext cx="5585100" cy="7450208"/>
                    </a:xfrm>
                    <a:prstGeom prst="rect">
                      <a:avLst/>
                    </a:prstGeom>
                    <a:noFill/>
                    <a:ln>
                      <a:noFill/>
                    </a:ln>
                    <a:extLst>
                      <a:ext uri="{53640926-AAD7-44D8-BBD7-CCE9431645EC}">
                        <a14:shadowObscured xmlns:a14="http://schemas.microsoft.com/office/drawing/2010/main"/>
                      </a:ext>
                    </a:extLst>
                  </pic:spPr>
                </pic:pic>
              </a:graphicData>
            </a:graphic>
          </wp:inline>
        </w:drawing>
      </w:r>
    </w:p>
    <w:p w14:paraId="7BCFE60B" w14:textId="7D8725BE" w:rsidR="0021334C" w:rsidRDefault="0021334C" w:rsidP="0021334C">
      <w:pPr>
        <w:jc w:val="both"/>
        <w:rPr>
          <w:rFonts w:ascii="Times New Roman" w:hAnsi="Times New Roman" w:cs="Times New Roman"/>
          <w:sz w:val="24"/>
          <w:szCs w:val="24"/>
        </w:rPr>
      </w:pPr>
      <w:r w:rsidRPr="00E57377">
        <w:rPr>
          <w:rFonts w:ascii="Arial" w:hAnsi="Arial" w:cs="Arial"/>
          <w:b/>
          <w:bCs/>
          <w:sz w:val="24"/>
          <w:szCs w:val="24"/>
        </w:rPr>
        <w:t xml:space="preserve">Figure </w:t>
      </w:r>
      <w:r>
        <w:rPr>
          <w:rFonts w:ascii="Arial" w:hAnsi="Arial" w:cs="Arial"/>
          <w:b/>
          <w:bCs/>
          <w:sz w:val="24"/>
          <w:szCs w:val="24"/>
        </w:rPr>
        <w:t>4</w:t>
      </w:r>
      <w:r w:rsidRPr="00E57377">
        <w:rPr>
          <w:rFonts w:ascii="Arial" w:hAnsi="Arial" w:cs="Arial"/>
          <w:b/>
          <w:bCs/>
          <w:sz w:val="24"/>
          <w:szCs w:val="24"/>
        </w:rPr>
        <w:t>.</w:t>
      </w:r>
      <w:r>
        <w:rPr>
          <w:rFonts w:ascii="Arial" w:hAnsi="Arial" w:cs="Arial"/>
          <w:b/>
          <w:bCs/>
          <w:sz w:val="24"/>
          <w:szCs w:val="24"/>
        </w:rPr>
        <w:t>4</w:t>
      </w:r>
      <w:r w:rsidRPr="00E57377">
        <w:rPr>
          <w:rFonts w:ascii="Arial" w:hAnsi="Arial" w:cs="Arial"/>
          <w:b/>
          <w:bCs/>
          <w:sz w:val="24"/>
          <w:szCs w:val="24"/>
        </w:rPr>
        <w:t>:</w:t>
      </w:r>
      <w:r>
        <w:rPr>
          <w:rFonts w:ascii="Arial" w:hAnsi="Arial" w:cs="Arial"/>
          <w:b/>
          <w:bCs/>
          <w:sz w:val="24"/>
          <w:szCs w:val="24"/>
        </w:rPr>
        <w:t xml:space="preserve"> Magnify enables the </w:t>
      </w:r>
      <w:r w:rsidR="008531D8">
        <w:rPr>
          <w:rFonts w:ascii="Arial" w:hAnsi="Arial" w:cs="Arial"/>
          <w:b/>
          <w:bCs/>
          <w:sz w:val="24"/>
          <w:szCs w:val="24"/>
        </w:rPr>
        <w:t xml:space="preserve">three-dimensional </w:t>
      </w:r>
      <w:r>
        <w:rPr>
          <w:rFonts w:ascii="Arial" w:hAnsi="Arial" w:cs="Arial"/>
          <w:b/>
          <w:bCs/>
          <w:sz w:val="24"/>
          <w:szCs w:val="24"/>
        </w:rPr>
        <w:t>super-resolution visual</w:t>
      </w:r>
      <w:r w:rsidR="008531D8">
        <w:rPr>
          <w:rFonts w:ascii="Arial" w:hAnsi="Arial" w:cs="Arial"/>
          <w:b/>
          <w:bCs/>
          <w:sz w:val="24"/>
          <w:szCs w:val="24"/>
        </w:rPr>
        <w:t xml:space="preserve"> comparison</w:t>
      </w:r>
      <w:r>
        <w:rPr>
          <w:rFonts w:ascii="Arial" w:hAnsi="Arial" w:cs="Arial"/>
          <w:b/>
          <w:bCs/>
          <w:sz w:val="24"/>
          <w:szCs w:val="24"/>
        </w:rPr>
        <w:t xml:space="preserve"> of fluorescent liposomal cargo</w:t>
      </w:r>
      <w:r w:rsidR="008531D8">
        <w:rPr>
          <w:rFonts w:ascii="Arial" w:hAnsi="Arial" w:cs="Arial"/>
          <w:b/>
          <w:bCs/>
          <w:sz w:val="24"/>
          <w:szCs w:val="24"/>
        </w:rPr>
        <w:t xml:space="preserve"> intracellular</w:t>
      </w:r>
      <w:r>
        <w:rPr>
          <w:rFonts w:ascii="Arial" w:hAnsi="Arial" w:cs="Arial"/>
          <w:b/>
          <w:bCs/>
          <w:sz w:val="24"/>
          <w:szCs w:val="24"/>
        </w:rPr>
        <w:t xml:space="preserve"> </w:t>
      </w:r>
      <w:r w:rsidR="008531D8">
        <w:rPr>
          <w:rFonts w:ascii="Arial" w:hAnsi="Arial" w:cs="Arial"/>
          <w:b/>
          <w:bCs/>
          <w:sz w:val="24"/>
          <w:szCs w:val="24"/>
        </w:rPr>
        <w:t>distribution</w:t>
      </w:r>
      <w:r>
        <w:rPr>
          <w:rFonts w:ascii="Arial" w:hAnsi="Arial" w:cs="Arial"/>
          <w:b/>
          <w:bCs/>
          <w:sz w:val="24"/>
          <w:szCs w:val="24"/>
        </w:rPr>
        <w:t xml:space="preserve">. </w:t>
      </w:r>
      <w:r w:rsidRPr="0021334C">
        <w:rPr>
          <w:rFonts w:ascii="Arial" w:hAnsi="Arial" w:cs="Arial"/>
          <w:sz w:val="24"/>
          <w:szCs w:val="24"/>
        </w:rPr>
        <w:t xml:space="preserve">RAW 264.7 </w:t>
      </w:r>
      <w:r w:rsidRPr="0021334C">
        <w:rPr>
          <w:rFonts w:ascii="Arial" w:hAnsi="Arial" w:cs="Arial"/>
          <w:sz w:val="24"/>
          <w:szCs w:val="24"/>
        </w:rPr>
        <w:lastRenderedPageBreak/>
        <w:t xml:space="preserve">macrophages were incubated with </w:t>
      </w:r>
      <w:r w:rsidR="008531D8">
        <w:rPr>
          <w:rFonts w:ascii="Arial" w:hAnsi="Arial" w:cs="Arial"/>
          <w:sz w:val="24"/>
          <w:szCs w:val="24"/>
        </w:rPr>
        <w:t>HEP</w:t>
      </w:r>
      <w:r w:rsidRPr="0021334C">
        <w:rPr>
          <w:rFonts w:ascii="Arial" w:hAnsi="Arial" w:cs="Arial"/>
          <w:sz w:val="24"/>
          <w:szCs w:val="24"/>
        </w:rPr>
        <w:t>-Liposomes for</w:t>
      </w:r>
      <w:r w:rsidR="008531D8">
        <w:rPr>
          <w:rFonts w:ascii="Arial" w:hAnsi="Arial" w:cs="Arial"/>
          <w:sz w:val="24"/>
          <w:szCs w:val="24"/>
        </w:rPr>
        <w:t xml:space="preserve"> 3 or</w:t>
      </w:r>
      <w:r w:rsidRPr="0021334C">
        <w:rPr>
          <w:rFonts w:ascii="Arial" w:hAnsi="Arial" w:cs="Arial"/>
          <w:sz w:val="24"/>
          <w:szCs w:val="24"/>
        </w:rPr>
        <w:t xml:space="preserve"> 24 </w:t>
      </w:r>
      <w:r w:rsidR="008531D8">
        <w:rPr>
          <w:rFonts w:ascii="Arial" w:hAnsi="Arial" w:cs="Arial"/>
          <w:sz w:val="24"/>
          <w:szCs w:val="24"/>
        </w:rPr>
        <w:t xml:space="preserve">hours </w:t>
      </w:r>
      <w:r w:rsidRPr="0021334C">
        <w:rPr>
          <w:rFonts w:ascii="Arial" w:hAnsi="Arial" w:cs="Arial"/>
          <w:sz w:val="24"/>
          <w:szCs w:val="24"/>
        </w:rPr>
        <w:t xml:space="preserve">before being washed, fixed, and expanded with the Magnify protocol, along with non-treated controls. Non-expanded cells are shown first </w:t>
      </w:r>
      <w:r w:rsidRPr="0021334C">
        <w:rPr>
          <w:rFonts w:ascii="Arial" w:hAnsi="Arial" w:cs="Arial"/>
          <w:b/>
          <w:bCs/>
          <w:sz w:val="24"/>
          <w:szCs w:val="24"/>
        </w:rPr>
        <w:t>(a</w:t>
      </w:r>
      <w:r w:rsidR="008531D8">
        <w:rPr>
          <w:rFonts w:ascii="Arial" w:hAnsi="Arial" w:cs="Arial"/>
          <w:b/>
          <w:bCs/>
          <w:sz w:val="24"/>
          <w:szCs w:val="24"/>
        </w:rPr>
        <w:t>-c</w:t>
      </w:r>
      <w:r w:rsidRPr="0021334C">
        <w:rPr>
          <w:rFonts w:ascii="Arial" w:hAnsi="Arial" w:cs="Arial"/>
          <w:b/>
          <w:bCs/>
          <w:sz w:val="24"/>
          <w:szCs w:val="24"/>
        </w:rPr>
        <w:t>)</w:t>
      </w:r>
      <w:r w:rsidRPr="0021334C">
        <w:rPr>
          <w:rFonts w:ascii="Arial" w:hAnsi="Arial" w:cs="Arial"/>
          <w:sz w:val="24"/>
          <w:szCs w:val="24"/>
        </w:rPr>
        <w:t xml:space="preserve">, followed by expanded cells </w:t>
      </w:r>
      <w:r w:rsidRPr="0021334C">
        <w:rPr>
          <w:rFonts w:ascii="Arial" w:hAnsi="Arial" w:cs="Arial"/>
          <w:b/>
          <w:bCs/>
          <w:sz w:val="24"/>
          <w:szCs w:val="24"/>
        </w:rPr>
        <w:t>(</w:t>
      </w:r>
      <w:r w:rsidR="008531D8">
        <w:rPr>
          <w:rFonts w:ascii="Arial" w:hAnsi="Arial" w:cs="Arial"/>
          <w:b/>
          <w:bCs/>
          <w:sz w:val="24"/>
          <w:szCs w:val="24"/>
        </w:rPr>
        <w:t>d-f</w:t>
      </w:r>
      <w:r w:rsidRPr="0021334C">
        <w:rPr>
          <w:rFonts w:ascii="Arial" w:hAnsi="Arial" w:cs="Arial"/>
          <w:b/>
          <w:bCs/>
          <w:sz w:val="24"/>
          <w:szCs w:val="24"/>
        </w:rPr>
        <w:t>)</w:t>
      </w:r>
      <w:r w:rsidRPr="0021334C">
        <w:rPr>
          <w:rFonts w:ascii="Arial" w:hAnsi="Arial" w:cs="Arial"/>
          <w:sz w:val="24"/>
          <w:szCs w:val="24"/>
        </w:rPr>
        <w:t xml:space="preserve">. Cells were stained with NHS-AF647 (gray) and DAPI (blue). </w:t>
      </w:r>
      <w:r w:rsidR="008531D8">
        <w:rPr>
          <w:rFonts w:ascii="Arial" w:hAnsi="Arial" w:cs="Arial"/>
          <w:sz w:val="24"/>
          <w:szCs w:val="24"/>
        </w:rPr>
        <w:t>For non-expanded cells, f</w:t>
      </w:r>
      <w:r w:rsidRPr="0021334C">
        <w:rPr>
          <w:rFonts w:ascii="Arial" w:hAnsi="Arial" w:cs="Arial"/>
          <w:sz w:val="24"/>
          <w:szCs w:val="24"/>
        </w:rPr>
        <w:t xml:space="preserve">irst the overlay of the NHS-AF647, DAPI, and 10 kDa dextran-AF488 (green) is shown, followed by a digital magnification of a region of interest. </w:t>
      </w:r>
      <w:r w:rsidR="008531D8">
        <w:rPr>
          <w:rFonts w:ascii="Arial" w:hAnsi="Arial" w:cs="Arial"/>
          <w:sz w:val="24"/>
          <w:szCs w:val="24"/>
        </w:rPr>
        <w:t>For expanded cells, 3D reconstruction of CLSM Z-stack</w:t>
      </w:r>
      <w:r w:rsidR="001A54CF">
        <w:rPr>
          <w:rFonts w:ascii="Arial" w:hAnsi="Arial" w:cs="Arial"/>
          <w:sz w:val="24"/>
          <w:szCs w:val="24"/>
        </w:rPr>
        <w:t>s</w:t>
      </w:r>
      <w:r w:rsidR="008531D8">
        <w:rPr>
          <w:rFonts w:ascii="Arial" w:hAnsi="Arial" w:cs="Arial"/>
          <w:sz w:val="24"/>
          <w:szCs w:val="24"/>
        </w:rPr>
        <w:t xml:space="preserve"> </w:t>
      </w:r>
      <w:proofErr w:type="gramStart"/>
      <w:r w:rsidR="001A54CF">
        <w:rPr>
          <w:rFonts w:ascii="Arial" w:hAnsi="Arial" w:cs="Arial"/>
          <w:sz w:val="24"/>
          <w:szCs w:val="24"/>
        </w:rPr>
        <w:t>are</w:t>
      </w:r>
      <w:proofErr w:type="gramEnd"/>
      <w:r w:rsidR="001A54CF">
        <w:rPr>
          <w:rFonts w:ascii="Arial" w:hAnsi="Arial" w:cs="Arial"/>
          <w:sz w:val="24"/>
          <w:szCs w:val="24"/>
        </w:rPr>
        <w:t xml:space="preserve"> shown, with images </w:t>
      </w:r>
      <w:proofErr w:type="spellStart"/>
      <w:r w:rsidR="001A54CF">
        <w:rPr>
          <w:rFonts w:ascii="Arial" w:hAnsi="Arial" w:cs="Arial"/>
          <w:sz w:val="24"/>
          <w:szCs w:val="24"/>
        </w:rPr>
        <w:t>i</w:t>
      </w:r>
      <w:proofErr w:type="spellEnd"/>
      <w:r w:rsidR="001A54CF">
        <w:rPr>
          <w:rFonts w:ascii="Arial" w:hAnsi="Arial" w:cs="Arial"/>
          <w:sz w:val="24"/>
          <w:szCs w:val="24"/>
        </w:rPr>
        <w:t xml:space="preserve">-iii depicting individual X, Y slices. </w:t>
      </w:r>
      <w:r w:rsidRPr="0021334C">
        <w:rPr>
          <w:rFonts w:ascii="Arial" w:hAnsi="Arial" w:cs="Arial"/>
          <w:sz w:val="24"/>
          <w:szCs w:val="24"/>
        </w:rPr>
        <w:t>White arrows indicate the position of 10 kDa dextran-AF488 signal. The scale bars indicate 20 µm in the unmagnified images and 5 µm in the magnified images, not corrected for expansion factors.</w:t>
      </w:r>
      <w:r>
        <w:rPr>
          <w:rFonts w:ascii="Times New Roman" w:hAnsi="Times New Roman" w:cs="Times New Roman"/>
          <w:sz w:val="24"/>
          <w:szCs w:val="24"/>
        </w:rPr>
        <w:t xml:space="preserve"> </w:t>
      </w:r>
    </w:p>
    <w:p w14:paraId="32D31F42" w14:textId="6EDD4706" w:rsidR="00697BE9" w:rsidRDefault="00697BE9">
      <w:pPr>
        <w:rPr>
          <w:rFonts w:ascii="Arial" w:hAnsi="Arial" w:cs="Arial"/>
          <w:sz w:val="24"/>
          <w:szCs w:val="24"/>
        </w:rPr>
      </w:pPr>
      <w:r>
        <w:rPr>
          <w:rFonts w:ascii="Arial" w:hAnsi="Arial" w:cs="Arial"/>
          <w:sz w:val="24"/>
          <w:szCs w:val="24"/>
        </w:rPr>
        <w:br w:type="page"/>
      </w:r>
    </w:p>
    <w:p w14:paraId="6E521CCC" w14:textId="77777777" w:rsidR="00697BE9" w:rsidRDefault="00697BE9" w:rsidP="00721691">
      <w:pPr>
        <w:pStyle w:val="Heading3"/>
      </w:pPr>
      <w:bookmarkStart w:id="58" w:name="_Toc151032437"/>
      <w:r>
        <w:lastRenderedPageBreak/>
        <w:t>4.2.3 Pre-labelling liposomes with lipophillic dyes is incompatible with Magnify</w:t>
      </w:r>
      <w:bookmarkEnd w:id="58"/>
    </w:p>
    <w:p w14:paraId="3FB094F5" w14:textId="77777777" w:rsidR="00721691" w:rsidRPr="00721691" w:rsidRDefault="00721691" w:rsidP="00721691"/>
    <w:p w14:paraId="18888953" w14:textId="73873660" w:rsidR="001D4AA5" w:rsidRDefault="00697BE9" w:rsidP="0060787E">
      <w:pPr>
        <w:spacing w:line="480" w:lineRule="auto"/>
        <w:jc w:val="both"/>
        <w:rPr>
          <w:rFonts w:ascii="Arial" w:hAnsi="Arial" w:cs="Arial"/>
          <w:sz w:val="24"/>
          <w:szCs w:val="24"/>
        </w:rPr>
      </w:pPr>
      <w:r>
        <w:rPr>
          <w:rFonts w:ascii="Arial" w:hAnsi="Arial" w:cs="Arial"/>
          <w:sz w:val="24"/>
          <w:szCs w:val="24"/>
        </w:rPr>
        <w:tab/>
        <w:t xml:space="preserve">We have thus far established that the fluorescent cargo of liposomes can be visualized within intracellular vesicles through Magnify. However, this method does not provide information on </w:t>
      </w:r>
      <w:r w:rsidR="00F6091C">
        <w:rPr>
          <w:rFonts w:ascii="Arial" w:hAnsi="Arial" w:cs="Arial"/>
          <w:sz w:val="24"/>
          <w:szCs w:val="24"/>
        </w:rPr>
        <w:t xml:space="preserve">if the visualized cargo is still encapsulated or has been released from the liposomes, which is </w:t>
      </w:r>
      <w:r w:rsidR="0078091E">
        <w:rPr>
          <w:rFonts w:ascii="Arial" w:hAnsi="Arial" w:cs="Arial"/>
          <w:sz w:val="24"/>
          <w:szCs w:val="24"/>
        </w:rPr>
        <w:t>significant</w:t>
      </w:r>
      <w:r w:rsidR="00F6091C">
        <w:rPr>
          <w:rFonts w:ascii="Arial" w:hAnsi="Arial" w:cs="Arial"/>
          <w:sz w:val="24"/>
          <w:szCs w:val="24"/>
        </w:rPr>
        <w:t xml:space="preserve"> information for the in-depth analysis of cell-liposomal drug interactions. Therefore, </w:t>
      </w:r>
      <w:r w:rsidR="0078091E">
        <w:rPr>
          <w:rFonts w:ascii="Arial" w:hAnsi="Arial" w:cs="Arial"/>
          <w:sz w:val="24"/>
          <w:szCs w:val="24"/>
        </w:rPr>
        <w:t>a method of labelling the liposomes directly would further the applicability of our method to more types of liposomal</w:t>
      </w:r>
      <w:r w:rsidR="00C0511E">
        <w:rPr>
          <w:rFonts w:ascii="Arial" w:hAnsi="Arial" w:cs="Arial"/>
          <w:sz w:val="24"/>
          <w:szCs w:val="24"/>
        </w:rPr>
        <w:t xml:space="preserve"> drug delivery</w:t>
      </w:r>
      <w:r w:rsidR="0078091E">
        <w:rPr>
          <w:rFonts w:ascii="Arial" w:hAnsi="Arial" w:cs="Arial"/>
          <w:sz w:val="24"/>
          <w:szCs w:val="24"/>
        </w:rPr>
        <w:t xml:space="preserve"> studies, such as those involving </w:t>
      </w:r>
      <w:r w:rsidR="00941E36">
        <w:rPr>
          <w:rFonts w:ascii="Arial" w:hAnsi="Arial" w:cs="Arial"/>
          <w:sz w:val="24"/>
          <w:szCs w:val="24"/>
        </w:rPr>
        <w:t xml:space="preserve">intracellular stability and </w:t>
      </w:r>
      <w:r w:rsidR="0078091E">
        <w:rPr>
          <w:rFonts w:ascii="Arial" w:hAnsi="Arial" w:cs="Arial"/>
          <w:sz w:val="24"/>
          <w:szCs w:val="24"/>
        </w:rPr>
        <w:t>controlled drug release</w:t>
      </w:r>
      <w:r w:rsidR="00941E36">
        <w:rPr>
          <w:rFonts w:ascii="Arial" w:hAnsi="Arial" w:cs="Arial"/>
          <w:sz w:val="24"/>
          <w:szCs w:val="24"/>
        </w:rPr>
        <w:t>.</w:t>
      </w:r>
      <w:r w:rsidR="00941E36">
        <w:rPr>
          <w:rFonts w:ascii="Arial" w:hAnsi="Arial" w:cs="Arial"/>
          <w:sz w:val="24"/>
          <w:szCs w:val="24"/>
        </w:rPr>
        <w:fldChar w:fldCharType="begin" w:fldLock="1"/>
      </w:r>
      <w:r w:rsidR="00E26DE5">
        <w:rPr>
          <w:rFonts w:ascii="Arial" w:hAnsi="Arial" w:cs="Arial"/>
          <w:sz w:val="24"/>
          <w:szCs w:val="24"/>
        </w:rPr>
        <w:instrText>ADDIN CSL_CITATION {"citationItems":[{"id":"ITEM-1","itemData":{"DOI":"10.3390/molecules27041372","ISBN":"8618917601368","ISSN":"1420-3049","abstract":"Liposomes have been considered promising and versatile drug vesicles. Compared with traditional drug delivery systems, liposomes exhibit better properties, including site-targeting, sustained or controlled release, protection of drugs from degradation and clearance, superior therapeutic effects, and lower toxic side effects. Given these merits, several liposomal drug products have been successfully approved and used in clinics over the last couple of decades. In this review, the liposomal drug products approved by the U.S. Food and Drug Administration (FDA) and European Medicines Agency (EMA) are discussed. Based on the published approval package in the FDA and European public assessment report (EPAR) in EMA, the critical chemistry information and mature pharmaceutical technologies applied in the marketed liposomal products, including the lipid excipient, manufacturing methods, nanosizing technique, drug loading methods, as well as critical quality attributions (CQAs) of products, are introduced. Additionally, the current regulatory guidance and future perspectives related to liposomal products are summarized. This knowledge can be used for research and development of the liposomal drug candidates under various pipelines, including the laboratory bench, pilot plant, and commercial manufacturing.","author":[{"dropping-particle":"","family":"Liu","given":"Peng","non-dropping-particle":"","parse-names":false,"suffix":""},{"dropping-particle":"","family":"Chen","given":"Guiliang","non-dropping-particle":"","parse-names":false,"suffix":""},{"dropping-particle":"","family":"Zhang","given":"Jingchen","non-dropping-particle":"","parse-names":false,"suffix":""}],"container-title":"Molecules","id":"ITEM-1","issue":"4","issued":{"date-parts":[["2022","2","17"]]},"page":"1372","title":"A Review of Liposomes as a Drug Delivery System: Current Status of Approved Products, Regulatory Environments, and Future Perspectives","type":"article-journal","volume":"27"},"uris":["http://www.mendeley.com/documents/?uuid=437a5e25-5bef-4d17-9f20-c35accfcdfeb"]}],"mendeley":{"formattedCitation":"&lt;sup&gt;342&lt;/sup&gt;","plainTextFormattedCitation":"342","previouslyFormattedCitation":"&lt;sup&gt;342&lt;/sup&gt;"},"properties":{"noteIndex":0},"schema":"https://github.com/citation-style-language/schema/raw/master/csl-citation.json"}</w:instrText>
      </w:r>
      <w:r w:rsidR="00941E36">
        <w:rPr>
          <w:rFonts w:ascii="Arial" w:hAnsi="Arial" w:cs="Arial"/>
          <w:sz w:val="24"/>
          <w:szCs w:val="24"/>
        </w:rPr>
        <w:fldChar w:fldCharType="separate"/>
      </w:r>
      <w:r w:rsidR="008D4DC0" w:rsidRPr="008D4DC0">
        <w:rPr>
          <w:rFonts w:ascii="Arial" w:hAnsi="Arial" w:cs="Arial"/>
          <w:noProof/>
          <w:sz w:val="24"/>
          <w:szCs w:val="24"/>
          <w:vertAlign w:val="superscript"/>
        </w:rPr>
        <w:t>342</w:t>
      </w:r>
      <w:r w:rsidR="00941E36">
        <w:rPr>
          <w:rFonts w:ascii="Arial" w:hAnsi="Arial" w:cs="Arial"/>
          <w:sz w:val="24"/>
          <w:szCs w:val="24"/>
        </w:rPr>
        <w:fldChar w:fldCharType="end"/>
      </w:r>
      <w:r w:rsidR="00941E36">
        <w:rPr>
          <w:rFonts w:ascii="Arial" w:hAnsi="Arial" w:cs="Arial"/>
          <w:sz w:val="24"/>
          <w:szCs w:val="24"/>
        </w:rPr>
        <w:t xml:space="preserve"> </w:t>
      </w:r>
      <w:r>
        <w:rPr>
          <w:rFonts w:ascii="Arial" w:hAnsi="Arial" w:cs="Arial"/>
          <w:sz w:val="24"/>
          <w:szCs w:val="24"/>
        </w:rPr>
        <w:t xml:space="preserve">Among the most common methods for visualizing liposomes directly with light microscopy is through the use of lipophillic </w:t>
      </w:r>
      <w:r w:rsidR="0060787E">
        <w:rPr>
          <w:rFonts w:ascii="Arial" w:hAnsi="Arial" w:cs="Arial"/>
          <w:sz w:val="24"/>
          <w:szCs w:val="24"/>
        </w:rPr>
        <w:t xml:space="preserve">carbocyanine </w:t>
      </w:r>
      <w:r>
        <w:rPr>
          <w:rFonts w:ascii="Arial" w:hAnsi="Arial" w:cs="Arial"/>
          <w:sz w:val="24"/>
          <w:szCs w:val="24"/>
        </w:rPr>
        <w:t>dyes such as</w:t>
      </w:r>
      <w:r w:rsidR="00C0511E">
        <w:rPr>
          <w:rFonts w:ascii="Arial" w:hAnsi="Arial" w:cs="Arial"/>
          <w:sz w:val="24"/>
          <w:szCs w:val="24"/>
        </w:rPr>
        <w:t xml:space="preserve"> </w:t>
      </w:r>
      <w:r w:rsidR="0060787E" w:rsidRPr="0060787E">
        <w:rPr>
          <w:rFonts w:ascii="Arial" w:hAnsi="Arial" w:cs="Arial"/>
          <w:sz w:val="24"/>
          <w:szCs w:val="24"/>
        </w:rPr>
        <w:t>3,3-dioctadecyloxacarbocyanine perchlorate</w:t>
      </w:r>
      <w:r w:rsidR="0060787E">
        <w:rPr>
          <w:rFonts w:ascii="Arial" w:hAnsi="Arial" w:cs="Arial"/>
          <w:sz w:val="24"/>
          <w:szCs w:val="24"/>
        </w:rPr>
        <w:t xml:space="preserve"> </w:t>
      </w:r>
      <w:r w:rsidR="0060787E" w:rsidRPr="0060787E">
        <w:rPr>
          <w:rFonts w:ascii="Arial" w:hAnsi="Arial" w:cs="Arial"/>
          <w:sz w:val="24"/>
          <w:szCs w:val="24"/>
        </w:rPr>
        <w:t>(DiO)</w:t>
      </w:r>
      <w:r w:rsidR="0060787E">
        <w:rPr>
          <w:rFonts w:ascii="Arial" w:hAnsi="Arial" w:cs="Arial"/>
          <w:sz w:val="24"/>
          <w:szCs w:val="24"/>
        </w:rPr>
        <w:t>, which intercalates within the lipid bilayer of liposomes.</w:t>
      </w:r>
      <w:r w:rsidR="00BB0C3E">
        <w:rPr>
          <w:rFonts w:ascii="Arial" w:hAnsi="Arial" w:cs="Arial"/>
          <w:sz w:val="24"/>
          <w:szCs w:val="24"/>
        </w:rPr>
        <w:fldChar w:fldCharType="begin" w:fldLock="1"/>
      </w:r>
      <w:r w:rsidR="00E26DE5">
        <w:rPr>
          <w:rFonts w:ascii="Arial" w:hAnsi="Arial" w:cs="Arial"/>
          <w:sz w:val="24"/>
          <w:szCs w:val="24"/>
        </w:rPr>
        <w:instrText>ADDIN CSL_CITATION {"citationItems":[{"id":"ITEM-1","itemData":{"DOI":"10.3390/micro3010005","abstract":"Liposomes encapsulating chloroquine were synthesized and characterized. Cryogenic transmission electron microscopy and dynamic light scattering confirmed a liposome size of ~100 nm and uniform shape. Two independent analytical methods were used to quantify chloroquine encapsulation: (i) HPLC, and (ii) UV-Vis spectrophotometry. Using RAW264.7 murine macrophages as model immune cells, cell culture experiments revealed an improved acute cytotoxicity profile of chloroquine encapsulating liposomes with &gt;90% cell viability compared to free chloroquine (cell viability ~30%) at equivalent drug doses. These results may potentially be relevant for liposome-based chloroquine delivery for nanomedicine applications.","author":[{"dropping-particle":"","family":"Donahue","given":"Nathan D.","non-dropping-particle":"","parse-names":false,"suffix":""},{"dropping-particle":"","family":"Vance","given":"Ellen A.","non-dropping-particle":"","parse-names":false,"suffix":""},{"dropping-particle":"","family":"Sheth","given":"Vinit","non-dropping-particle":"","parse-names":false,"suffix":""},{"dropping-particle":"","family":"Francek","given":"Emmy R.","non-dropping-particle":"","parse-names":false,"suffix":""},{"dropping-particle":"","family":"Wilhelm","given":"Stefan","non-dropping-particle":"","parse-names":false,"suffix":""}],"container-title":"Micro","id":"ITEM-1","issue":"1","issued":{"date-parts":[["2023"]]},"page":"51-59","title":"Synthesis, Characterization, and Acute Cytotoxicity Evaluation of Chloroquine Encapsulating Liposomes","type":"article-journal","volume":"3"},"uris":["http://www.mendeley.com/documents/?uuid=bf231570-b898-478a-82cf-490c21b97d32"]},{"id":"ITEM-2","itemData":{"ISSN":"18129269","PMID":"23013761","abstract":"The aim of this research is to study the dynamics and efficiency of liposome accumulation in sensitive and resistant human breast cancer cells. Methods: Methods of fluorescence microscopy, fluorescence microspectroscopy and MTT-test have been used. Results: The liposome-to-cell interaction and dye cellular uptake in sensitive, cisplatin-resistant and doxorubicin-resistant MCF-7 human breast cancer cells have been analyzed using time changes in both fluorescence resonance energy transfer signal from the donor probe DiO to the acceptor one DiI preloaded in liposomes and cell image brightness. Conclusion: Obtained results show that resistant cells accumulate dye-loaded liposomes more effectively and reveal more effective dye molecule cellular uptake. Copyright © Experimental Oncology, 2012.","author":[{"dropping-particle":"","family":"Yefimova","given":"S. L.","non-dropping-particle":"","parse-names":false,"suffix":""},{"dropping-particle":"","family":"Kurilchenko","given":"I. Yu","non-dropping-particle":"","parse-names":false,"suffix":""},{"dropping-particle":"","family":"Tkacheva","given":"T. N.","non-dropping-particle":"","parse-names":false,"suffix":""},{"dropping-particle":"","family":"Rozhkov","given":"V. A.","non-dropping-particle":"","parse-names":false,"suffix":""},{"dropping-particle":"V.","family":"Sorokin","given":"A.","non-dropping-particle":"","parse-names":false,"suffix":""},{"dropping-particle":"","family":"Lukianova","given":"N. Yu","non-dropping-particle":"","parse-names":false,"suffix":""},{"dropping-particle":"","family":"Bezdenezhnykh","given":"N. A.","non-dropping-particle":"","parse-names":false,"suffix":""},{"dropping-particle":"V.","family":"Malyukin","given":"Yu","non-dropping-particle":"","parse-names":false,"suffix":""},{"dropping-particle":"","family":"Chekhun","given":"V. F.","non-dropping-particle":"","parse-names":false,"suffix":""}],"container-title":"Experimental Oncology","id":"ITEM-2","issue":"2","issued":{"date-parts":[["2012"]]},"page":"101-106","title":"Comparative study of dye-loaded liposome accumulation in sensitive and resistant human breast cancer cells","type":"article-journal","volume":"34"},"uris":["http://www.mendeley.com/documents/?uuid=d5e57b22-bdf5-4ffd-83ef-008050721d50"]}],"mendeley":{"formattedCitation":"&lt;sup&gt;329,343&lt;/sup&gt;","plainTextFormattedCitation":"329,343","previouslyFormattedCitation":"&lt;sup&gt;329,343&lt;/sup&gt;"},"properties":{"noteIndex":0},"schema":"https://github.com/citation-style-language/schema/raw/master/csl-citation.json"}</w:instrText>
      </w:r>
      <w:r w:rsidR="00BB0C3E">
        <w:rPr>
          <w:rFonts w:ascii="Arial" w:hAnsi="Arial" w:cs="Arial"/>
          <w:sz w:val="24"/>
          <w:szCs w:val="24"/>
        </w:rPr>
        <w:fldChar w:fldCharType="separate"/>
      </w:r>
      <w:r w:rsidR="008D4DC0" w:rsidRPr="008D4DC0">
        <w:rPr>
          <w:rFonts w:ascii="Arial" w:hAnsi="Arial" w:cs="Arial"/>
          <w:noProof/>
          <w:sz w:val="24"/>
          <w:szCs w:val="24"/>
          <w:vertAlign w:val="superscript"/>
        </w:rPr>
        <w:t>329,343</w:t>
      </w:r>
      <w:r w:rsidR="00BB0C3E">
        <w:rPr>
          <w:rFonts w:ascii="Arial" w:hAnsi="Arial" w:cs="Arial"/>
          <w:sz w:val="24"/>
          <w:szCs w:val="24"/>
        </w:rPr>
        <w:fldChar w:fldCharType="end"/>
      </w:r>
      <w:r w:rsidR="0060787E">
        <w:rPr>
          <w:rFonts w:ascii="Arial" w:hAnsi="Arial" w:cs="Arial"/>
          <w:sz w:val="24"/>
          <w:szCs w:val="24"/>
        </w:rPr>
        <w:t xml:space="preserve"> </w:t>
      </w:r>
      <w:r w:rsidR="00C0511E">
        <w:rPr>
          <w:rFonts w:ascii="Arial" w:hAnsi="Arial" w:cs="Arial"/>
          <w:sz w:val="24"/>
          <w:szCs w:val="24"/>
        </w:rPr>
        <w:t xml:space="preserve">Here, we synthesized DiO liposomes consisting of DSPC, cholesterol, and </w:t>
      </w:r>
      <w:proofErr w:type="spellStart"/>
      <w:r w:rsidR="00C0511E">
        <w:rPr>
          <w:rFonts w:ascii="Arial" w:hAnsi="Arial" w:cs="Arial"/>
          <w:sz w:val="24"/>
          <w:szCs w:val="24"/>
        </w:rPr>
        <w:t>mPEG</w:t>
      </w:r>
      <w:proofErr w:type="spellEnd"/>
      <w:r w:rsidR="00C0511E">
        <w:rPr>
          <w:rFonts w:ascii="Arial" w:hAnsi="Arial" w:cs="Arial"/>
          <w:sz w:val="24"/>
          <w:szCs w:val="24"/>
        </w:rPr>
        <w:t>(2 kDa)-DSPE by running those components in a 1.8: 0.6: 0.6 mass ratio dissolved in a solution of 0.044 mg/mL DiO in ethanol and 1X PBS through our microfluidics setup in a FRR of 7 (hereafter referred to as DiO-Liposomes, Table S3).</w:t>
      </w:r>
      <w:r w:rsidR="001D4AA5">
        <w:rPr>
          <w:rFonts w:ascii="Arial" w:hAnsi="Arial" w:cs="Arial"/>
          <w:sz w:val="24"/>
          <w:szCs w:val="24"/>
        </w:rPr>
        <w:t xml:space="preserve"> We then incubated RAW 264.7 macrophages with DiO-Liposomes for 24 hours and then processed them for Magnify expansion (Figure 4.5 (</w:t>
      </w:r>
      <w:proofErr w:type="spellStart"/>
      <w:proofErr w:type="gramStart"/>
      <w:r w:rsidR="001D4AA5">
        <w:rPr>
          <w:rFonts w:ascii="Arial" w:hAnsi="Arial" w:cs="Arial"/>
          <w:sz w:val="24"/>
          <w:szCs w:val="24"/>
        </w:rPr>
        <w:t>a,b</w:t>
      </w:r>
      <w:proofErr w:type="spellEnd"/>
      <w:proofErr w:type="gramEnd"/>
      <w:r w:rsidR="001D4AA5">
        <w:rPr>
          <w:rFonts w:ascii="Arial" w:hAnsi="Arial" w:cs="Arial"/>
          <w:sz w:val="24"/>
          <w:szCs w:val="24"/>
        </w:rPr>
        <w:t>)).</w:t>
      </w:r>
      <w:r w:rsidR="00A50937">
        <w:rPr>
          <w:rFonts w:ascii="Arial" w:hAnsi="Arial" w:cs="Arial"/>
          <w:sz w:val="24"/>
          <w:szCs w:val="24"/>
        </w:rPr>
        <w:t xml:space="preserve"> While a DiO signal is seen in non-expanded cells, there was no visible DiO signal in the cells following expansion, suggesting that DiO is not compatible with Magnify. </w:t>
      </w:r>
    </w:p>
    <w:p w14:paraId="1670ACE8" w14:textId="77777777" w:rsidR="001D4AA5" w:rsidRDefault="001D4AA5">
      <w:pPr>
        <w:rPr>
          <w:rFonts w:ascii="Arial" w:hAnsi="Arial" w:cs="Arial"/>
          <w:sz w:val="24"/>
          <w:szCs w:val="24"/>
        </w:rPr>
      </w:pPr>
      <w:r>
        <w:rPr>
          <w:rFonts w:ascii="Arial" w:hAnsi="Arial" w:cs="Arial"/>
          <w:sz w:val="24"/>
          <w:szCs w:val="24"/>
        </w:rPr>
        <w:br w:type="page"/>
      </w:r>
    </w:p>
    <w:p w14:paraId="394D2C2B" w14:textId="507353B7" w:rsidR="001D4AA5" w:rsidRPr="0060787E" w:rsidRDefault="003823C2" w:rsidP="00AD5FDD">
      <w:pPr>
        <w:spacing w:line="480" w:lineRule="auto"/>
        <w:jc w:val="center"/>
        <w:rPr>
          <w:rFonts w:ascii="Arial" w:hAnsi="Arial" w:cs="Arial"/>
          <w:sz w:val="24"/>
          <w:szCs w:val="24"/>
        </w:rPr>
      </w:pPr>
      <w:r>
        <w:rPr>
          <w:rFonts w:ascii="Arial" w:hAnsi="Arial" w:cs="Arial"/>
          <w:noProof/>
          <w:sz w:val="24"/>
          <w:szCs w:val="24"/>
        </w:rPr>
        <w:lastRenderedPageBreak/>
        <w:drawing>
          <wp:inline distT="0" distB="0" distL="0" distR="0" wp14:anchorId="7C629158" wp14:editId="0AEAC59A">
            <wp:extent cx="5011008" cy="7081284"/>
            <wp:effectExtent l="0" t="0" r="0" b="0"/>
            <wp:docPr id="423285714" name="Picture 42328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0167" cy="7094227"/>
                    </a:xfrm>
                    <a:prstGeom prst="rect">
                      <a:avLst/>
                    </a:prstGeom>
                    <a:noFill/>
                    <a:ln>
                      <a:noFill/>
                    </a:ln>
                  </pic:spPr>
                </pic:pic>
              </a:graphicData>
            </a:graphic>
          </wp:inline>
        </w:drawing>
      </w:r>
    </w:p>
    <w:p w14:paraId="084016BC" w14:textId="17A9FE11" w:rsidR="00A50937" w:rsidRDefault="00DC5AC4" w:rsidP="00D714F3">
      <w:pPr>
        <w:jc w:val="both"/>
        <w:rPr>
          <w:rFonts w:ascii="Times New Roman" w:hAnsi="Times New Roman" w:cs="Times New Roman"/>
          <w:sz w:val="24"/>
          <w:szCs w:val="24"/>
        </w:rPr>
      </w:pPr>
      <w:r w:rsidRPr="00E57377">
        <w:rPr>
          <w:rFonts w:ascii="Arial" w:hAnsi="Arial" w:cs="Arial"/>
          <w:b/>
          <w:bCs/>
          <w:sz w:val="24"/>
          <w:szCs w:val="24"/>
        </w:rPr>
        <w:t xml:space="preserve">Figure </w:t>
      </w:r>
      <w:r>
        <w:rPr>
          <w:rFonts w:ascii="Arial" w:hAnsi="Arial" w:cs="Arial"/>
          <w:b/>
          <w:bCs/>
          <w:sz w:val="24"/>
          <w:szCs w:val="24"/>
        </w:rPr>
        <w:t>4</w:t>
      </w:r>
      <w:r w:rsidRPr="00E57377">
        <w:rPr>
          <w:rFonts w:ascii="Arial" w:hAnsi="Arial" w:cs="Arial"/>
          <w:b/>
          <w:bCs/>
          <w:sz w:val="24"/>
          <w:szCs w:val="24"/>
        </w:rPr>
        <w:t>.</w:t>
      </w:r>
      <w:r>
        <w:rPr>
          <w:rFonts w:ascii="Arial" w:hAnsi="Arial" w:cs="Arial"/>
          <w:b/>
          <w:bCs/>
          <w:sz w:val="24"/>
          <w:szCs w:val="24"/>
        </w:rPr>
        <w:t>5</w:t>
      </w:r>
      <w:r w:rsidRPr="00E57377">
        <w:rPr>
          <w:rFonts w:ascii="Arial" w:hAnsi="Arial" w:cs="Arial"/>
          <w:b/>
          <w:bCs/>
          <w:sz w:val="24"/>
          <w:szCs w:val="24"/>
        </w:rPr>
        <w:t>:</w:t>
      </w:r>
      <w:r>
        <w:rPr>
          <w:rFonts w:ascii="Arial" w:hAnsi="Arial" w:cs="Arial"/>
          <w:b/>
          <w:bCs/>
          <w:sz w:val="24"/>
          <w:szCs w:val="24"/>
        </w:rPr>
        <w:t xml:space="preserve"> DiO signal from liposomes is not retained through the Mag</w:t>
      </w:r>
      <w:r w:rsidR="00D714F3">
        <w:rPr>
          <w:rFonts w:ascii="Arial" w:hAnsi="Arial" w:cs="Arial"/>
          <w:b/>
          <w:bCs/>
          <w:sz w:val="24"/>
          <w:szCs w:val="24"/>
        </w:rPr>
        <w:t>n</w:t>
      </w:r>
      <w:r>
        <w:rPr>
          <w:rFonts w:ascii="Arial" w:hAnsi="Arial" w:cs="Arial"/>
          <w:b/>
          <w:bCs/>
          <w:sz w:val="24"/>
          <w:szCs w:val="24"/>
        </w:rPr>
        <w:t xml:space="preserve">ify process. </w:t>
      </w:r>
      <w:r w:rsidR="00D714F3" w:rsidRPr="0021334C">
        <w:rPr>
          <w:rFonts w:ascii="Arial" w:hAnsi="Arial" w:cs="Arial"/>
          <w:sz w:val="24"/>
          <w:szCs w:val="24"/>
        </w:rPr>
        <w:t xml:space="preserve">RAW 264.7 macrophages were incubated with </w:t>
      </w:r>
      <w:r w:rsidR="00D714F3">
        <w:rPr>
          <w:rFonts w:ascii="Arial" w:hAnsi="Arial" w:cs="Arial"/>
          <w:sz w:val="24"/>
          <w:szCs w:val="24"/>
        </w:rPr>
        <w:t>DiO</w:t>
      </w:r>
      <w:r w:rsidR="00D714F3" w:rsidRPr="0021334C">
        <w:rPr>
          <w:rFonts w:ascii="Arial" w:hAnsi="Arial" w:cs="Arial"/>
          <w:sz w:val="24"/>
          <w:szCs w:val="24"/>
        </w:rPr>
        <w:t xml:space="preserve">-Liposomes for 24 </w:t>
      </w:r>
      <w:r w:rsidR="00D714F3">
        <w:rPr>
          <w:rFonts w:ascii="Arial" w:hAnsi="Arial" w:cs="Arial"/>
          <w:sz w:val="24"/>
          <w:szCs w:val="24"/>
        </w:rPr>
        <w:t xml:space="preserve">hours </w:t>
      </w:r>
      <w:r w:rsidR="00D714F3" w:rsidRPr="0021334C">
        <w:rPr>
          <w:rFonts w:ascii="Arial" w:hAnsi="Arial" w:cs="Arial"/>
          <w:sz w:val="24"/>
          <w:szCs w:val="24"/>
        </w:rPr>
        <w:t xml:space="preserve">before being washed, fixed, and expanded with the Magnify protocol, along with non-treated controls. Non-expanded cells are shown first </w:t>
      </w:r>
      <w:r w:rsidR="00D714F3" w:rsidRPr="0021334C">
        <w:rPr>
          <w:rFonts w:ascii="Arial" w:hAnsi="Arial" w:cs="Arial"/>
          <w:b/>
          <w:bCs/>
          <w:sz w:val="24"/>
          <w:szCs w:val="24"/>
        </w:rPr>
        <w:t>(a)</w:t>
      </w:r>
      <w:r w:rsidR="00D714F3" w:rsidRPr="0021334C">
        <w:rPr>
          <w:rFonts w:ascii="Arial" w:hAnsi="Arial" w:cs="Arial"/>
          <w:sz w:val="24"/>
          <w:szCs w:val="24"/>
        </w:rPr>
        <w:t xml:space="preserve">, followed by expanded cells </w:t>
      </w:r>
      <w:r w:rsidR="00D714F3" w:rsidRPr="0021334C">
        <w:rPr>
          <w:rFonts w:ascii="Arial" w:hAnsi="Arial" w:cs="Arial"/>
          <w:b/>
          <w:bCs/>
          <w:sz w:val="24"/>
          <w:szCs w:val="24"/>
        </w:rPr>
        <w:t>(b)</w:t>
      </w:r>
      <w:r w:rsidR="00D714F3" w:rsidRPr="0021334C">
        <w:rPr>
          <w:rFonts w:ascii="Arial" w:hAnsi="Arial" w:cs="Arial"/>
          <w:sz w:val="24"/>
          <w:szCs w:val="24"/>
        </w:rPr>
        <w:t xml:space="preserve">. Cells were </w:t>
      </w:r>
      <w:r w:rsidR="00D714F3" w:rsidRPr="0021334C">
        <w:rPr>
          <w:rFonts w:ascii="Arial" w:hAnsi="Arial" w:cs="Arial"/>
          <w:sz w:val="24"/>
          <w:szCs w:val="24"/>
        </w:rPr>
        <w:lastRenderedPageBreak/>
        <w:t>stained with NHS-AF</w:t>
      </w:r>
      <w:r w:rsidR="00D714F3">
        <w:rPr>
          <w:rFonts w:ascii="Arial" w:hAnsi="Arial" w:cs="Arial"/>
          <w:sz w:val="24"/>
          <w:szCs w:val="24"/>
        </w:rPr>
        <w:t>405</w:t>
      </w:r>
      <w:r w:rsidR="00D714F3" w:rsidRPr="0021334C">
        <w:rPr>
          <w:rFonts w:ascii="Arial" w:hAnsi="Arial" w:cs="Arial"/>
          <w:sz w:val="24"/>
          <w:szCs w:val="24"/>
        </w:rPr>
        <w:t xml:space="preserve"> (gray). First the overlay of the NHS-A</w:t>
      </w:r>
      <w:r w:rsidR="00D714F3">
        <w:rPr>
          <w:rFonts w:ascii="Arial" w:hAnsi="Arial" w:cs="Arial"/>
          <w:sz w:val="24"/>
          <w:szCs w:val="24"/>
        </w:rPr>
        <w:t>F405 and DiO</w:t>
      </w:r>
      <w:r w:rsidR="00D714F3" w:rsidRPr="0021334C">
        <w:rPr>
          <w:rFonts w:ascii="Arial" w:hAnsi="Arial" w:cs="Arial"/>
          <w:sz w:val="24"/>
          <w:szCs w:val="24"/>
        </w:rPr>
        <w:t xml:space="preserve"> (green) is shown, followed by a digital magnification of a region of interest. White arrows indicate the position of </w:t>
      </w:r>
      <w:r w:rsidR="00D714F3">
        <w:rPr>
          <w:rFonts w:ascii="Arial" w:hAnsi="Arial" w:cs="Arial"/>
          <w:sz w:val="24"/>
          <w:szCs w:val="24"/>
        </w:rPr>
        <w:t xml:space="preserve">DiO </w:t>
      </w:r>
      <w:r w:rsidR="00D714F3" w:rsidRPr="0021334C">
        <w:rPr>
          <w:rFonts w:ascii="Arial" w:hAnsi="Arial" w:cs="Arial"/>
          <w:sz w:val="24"/>
          <w:szCs w:val="24"/>
        </w:rPr>
        <w:t>signal within intracellular vesicles.</w:t>
      </w:r>
      <w:r w:rsidR="00A50937">
        <w:rPr>
          <w:rFonts w:ascii="Arial" w:hAnsi="Arial" w:cs="Arial"/>
          <w:sz w:val="24"/>
          <w:szCs w:val="24"/>
        </w:rPr>
        <w:t xml:space="preserve"> No significant DiO signal was found in expanded DiO-Liposome treated cells. </w:t>
      </w:r>
      <w:r w:rsidR="00D714F3" w:rsidRPr="0021334C">
        <w:rPr>
          <w:rFonts w:ascii="Arial" w:hAnsi="Arial" w:cs="Arial"/>
          <w:sz w:val="24"/>
          <w:szCs w:val="24"/>
        </w:rPr>
        <w:t>The scale bars indicate 20 µm in the unmagnified images and 5 µm in the magnified images, not corrected for expansion factors.</w:t>
      </w:r>
      <w:r w:rsidR="00D714F3">
        <w:rPr>
          <w:rFonts w:ascii="Times New Roman" w:hAnsi="Times New Roman" w:cs="Times New Roman"/>
          <w:sz w:val="24"/>
          <w:szCs w:val="24"/>
        </w:rPr>
        <w:t xml:space="preserve"> </w:t>
      </w:r>
    </w:p>
    <w:p w14:paraId="6F84A0D9" w14:textId="77777777" w:rsidR="00A50937" w:rsidRDefault="00A50937">
      <w:pPr>
        <w:rPr>
          <w:rFonts w:ascii="Times New Roman" w:hAnsi="Times New Roman" w:cs="Times New Roman"/>
          <w:sz w:val="24"/>
          <w:szCs w:val="24"/>
        </w:rPr>
      </w:pPr>
      <w:r>
        <w:rPr>
          <w:rFonts w:ascii="Times New Roman" w:hAnsi="Times New Roman" w:cs="Times New Roman"/>
          <w:sz w:val="24"/>
          <w:szCs w:val="24"/>
        </w:rPr>
        <w:br w:type="page"/>
      </w:r>
    </w:p>
    <w:p w14:paraId="1116182C" w14:textId="60BA53B4" w:rsidR="00D714F3" w:rsidRPr="00A50937" w:rsidRDefault="00A50937" w:rsidP="0061714F">
      <w:pPr>
        <w:spacing w:line="480" w:lineRule="auto"/>
        <w:jc w:val="both"/>
        <w:rPr>
          <w:rFonts w:ascii="Arial" w:hAnsi="Arial" w:cs="Arial"/>
          <w:sz w:val="24"/>
          <w:szCs w:val="24"/>
        </w:rPr>
      </w:pPr>
      <w:r>
        <w:rPr>
          <w:rFonts w:ascii="Times New Roman" w:hAnsi="Times New Roman" w:cs="Times New Roman"/>
          <w:sz w:val="24"/>
          <w:szCs w:val="24"/>
        </w:rPr>
        <w:lastRenderedPageBreak/>
        <w:tab/>
      </w:r>
      <w:r>
        <w:rPr>
          <w:rFonts w:ascii="Arial" w:hAnsi="Arial" w:cs="Arial"/>
          <w:sz w:val="24"/>
          <w:szCs w:val="24"/>
        </w:rPr>
        <w:t>To</w:t>
      </w:r>
      <w:r w:rsidR="0061714F">
        <w:rPr>
          <w:rFonts w:ascii="Arial" w:hAnsi="Arial" w:cs="Arial"/>
          <w:sz w:val="24"/>
          <w:szCs w:val="24"/>
        </w:rPr>
        <w:t xml:space="preserve"> further</w:t>
      </w:r>
      <w:r>
        <w:rPr>
          <w:rFonts w:ascii="Arial" w:hAnsi="Arial" w:cs="Arial"/>
          <w:sz w:val="24"/>
          <w:szCs w:val="24"/>
        </w:rPr>
        <w:t xml:space="preserve"> validate </w:t>
      </w:r>
      <w:r w:rsidR="0061714F">
        <w:rPr>
          <w:rFonts w:ascii="Arial" w:hAnsi="Arial" w:cs="Arial"/>
          <w:sz w:val="24"/>
          <w:szCs w:val="24"/>
        </w:rPr>
        <w:t xml:space="preserve">that the DiO is not compatible with Magnify, and to determine if the DiO is disassociating with the liposomes during the gel expansion steps or if the DiO signal is lost during one of the previous steps, we stained cells with DiO directly at different steps of the Magnify process. We first stained live RAW 264.7 macrophages with DiO, and then fixed them, where we were able to observe a clear DiO signal surrounding the nuclei of the cells (Figure S4.4a). We </w:t>
      </w:r>
      <w:r w:rsidR="00494F6B">
        <w:rPr>
          <w:rFonts w:ascii="Arial" w:hAnsi="Arial" w:cs="Arial"/>
          <w:sz w:val="24"/>
          <w:szCs w:val="24"/>
        </w:rPr>
        <w:t>then</w:t>
      </w:r>
      <w:r w:rsidR="0061714F">
        <w:rPr>
          <w:rFonts w:ascii="Arial" w:hAnsi="Arial" w:cs="Arial"/>
          <w:sz w:val="24"/>
          <w:szCs w:val="24"/>
        </w:rPr>
        <w:t xml:space="preserve"> expanded RAW 264.7 macrophages that were stained with DiO before </w:t>
      </w:r>
      <w:r w:rsidR="008E600E">
        <w:rPr>
          <w:rFonts w:ascii="Arial" w:hAnsi="Arial" w:cs="Arial"/>
          <w:sz w:val="24"/>
          <w:szCs w:val="24"/>
        </w:rPr>
        <w:t>fixation and</w:t>
      </w:r>
      <w:r w:rsidR="0061714F">
        <w:rPr>
          <w:rFonts w:ascii="Arial" w:hAnsi="Arial" w:cs="Arial"/>
          <w:sz w:val="24"/>
          <w:szCs w:val="24"/>
        </w:rPr>
        <w:t xml:space="preserve"> found that the DiO signal had been essentially lost (Figure S4.4b). However, we observed that RAW 264.7 macrophages that were stained with DiO following the</w:t>
      </w:r>
      <w:r w:rsidR="00192B5D">
        <w:rPr>
          <w:rFonts w:ascii="Arial" w:hAnsi="Arial" w:cs="Arial"/>
          <w:sz w:val="24"/>
          <w:szCs w:val="24"/>
        </w:rPr>
        <w:t xml:space="preserve"> homogenization step of the Magnify process retained the DiO signal after the expansion was completed (Figure S4.4c). </w:t>
      </w:r>
      <w:r w:rsidR="008E600E">
        <w:rPr>
          <w:rFonts w:ascii="Arial" w:hAnsi="Arial" w:cs="Arial"/>
          <w:sz w:val="24"/>
          <w:szCs w:val="24"/>
        </w:rPr>
        <w:t>While it has been suggested that lipophillic dyes can dissociate in water,</w:t>
      </w:r>
      <w:r w:rsidR="008E600E">
        <w:rPr>
          <w:rFonts w:ascii="Arial" w:hAnsi="Arial" w:cs="Arial"/>
          <w:sz w:val="24"/>
          <w:szCs w:val="24"/>
        </w:rPr>
        <w:fldChar w:fldCharType="begin" w:fldLock="1"/>
      </w:r>
      <w:r w:rsidR="00E26DE5">
        <w:rPr>
          <w:rFonts w:ascii="Arial" w:hAnsi="Arial" w:cs="Arial"/>
          <w:sz w:val="24"/>
          <w:szCs w:val="24"/>
        </w:rPr>
        <w:instrText>ADDIN CSL_CITATION {"citationItems":[{"id":"ITEM-1","itemData":{"DOI":"10.1038/s41587-022-01546-1","ISSN":"15461696","abstract":"Expansion microscopy enables nanoimaging with conventional microscopes by physically and isotropically magnifying preserved biological specimens embedded in a crosslinked water-swellable hydrogel. Current expansion microscopy protocols require prior treatment with reactive anchoring chemicals to link specific labels and biomolecule classes to the gel. We describe a strategy called Magnify, which uses a mechanically sturdy gel that retains nucleic acids, proteins and lipids without the need for a separate anchoring step. Magnify expands biological specimens up to 11 times and facilitates imaging of cells and tissues with effectively around 25-nm resolution using a diffraction-limited objective lens of about 280 nm on conventional optical microscopes or with around 15 nm effective resolution if combined with super-resolution optical fluctuation imaging. We demonstrate Magnify on a broad range of biological specimens, providing insight into nanoscopic subcellular structures, including synaptic proteins from mouse brain, podocyte foot processes in formalin-fixed paraffin-embedded human kidney and defects in cilia and basal bodies in drug-treated human lung organoids.","author":[{"dropping-particle":"","family":"Klimas","given":"Aleksandra","non-dropping-particle":"","parse-names":false,"suffix":""},{"dropping-particle":"","family":"Gallagher","given":"Brendan R.","non-dropping-particle":"","parse-names":false,"suffix":""},{"dropping-particle":"","family":"Wijesekara","given":"Piyumi","non-dropping-particle":"","parse-names":false,"suffix":""},{"dropping-particle":"","family":"Fekir","given":"Sinda","non-dropping-particle":"","parse-names":false,"suffix":""},{"dropping-particle":"","family":"DiBernardo","given":"Emma F.","non-dropping-particle":"","parse-names":false,"suffix":""},{"dropping-particle":"","family":"Cheng","given":"Zhangyu","non-dropping-particle":"","parse-names":false,"suffix":""},{"dropping-particle":"","family":"Stolz","given":"Donna B.","non-dropping-particle":"","parse-names":false,"suffix":""},{"dropping-particle":"","family":"Cambi","given":"Franca","non-dropping-particle":"","parse-names":false,"suffix":""},{"dropping-particle":"","family":"Watkins","given":"Simon C.","non-dropping-particle":"","parse-names":false,"suffix":""},{"dropping-particle":"","family":"Brody","given":"Steven L.","non-dropping-particle":"","parse-names":false,"suffix":""},{"dropping-particle":"","family":"Horani","given":"Amjad","non-dropping-particle":"","parse-names":false,"suffix":""},{"dropping-particle":"","family":"Barth","given":"Alison L.","non-dropping-particle":"","parse-names":false,"suffix":""},{"dropping-particle":"","family":"Moore","given":"Christopher I.","non-dropping-particle":"","parse-names":false,"suffix":""},{"dropping-particle":"","family":"Ren","given":"Xi","non-dropping-particle":"","parse-names":false,"suffix":""},{"dropping-particle":"","family":"Zhao","given":"Yongxin","non-dropping-particle":"","parse-names":false,"suffix":""}],"container-title":"Nature Biotechnology","id":"ITEM-1","issued":{"date-parts":[["2023"]]},"publisher":"Springer US","title":"Magnify is a universal molecular anchoring strategy for expansion microscopy","type":"article-journal"},"uris":["http://www.mendeley.com/documents/?uuid=62267381-5794-4d06-9389-2b71ea248851"]}],"mendeley":{"formattedCitation":"&lt;sup&gt;325&lt;/sup&gt;","plainTextFormattedCitation":"325","previouslyFormattedCitation":"&lt;sup&gt;325&lt;/sup&gt;"},"properties":{"noteIndex":0},"schema":"https://github.com/citation-style-language/schema/raw/master/csl-citation.json"}</w:instrText>
      </w:r>
      <w:r w:rsidR="008E600E">
        <w:rPr>
          <w:rFonts w:ascii="Arial" w:hAnsi="Arial" w:cs="Arial"/>
          <w:sz w:val="24"/>
          <w:szCs w:val="24"/>
        </w:rPr>
        <w:fldChar w:fldCharType="separate"/>
      </w:r>
      <w:r w:rsidR="008D4DC0" w:rsidRPr="008D4DC0">
        <w:rPr>
          <w:rFonts w:ascii="Arial" w:hAnsi="Arial" w:cs="Arial"/>
          <w:noProof/>
          <w:sz w:val="24"/>
          <w:szCs w:val="24"/>
          <w:vertAlign w:val="superscript"/>
        </w:rPr>
        <w:t>325</w:t>
      </w:r>
      <w:r w:rsidR="008E600E">
        <w:rPr>
          <w:rFonts w:ascii="Arial" w:hAnsi="Arial" w:cs="Arial"/>
          <w:sz w:val="24"/>
          <w:szCs w:val="24"/>
        </w:rPr>
        <w:fldChar w:fldCharType="end"/>
      </w:r>
      <w:r w:rsidR="008E600E">
        <w:rPr>
          <w:rFonts w:ascii="Arial" w:hAnsi="Arial" w:cs="Arial"/>
          <w:sz w:val="24"/>
          <w:szCs w:val="24"/>
        </w:rPr>
        <w:t xml:space="preserve"> our results demonstrate that we can at minimum transiently image DiO in expanded cells. We can </w:t>
      </w:r>
      <w:r w:rsidR="00EA2998">
        <w:rPr>
          <w:rFonts w:ascii="Arial" w:hAnsi="Arial" w:cs="Arial"/>
          <w:sz w:val="24"/>
          <w:szCs w:val="24"/>
        </w:rPr>
        <w:t xml:space="preserve">then deduce </w:t>
      </w:r>
      <w:r w:rsidR="008E600E">
        <w:rPr>
          <w:rFonts w:ascii="Arial" w:hAnsi="Arial" w:cs="Arial"/>
          <w:sz w:val="24"/>
          <w:szCs w:val="24"/>
        </w:rPr>
        <w:t xml:space="preserve">that the DiO signal is lost during either the gelation or homogenization steps of the Magnify process. It is highly likely that the homogenization step is the cause of the DiO signal loss, as the homogenization buffer used in this step contains sodium dodecyl sulfate (SDS), which has been demonstrated </w:t>
      </w:r>
      <w:r w:rsidR="00D81B31">
        <w:rPr>
          <w:rFonts w:ascii="Arial" w:hAnsi="Arial" w:cs="Arial"/>
          <w:sz w:val="24"/>
          <w:szCs w:val="24"/>
        </w:rPr>
        <w:t xml:space="preserve">by Chan et al. </w:t>
      </w:r>
      <w:r w:rsidR="008E600E">
        <w:rPr>
          <w:rFonts w:ascii="Arial" w:hAnsi="Arial" w:cs="Arial"/>
          <w:sz w:val="24"/>
          <w:szCs w:val="24"/>
        </w:rPr>
        <w:t xml:space="preserve">to </w:t>
      </w:r>
      <w:r w:rsidR="00D81B31">
        <w:rPr>
          <w:rFonts w:ascii="Arial" w:hAnsi="Arial" w:cs="Arial"/>
          <w:sz w:val="24"/>
          <w:szCs w:val="24"/>
        </w:rPr>
        <w:t xml:space="preserve">greatly </w:t>
      </w:r>
      <w:r w:rsidR="008E600E">
        <w:rPr>
          <w:rFonts w:ascii="Arial" w:hAnsi="Arial" w:cs="Arial"/>
          <w:sz w:val="24"/>
          <w:szCs w:val="24"/>
        </w:rPr>
        <w:t>reduce the signal</w:t>
      </w:r>
      <w:r w:rsidR="00D81B31">
        <w:rPr>
          <w:rFonts w:ascii="Arial" w:hAnsi="Arial" w:cs="Arial"/>
          <w:sz w:val="24"/>
          <w:szCs w:val="24"/>
        </w:rPr>
        <w:t xml:space="preserve"> of DiO under similar conditions in the CLARITY tissue clearing protocol.</w:t>
      </w:r>
      <w:r w:rsidR="00D81B31">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{"citationItems":[{"id":"ITEM-1","itemData":{"DOI":"10.1021/acs.nanolett.9b04853","ISSN":"1530-6984","author":[{"dropping-particle":"","family":"Syed","given":"Abdullah Muhammad","non-dropping-particle":"","parse-names":false,"suffix":""},{"dropping-particle":"","family":"MacMillan","given":"Presley","non-dropping-particle":"","parse-names":false,"suffix":""},{"dropping-particle":"","family":"Ngai","given":"Jessica","non-dropping-particle":"","parse-names":false,"suffix":""},{"dropping-particle":"","family":"Wilhelm","given":"Stefan","non-dropping-particle":"","parse-names":false,"suffix":""},{"dropping-particle":"","family":"Sindhwani","given":"Shrey","non-dropping-particle":"","parse-names":false,"suffix":""},{"dropping-particle":"","family":"Kingston","given":"Benjamin R.","non-dropping-particle":"","parse-names":false,"suffix":""},{"dropping-particle":"","family":"Wu","given":"Jamie L. Y.","non-dropping-particle":"","parse-names":false,"suffix":""},{"dropping-particle":"","family":"Llano-Suárez","given":"Pablo","non-dropping-particle":"","parse-names":false,"suffix":""},{"dropping-particle":"","family":"Lin","given":"Zachary Pengju","non-dropping-particle":"","parse-names":false,"suffix":""},{"dropping-particle":"","family":"Ouyang","given":"Ben","non-dropping-particle":"","parse-names":false,"suffix":""},{"dropping-particle":"","family":"Kahiel","given":"Zaina","non-dropping-particle":"","parse-names":false,"suffix":""},{"dropping-particle":"","family":"Gadde","given":"Suresh","non-dropping-particle":"","parse-names":false,"suffix":""},{"dropping-particle":"","family":"Chan","given":"Warren C. W.","non-dropping-particle":"","parse-names":false,"suffix":""}],"container-title":"Nano Letters","id":"ITEM-1","issue":"2","issued":{"date-parts":[["2020","2","12"]]},"page":"1362-1369","title":"Liposome Imaging in Optically Cleared Tissues","type":"article-journal","volume":"20"},"uris":["http://www.mendeley.com/documents/?uuid=172647f1-bfa1-47ba-92ce-81885b6f54ac"]}],"mendeley":{"formattedCitation":"&lt;sup&gt;263&lt;/sup&gt;","plainTextFormattedCitation":"263","previouslyFormattedCitation":"&lt;sup&gt;263&lt;/sup&gt;"},"properties":{"noteIndex":0},"schema":"https://github.com/citation-style-language/schema/raw/master/csl-citation.json"}</w:instrText>
      </w:r>
      <w:r w:rsidR="00D81B31">
        <w:rPr>
          <w:rFonts w:ascii="Arial" w:hAnsi="Arial" w:cs="Arial"/>
          <w:sz w:val="24"/>
          <w:szCs w:val="24"/>
        </w:rPr>
        <w:fldChar w:fldCharType="separate"/>
      </w:r>
      <w:r w:rsidR="009D7D40" w:rsidRPr="009D7D40">
        <w:rPr>
          <w:rFonts w:ascii="Arial" w:hAnsi="Arial" w:cs="Arial"/>
          <w:noProof/>
          <w:sz w:val="24"/>
          <w:szCs w:val="24"/>
          <w:vertAlign w:val="superscript"/>
        </w:rPr>
        <w:t>263</w:t>
      </w:r>
      <w:r w:rsidR="00D81B31">
        <w:rPr>
          <w:rFonts w:ascii="Arial" w:hAnsi="Arial" w:cs="Arial"/>
          <w:sz w:val="24"/>
          <w:szCs w:val="24"/>
        </w:rPr>
        <w:fldChar w:fldCharType="end"/>
      </w:r>
      <w:r w:rsidR="004C25C3">
        <w:rPr>
          <w:rFonts w:ascii="Arial" w:hAnsi="Arial" w:cs="Arial"/>
          <w:sz w:val="24"/>
          <w:szCs w:val="24"/>
        </w:rPr>
        <w:t xml:space="preserve"> Given that the DiO signal cannot be retained on liposomes through the Magnify process when administered to cells while they are alive, and that DiO</w:t>
      </w:r>
      <w:r w:rsidR="00EA2998">
        <w:rPr>
          <w:rFonts w:ascii="Arial" w:hAnsi="Arial" w:cs="Arial"/>
          <w:sz w:val="24"/>
          <w:szCs w:val="24"/>
        </w:rPr>
        <w:t xml:space="preserve"> alone</w:t>
      </w:r>
      <w:r w:rsidR="004C25C3">
        <w:rPr>
          <w:rFonts w:ascii="Arial" w:hAnsi="Arial" w:cs="Arial"/>
          <w:sz w:val="24"/>
          <w:szCs w:val="24"/>
        </w:rPr>
        <w:t xml:space="preserve"> cannot </w:t>
      </w:r>
      <w:r w:rsidR="00EA2998">
        <w:rPr>
          <w:rFonts w:ascii="Arial" w:hAnsi="Arial" w:cs="Arial"/>
          <w:sz w:val="24"/>
          <w:szCs w:val="24"/>
        </w:rPr>
        <w:t>feasibly</w:t>
      </w:r>
      <w:r w:rsidR="004C25C3">
        <w:rPr>
          <w:rFonts w:ascii="Arial" w:hAnsi="Arial" w:cs="Arial"/>
          <w:sz w:val="24"/>
          <w:szCs w:val="24"/>
        </w:rPr>
        <w:t xml:space="preserve"> be used to stain intracellular liposomes without staining other features of the cell following the homogenization step</w:t>
      </w:r>
      <w:r w:rsidR="00EA2998">
        <w:rPr>
          <w:rFonts w:ascii="Arial" w:hAnsi="Arial" w:cs="Arial"/>
          <w:sz w:val="24"/>
          <w:szCs w:val="24"/>
        </w:rPr>
        <w:t xml:space="preserve">, we can conclude that DiO is not suitable for labelling liposomes for Magnify experiments. Further work is therefore necessary for determining a method of staining liposomes directly in a manner that is compatible with the Magnify protocol. Potential solutions include using a </w:t>
      </w:r>
      <w:r w:rsidR="0002232B">
        <w:rPr>
          <w:rFonts w:ascii="Arial" w:hAnsi="Arial" w:cs="Arial"/>
          <w:sz w:val="24"/>
          <w:szCs w:val="24"/>
        </w:rPr>
        <w:lastRenderedPageBreak/>
        <w:t>fluorophore attached to a crosslinkable peptide that can attach to liposomes for labelling before fixation, such as the REMNANT tag described by Chen et al.,</w:t>
      </w:r>
      <w:r w:rsidR="0002232B">
        <w:rPr>
          <w:rFonts w:ascii="Arial" w:hAnsi="Arial" w:cs="Arial"/>
          <w:sz w:val="24"/>
          <w:szCs w:val="24"/>
        </w:rPr>
        <w:fldChar w:fldCharType="begin" w:fldLock="1"/>
      </w:r>
      <w:r w:rsidR="008C387C">
        <w:rPr>
          <w:rFonts w:ascii="Arial" w:hAnsi="Arial" w:cs="Arial"/>
          <w:sz w:val="24"/>
          <w:szCs w:val="24"/>
        </w:rPr>
        <w:instrText>ADDIN CSL_CITATION {"citationItems":[{"id":"ITEM-1","itemData":{"DOI":"10.1021/acs.nanolett.9b04853","ISSN":"1530-6984","author":[{"dropping-particle":"","family":"Syed","given":"Abdullah Muhammad","non-dropping-particle":"","parse-names":false,"suffix":""},{"dropping-particle":"","family":"MacMillan","given":"Presley","non-dropping-particle":"","parse-names":false,"suffix":""},{"dropping-particle":"","family":"Ngai","given":"Jessica","non-dropping-particle":"","parse-names":false,"suffix":""},{"dropping-particle":"","family":"Wilhelm","given":"Stefan","non-dropping-particle":"","parse-names":false,"suffix":""},{"dropping-particle":"","family":"Sindhwani","given":"Shrey","non-dropping-particle":"","parse-names":false,"suffix":""},{"dropping-particle":"","family":"Kingston","given":"Benjamin R.","non-dropping-particle":"","parse-names":false,"suffix":""},{"dropping-particle":"","family":"Wu","given":"Jamie L. Y.","non-dropping-particle":"","parse-names":false,"suffix":""},{"dropping-particle":"","family":"Llano-Suárez","given":"Pablo","non-dropping-particle":"","parse-names":false,"suffix":""},{"dropping-particle":"","family":"Lin","given":"Zachary Pengju","non-dropping-particle":"","parse-names":false,"suffix":""},{"dropping-particle":"","family":"Ouyang","given":"Ben","non-dropping-particle":"","parse-names":false,"suffix":""},{"dropping-particle":"","family":"Kahiel","given":"Zaina","non-dropping-particle":"","parse-names":false,"suffix":""},{"dropping-particle":"","family":"Gadde","given":"Suresh","non-dropping-particle":"","parse-names":false,"suffix":""},{"dropping-particle":"","family":"Chan","given":"Warren C. W.","non-dropping-particle":"","parse-names":false,"suffix":""}],"container-title":"Nano Letters","id":"ITEM-1","issue":"2","issued":{"date-parts":[["2020","2","12"]]},"page":"1362-1369","title":"Liposome Imaging in Optically Cleared Tissues","type":"article-journal","volume":"20"},"uris":["http://www.mendeley.com/documents/?uuid=172647f1-bfa1-47ba-92ce-81885b6f54ac"]}],"mendeley":{"formattedCitation":"&lt;sup&gt;263&lt;/sup&gt;","plainTextFormattedCitation":"263","previouslyFormattedCitation":"&lt;sup&gt;263&lt;/sup&gt;"},"properties":{"noteIndex":0},"schema":"https://github.com/citation-style-language/schema/raw/master/csl-citation.json"}</w:instrText>
      </w:r>
      <w:r w:rsidR="0002232B">
        <w:rPr>
          <w:rFonts w:ascii="Arial" w:hAnsi="Arial" w:cs="Arial"/>
          <w:sz w:val="24"/>
          <w:szCs w:val="24"/>
        </w:rPr>
        <w:fldChar w:fldCharType="separate"/>
      </w:r>
      <w:r w:rsidR="009D7D40" w:rsidRPr="009D7D40">
        <w:rPr>
          <w:rFonts w:ascii="Arial" w:hAnsi="Arial" w:cs="Arial"/>
          <w:noProof/>
          <w:sz w:val="24"/>
          <w:szCs w:val="24"/>
          <w:vertAlign w:val="superscript"/>
        </w:rPr>
        <w:t>263</w:t>
      </w:r>
      <w:r w:rsidR="0002232B">
        <w:rPr>
          <w:rFonts w:ascii="Arial" w:hAnsi="Arial" w:cs="Arial"/>
          <w:sz w:val="24"/>
          <w:szCs w:val="24"/>
        </w:rPr>
        <w:fldChar w:fldCharType="end"/>
      </w:r>
      <w:r w:rsidR="0002232B">
        <w:rPr>
          <w:rFonts w:ascii="Arial" w:hAnsi="Arial" w:cs="Arial"/>
          <w:sz w:val="24"/>
          <w:szCs w:val="24"/>
        </w:rPr>
        <w:t xml:space="preserve"> or by using click chemistry tags to label the intracellular liposomes after the homogenization step.</w:t>
      </w:r>
      <w:r w:rsidR="0075415A">
        <w:rPr>
          <w:rFonts w:ascii="Arial" w:hAnsi="Arial" w:cs="Arial"/>
          <w:sz w:val="24"/>
          <w:szCs w:val="24"/>
        </w:rPr>
        <w:fldChar w:fldCharType="begin" w:fldLock="1"/>
      </w:r>
      <w:r w:rsidR="00E26DE5">
        <w:rPr>
          <w:rFonts w:ascii="Arial" w:hAnsi="Arial" w:cs="Arial"/>
          <w:sz w:val="24"/>
          <w:szCs w:val="24"/>
        </w:rPr>
        <w:instrText>ADDIN CSL_CITATION {"citationItems":[{"id":"ITEM-1","itemData":{"DOI":"10.1016/j.jconrel.2015.01.027","ISSN":"01683659","PMID":"25626085","abstract":"The modification of liposomal surfaces is of interest for many different applications and a variety of chemistries are available that makes this possible. A major disadvantage of commonly used coupling chemistries (e.g. maleimide-thiol coupling) is the limited control over the site of conjugation in cases where multiple reactive functionalities are present, leading to heterogeneous products and in some cases dysfunctional conjugates. Bioorthogonal coupling approaches such as the well-established copper-catalyzed azide-alkyne cycloaddition (CuAAC) \"click\" reaction are attractive alternatives as the reaction kinetics are favorable and azide-containing reagents are widely available. In the work described here, we prepared lipids containing a reactive cyclooctyne group and, after incorporation into liposomes, demonstrated successful conjugation of both a small molecule dye (5′-TAMRA-azide) as well as a larger azide-containing model protein based upon a designed ankyrin repeat protein (azido-DARPin). By applying the strain-promoted azido-alkyne cycloaddition (SPAAC) the use of Cu(I) as a catalyst is avoided, an important advantage considering the known deleterious effects associated with copper in cell and protein studies. We demonstrate complete control over the number of ligands coupled per liposome when using a small molecule azide with conjugation occurring at a reasonable reaction rate. By comparison, the conjugation of a larger azide-modified protein occurs more slowly, however the number of protein ligands coupled was found to be sufficient for liposome targeting to cells. Importantly, these results provide a strong proof of concept for the site-specific conjugation of protein ligands to liposomal surfaces via SPAAC. Unlike conventional approaches, this strategy provides for the homogeneous coupling of proteins bearing a single site-specific azide modification and eliminates the chance of forming dysfunctional ligands on the liposome. Furthermore, the absence of copper in the reaction process should also make this approach much more compatible with cell-based and in vivo applications.","author":[{"dropping-particle":"","family":"Oude Blenke","given":"Erik","non-dropping-particle":"","parse-names":false,"suffix":""},{"dropping-particle":"","family":"Klaasse","given":"Gruson","non-dropping-particle":"","parse-names":false,"suffix":""},{"dropping-particle":"","family":"Merten","given":"Hannes","non-dropping-particle":"","parse-names":false,"suffix":""},{"dropping-particle":"","family":"Plückthun","given":"Andreas","non-dropping-particle":"","parse-names":false,"suffix":""},{"dropping-particle":"","family":"Mastrobattista","given":"Enrico","non-dropping-particle":"","parse-names":false,"suffix":""},{"dropping-particle":"","family":"Martin","given":"Nathaniel I.","non-dropping-particle":"","parse-names":false,"suffix":""}],"container-title":"Journal of Controlled Release","id":"ITEM-1","issued":{"date-parts":[["2015","3"]]},"page":"14-20","publisher":"Elsevier B.V.","title":"Liposome functionalization with copper-free “click chemistry”","type":"article-journal","volume":"202"},"uris":["http://www.mendeley.com/documents/?uuid=944baffb-32f0-4cf7-a8e0-d4e0bf180fa4"]}],"mendeley":{"formattedCitation":"&lt;sup&gt;344&lt;/sup&gt;","plainTextFormattedCitation":"344","previouslyFormattedCitation":"&lt;sup&gt;344&lt;/sup&gt;"},"properties":{"noteIndex":0},"schema":"https://github.com/citation-style-language/schema/raw/master/csl-citation.json"}</w:instrText>
      </w:r>
      <w:r w:rsidR="0075415A">
        <w:rPr>
          <w:rFonts w:ascii="Arial" w:hAnsi="Arial" w:cs="Arial"/>
          <w:sz w:val="24"/>
          <w:szCs w:val="24"/>
        </w:rPr>
        <w:fldChar w:fldCharType="separate"/>
      </w:r>
      <w:r w:rsidR="008D4DC0" w:rsidRPr="008D4DC0">
        <w:rPr>
          <w:rFonts w:ascii="Arial" w:hAnsi="Arial" w:cs="Arial"/>
          <w:noProof/>
          <w:sz w:val="24"/>
          <w:szCs w:val="24"/>
          <w:vertAlign w:val="superscript"/>
        </w:rPr>
        <w:t>344</w:t>
      </w:r>
      <w:r w:rsidR="0075415A">
        <w:rPr>
          <w:rFonts w:ascii="Arial" w:hAnsi="Arial" w:cs="Arial"/>
          <w:sz w:val="24"/>
          <w:szCs w:val="24"/>
        </w:rPr>
        <w:fldChar w:fldCharType="end"/>
      </w:r>
    </w:p>
    <w:p w14:paraId="13E42412" w14:textId="1DB4D6E2" w:rsidR="00305282" w:rsidRDefault="00305282" w:rsidP="00721691">
      <w:pPr>
        <w:pStyle w:val="Heading2"/>
      </w:pPr>
      <w:bookmarkStart w:id="59" w:name="_Toc151032438"/>
      <w:r>
        <w:t>4.3 Conclusion</w:t>
      </w:r>
      <w:bookmarkEnd w:id="59"/>
    </w:p>
    <w:p w14:paraId="2031F44F" w14:textId="77777777" w:rsidR="00721691" w:rsidRPr="00721691" w:rsidRDefault="00721691" w:rsidP="00721691"/>
    <w:p w14:paraId="281321DA" w14:textId="1296740B" w:rsidR="00F230AB" w:rsidRPr="000D3D4F" w:rsidRDefault="0096461C" w:rsidP="00F230AB">
      <w:pPr>
        <w:spacing w:line="480" w:lineRule="auto"/>
        <w:ind w:firstLine="360"/>
        <w:jc w:val="both"/>
        <w:rPr>
          <w:rFonts w:ascii="Arial" w:hAnsi="Arial" w:cs="Arial"/>
          <w:sz w:val="24"/>
          <w:szCs w:val="24"/>
        </w:rPr>
      </w:pPr>
      <w:r>
        <w:rPr>
          <w:rFonts w:ascii="Arial" w:hAnsi="Arial" w:cs="Arial"/>
          <w:sz w:val="24"/>
          <w:szCs w:val="24"/>
        </w:rPr>
        <w:t xml:space="preserve">Here, we demonstrated that the Magnify expansion microscopy protocol </w:t>
      </w:r>
      <w:r w:rsidR="00815083">
        <w:rPr>
          <w:rFonts w:ascii="Arial" w:hAnsi="Arial" w:cs="Arial"/>
          <w:sz w:val="24"/>
          <w:szCs w:val="24"/>
        </w:rPr>
        <w:t>can allow for the visualization of the intracellular distribution of fluorescent, large molecule drugs encapsulated within liposomes with 3D super-resolution.</w:t>
      </w:r>
      <w:r w:rsidR="00432B78">
        <w:rPr>
          <w:rFonts w:ascii="Arial" w:hAnsi="Arial" w:cs="Arial"/>
          <w:sz w:val="24"/>
          <w:szCs w:val="24"/>
        </w:rPr>
        <w:t xml:space="preserve"> </w:t>
      </w:r>
      <w:r w:rsidR="001A7A8B">
        <w:rPr>
          <w:rFonts w:ascii="Arial" w:hAnsi="Arial" w:cs="Arial"/>
          <w:sz w:val="24"/>
          <w:szCs w:val="24"/>
        </w:rPr>
        <w:t>This method allows for more informed research into the delivery of</w:t>
      </w:r>
      <w:r w:rsidR="00C07BF4">
        <w:rPr>
          <w:rFonts w:ascii="Arial" w:hAnsi="Arial" w:cs="Arial"/>
          <w:sz w:val="24"/>
          <w:szCs w:val="24"/>
        </w:rPr>
        <w:t xml:space="preserve"> liposomal</w:t>
      </w:r>
      <w:r w:rsidR="001A7A8B">
        <w:rPr>
          <w:rFonts w:ascii="Arial" w:hAnsi="Arial" w:cs="Arial"/>
          <w:sz w:val="24"/>
          <w:szCs w:val="24"/>
        </w:rPr>
        <w:t xml:space="preserve"> anti-cancer therapeutics</w:t>
      </w:r>
      <w:r w:rsidR="00C07BF4">
        <w:rPr>
          <w:rFonts w:ascii="Arial" w:hAnsi="Arial" w:cs="Arial"/>
          <w:sz w:val="24"/>
          <w:szCs w:val="24"/>
        </w:rPr>
        <w:t xml:space="preserve"> towards improved clinical outcomes</w:t>
      </w:r>
      <w:r w:rsidR="001A7A8B">
        <w:rPr>
          <w:rFonts w:ascii="Arial" w:hAnsi="Arial" w:cs="Arial"/>
          <w:sz w:val="24"/>
          <w:szCs w:val="24"/>
        </w:rPr>
        <w:t xml:space="preserve">. </w:t>
      </w:r>
      <w:r w:rsidR="00F230AB">
        <w:rPr>
          <w:rFonts w:ascii="Arial" w:hAnsi="Arial" w:cs="Arial"/>
          <w:sz w:val="24"/>
          <w:szCs w:val="24"/>
        </w:rPr>
        <w:t xml:space="preserve">While small molecule drugs, which are typically used in cancer nanomedicines, were not initially retained through the expansion process, it is possible that increasing the crosslinker density of the expansion gel may </w:t>
      </w:r>
      <w:r w:rsidR="001A7A8B">
        <w:rPr>
          <w:rFonts w:ascii="Arial" w:hAnsi="Arial" w:cs="Arial"/>
          <w:sz w:val="24"/>
          <w:szCs w:val="24"/>
        </w:rPr>
        <w:t xml:space="preserve">allow for an improved retention and enable </w:t>
      </w:r>
      <w:proofErr w:type="spellStart"/>
      <w:r w:rsidR="001A7A8B">
        <w:rPr>
          <w:rFonts w:ascii="Arial" w:hAnsi="Arial" w:cs="Arial"/>
          <w:sz w:val="24"/>
          <w:szCs w:val="24"/>
        </w:rPr>
        <w:t>post-expansion</w:t>
      </w:r>
      <w:proofErr w:type="spellEnd"/>
      <w:r w:rsidR="001A7A8B">
        <w:rPr>
          <w:rFonts w:ascii="Arial" w:hAnsi="Arial" w:cs="Arial"/>
          <w:sz w:val="24"/>
          <w:szCs w:val="24"/>
        </w:rPr>
        <w:t xml:space="preserve"> visualization, albeit at the cost of a lowered maximum expansion factor. </w:t>
      </w:r>
      <w:r w:rsidR="00C96F7A">
        <w:rPr>
          <w:rFonts w:ascii="Arial" w:hAnsi="Arial" w:cs="Arial"/>
          <w:sz w:val="24"/>
          <w:szCs w:val="24"/>
        </w:rPr>
        <w:t xml:space="preserve">We further discussed potential methods that could </w:t>
      </w:r>
      <w:r w:rsidR="007E609C">
        <w:rPr>
          <w:rFonts w:ascii="Arial" w:hAnsi="Arial" w:cs="Arial"/>
          <w:sz w:val="24"/>
          <w:szCs w:val="24"/>
        </w:rPr>
        <w:t>enable the direct visualization of</w:t>
      </w:r>
      <w:r w:rsidR="00C96F7A">
        <w:rPr>
          <w:rFonts w:ascii="Arial" w:hAnsi="Arial" w:cs="Arial"/>
          <w:sz w:val="24"/>
          <w:szCs w:val="24"/>
        </w:rPr>
        <w:t xml:space="preserve"> liposomes after expansion</w:t>
      </w:r>
      <w:r w:rsidR="007E609C">
        <w:rPr>
          <w:rFonts w:ascii="Arial" w:hAnsi="Arial" w:cs="Arial"/>
          <w:sz w:val="24"/>
          <w:szCs w:val="24"/>
        </w:rPr>
        <w:t xml:space="preserve"> </w:t>
      </w:r>
      <w:r w:rsidR="00C96F7A">
        <w:rPr>
          <w:rFonts w:ascii="Arial" w:hAnsi="Arial" w:cs="Arial"/>
          <w:sz w:val="24"/>
          <w:szCs w:val="24"/>
        </w:rPr>
        <w:t>alongside their cargo</w:t>
      </w:r>
      <w:r w:rsidR="00432B78">
        <w:rPr>
          <w:rFonts w:ascii="Arial" w:hAnsi="Arial" w:cs="Arial"/>
          <w:sz w:val="24"/>
          <w:szCs w:val="24"/>
        </w:rPr>
        <w:t xml:space="preserve">. </w:t>
      </w:r>
      <w:r w:rsidR="007E609C">
        <w:rPr>
          <w:rFonts w:ascii="Arial" w:hAnsi="Arial" w:cs="Arial"/>
          <w:sz w:val="24"/>
          <w:szCs w:val="24"/>
        </w:rPr>
        <w:t xml:space="preserve">We anticipate that this method will </w:t>
      </w:r>
      <w:r w:rsidR="00C07BF4">
        <w:rPr>
          <w:rFonts w:ascii="Arial" w:hAnsi="Arial" w:cs="Arial"/>
          <w:sz w:val="24"/>
          <w:szCs w:val="24"/>
        </w:rPr>
        <w:t>empower</w:t>
      </w:r>
      <w:r w:rsidR="00432B78">
        <w:rPr>
          <w:rFonts w:ascii="Arial" w:hAnsi="Arial" w:cs="Arial"/>
          <w:sz w:val="24"/>
          <w:szCs w:val="24"/>
        </w:rPr>
        <w:t xml:space="preserve"> </w:t>
      </w:r>
      <w:r w:rsidR="004655BA">
        <w:rPr>
          <w:rFonts w:ascii="Arial" w:hAnsi="Arial" w:cs="Arial"/>
          <w:sz w:val="24"/>
          <w:szCs w:val="24"/>
        </w:rPr>
        <w:t>research</w:t>
      </w:r>
      <w:r w:rsidR="00432B78">
        <w:rPr>
          <w:rFonts w:ascii="Arial" w:hAnsi="Arial" w:cs="Arial"/>
          <w:sz w:val="24"/>
          <w:szCs w:val="24"/>
        </w:rPr>
        <w:t xml:space="preserve"> into bettering the understanding of organic nanoparticle-cellular interactions for better clinical translation of nanomedicine formulations</w:t>
      </w:r>
    </w:p>
    <w:p w14:paraId="2EFCB36F" w14:textId="7206FCBE" w:rsidR="00033F48" w:rsidRDefault="00033F48">
      <w:pPr>
        <w:rPr>
          <w:color w:val="000000"/>
          <w:shd w:val="clear" w:color="auto" w:fill="FFFFFF"/>
        </w:rPr>
      </w:pPr>
      <w:r>
        <w:rPr>
          <w:color w:val="000000"/>
          <w:shd w:val="clear" w:color="auto" w:fill="FFFFFF"/>
        </w:rPr>
        <w:br w:type="page"/>
      </w:r>
    </w:p>
    <w:p w14:paraId="2E088D08" w14:textId="77777777" w:rsidR="00033F48" w:rsidRDefault="00033F48" w:rsidP="00721691">
      <w:pPr>
        <w:pStyle w:val="Heading1"/>
      </w:pPr>
      <w:bookmarkStart w:id="60" w:name="_Toc151032439"/>
      <w:r w:rsidRPr="00224D23">
        <w:lastRenderedPageBreak/>
        <w:t>Chapter 5: Conclusions and Future Directions</w:t>
      </w:r>
      <w:bookmarkEnd w:id="60"/>
    </w:p>
    <w:p w14:paraId="09218CB7" w14:textId="77777777" w:rsidR="00721691" w:rsidRPr="00721691" w:rsidRDefault="00721691" w:rsidP="00721691"/>
    <w:p w14:paraId="12347993" w14:textId="31A4DDA5" w:rsidR="00033F48" w:rsidRDefault="00033F48" w:rsidP="00760718">
      <w:pPr>
        <w:spacing w:line="480" w:lineRule="auto"/>
        <w:jc w:val="both"/>
        <w:rPr>
          <w:rFonts w:ascii="Arial" w:hAnsi="Arial" w:cs="Arial"/>
          <w:sz w:val="24"/>
          <w:szCs w:val="24"/>
        </w:rPr>
      </w:pPr>
      <w:r>
        <w:rPr>
          <w:rFonts w:ascii="Arial" w:hAnsi="Arial" w:cs="Arial"/>
          <w:b/>
          <w:bCs/>
          <w:sz w:val="24"/>
          <w:szCs w:val="24"/>
        </w:rPr>
        <w:tab/>
      </w:r>
      <w:r w:rsidR="00BA3E3B">
        <w:rPr>
          <w:rFonts w:ascii="Arial" w:hAnsi="Arial" w:cs="Arial"/>
          <w:sz w:val="24"/>
          <w:szCs w:val="24"/>
        </w:rPr>
        <w:t>A deeper understanding of how nanoparticles transport across tumor blood vessels is necessary for the design of more efficacious anti-cancer nanomedicines</w:t>
      </w:r>
      <w:r w:rsidR="00827F8E">
        <w:rPr>
          <w:rFonts w:ascii="Arial" w:hAnsi="Arial" w:cs="Arial"/>
          <w:sz w:val="24"/>
          <w:szCs w:val="24"/>
        </w:rPr>
        <w:t>.</w:t>
      </w:r>
      <w:r w:rsidR="00BA3E3B">
        <w:rPr>
          <w:rFonts w:ascii="Arial" w:hAnsi="Arial" w:cs="Arial"/>
          <w:sz w:val="24"/>
          <w:szCs w:val="24"/>
        </w:rPr>
        <w:t xml:space="preserve"> Given that current methods of analyzing nanoparticle-cellular interactions, such as transmission electron microscopy</w:t>
      </w:r>
      <w:r w:rsidR="00827F8E">
        <w:rPr>
          <w:rFonts w:ascii="Arial" w:hAnsi="Arial" w:cs="Arial"/>
          <w:sz w:val="24"/>
          <w:szCs w:val="24"/>
        </w:rPr>
        <w:t xml:space="preserve"> (TEM)</w:t>
      </w:r>
      <w:r w:rsidR="00BA3E3B">
        <w:rPr>
          <w:rFonts w:ascii="Arial" w:hAnsi="Arial" w:cs="Arial"/>
          <w:sz w:val="24"/>
          <w:szCs w:val="24"/>
        </w:rPr>
        <w:t xml:space="preserve"> and inductively coupled plasma mass spectrometry</w:t>
      </w:r>
      <w:r w:rsidR="00827F8E">
        <w:rPr>
          <w:rFonts w:ascii="Arial" w:hAnsi="Arial" w:cs="Arial"/>
          <w:sz w:val="24"/>
          <w:szCs w:val="24"/>
        </w:rPr>
        <w:t xml:space="preserve"> (ICP-MS)</w:t>
      </w:r>
      <w:r w:rsidR="00BA3E3B">
        <w:rPr>
          <w:rFonts w:ascii="Arial" w:hAnsi="Arial" w:cs="Arial"/>
          <w:sz w:val="24"/>
          <w:szCs w:val="24"/>
        </w:rPr>
        <w:t xml:space="preserve"> have limitations in terms of how much information can be attained about the intracellular distribution of nanoparticles at the single cell level, new methods of analysis were needed. </w:t>
      </w:r>
      <w:r>
        <w:rPr>
          <w:rFonts w:ascii="Arial" w:hAnsi="Arial" w:cs="Arial"/>
          <w:sz w:val="24"/>
          <w:szCs w:val="24"/>
        </w:rPr>
        <w:t xml:space="preserve">Here, we established methods for visualizing </w:t>
      </w:r>
      <w:r w:rsidR="0026695F">
        <w:rPr>
          <w:rFonts w:ascii="Arial" w:hAnsi="Arial" w:cs="Arial"/>
          <w:sz w:val="24"/>
          <w:szCs w:val="24"/>
        </w:rPr>
        <w:t xml:space="preserve">and quantifying </w:t>
      </w:r>
      <w:r>
        <w:rPr>
          <w:rFonts w:ascii="Arial" w:hAnsi="Arial" w:cs="Arial"/>
          <w:sz w:val="24"/>
          <w:szCs w:val="24"/>
        </w:rPr>
        <w:t xml:space="preserve">metallic and organic nanoparticle </w:t>
      </w:r>
      <w:r w:rsidR="0026695F">
        <w:rPr>
          <w:rFonts w:ascii="Arial" w:hAnsi="Arial" w:cs="Arial"/>
          <w:sz w:val="24"/>
          <w:szCs w:val="24"/>
        </w:rPr>
        <w:t>intracellular distribution with</w:t>
      </w:r>
      <w:r>
        <w:rPr>
          <w:rFonts w:ascii="Arial" w:hAnsi="Arial" w:cs="Arial"/>
          <w:sz w:val="24"/>
          <w:szCs w:val="24"/>
        </w:rPr>
        <w:t xml:space="preserve"> ultrastructural context </w:t>
      </w:r>
      <w:r w:rsidR="0026695F">
        <w:rPr>
          <w:rFonts w:ascii="Arial" w:hAnsi="Arial" w:cs="Arial"/>
          <w:sz w:val="24"/>
          <w:szCs w:val="24"/>
        </w:rPr>
        <w:t>through 3D super-resolution microscopy. We adopted three expansion microscopy methods- proExM, pan-ExM, and Magnify</w:t>
      </w:r>
      <w:r w:rsidR="00760718">
        <w:rPr>
          <w:rFonts w:ascii="Arial" w:hAnsi="Arial" w:cs="Arial"/>
          <w:sz w:val="24"/>
          <w:szCs w:val="24"/>
        </w:rPr>
        <w:t xml:space="preserve"> to demonstrate compatibility with nanoparticle studies</w:t>
      </w:r>
      <w:r w:rsidR="0026695F">
        <w:rPr>
          <w:rFonts w:ascii="Arial" w:hAnsi="Arial" w:cs="Arial"/>
          <w:sz w:val="24"/>
          <w:szCs w:val="24"/>
        </w:rPr>
        <w:t xml:space="preserve">, and discussed which applications they would best be suited for. </w:t>
      </w:r>
      <w:r w:rsidR="00827F8E">
        <w:rPr>
          <w:rFonts w:ascii="Arial" w:hAnsi="Arial" w:cs="Arial"/>
          <w:sz w:val="24"/>
          <w:szCs w:val="24"/>
        </w:rPr>
        <w:t>P</w:t>
      </w:r>
      <w:r w:rsidR="00A63EE9">
        <w:rPr>
          <w:rFonts w:ascii="Arial" w:hAnsi="Arial" w:cs="Arial"/>
          <w:sz w:val="24"/>
          <w:szCs w:val="24"/>
        </w:rPr>
        <w:t>roExM is a relatively quick process,</w:t>
      </w:r>
      <w:r w:rsidR="00827F8E">
        <w:rPr>
          <w:rFonts w:ascii="Arial" w:hAnsi="Arial" w:cs="Arial"/>
          <w:sz w:val="24"/>
          <w:szCs w:val="24"/>
        </w:rPr>
        <w:t xml:space="preserve"> though</w:t>
      </w:r>
      <w:r w:rsidR="00A63EE9">
        <w:rPr>
          <w:rFonts w:ascii="Arial" w:hAnsi="Arial" w:cs="Arial"/>
          <w:sz w:val="24"/>
          <w:szCs w:val="24"/>
        </w:rPr>
        <w:t xml:space="preserve"> it does not allow for sufficient lateral resolution for visualizing nanoparticle distribution within individual intracellular vesicles</w:t>
      </w:r>
      <w:r w:rsidR="00827F8E">
        <w:rPr>
          <w:rFonts w:ascii="Arial" w:hAnsi="Arial" w:cs="Arial"/>
          <w:sz w:val="24"/>
          <w:szCs w:val="24"/>
        </w:rPr>
        <w:t>.</w:t>
      </w:r>
      <w:r w:rsidR="00A63EE9">
        <w:rPr>
          <w:rFonts w:ascii="Arial" w:hAnsi="Arial" w:cs="Arial"/>
          <w:sz w:val="24"/>
          <w:szCs w:val="24"/>
        </w:rPr>
        <w:t xml:space="preserve"> </w:t>
      </w:r>
      <w:r w:rsidR="00827F8E">
        <w:rPr>
          <w:rFonts w:ascii="Arial" w:hAnsi="Arial" w:cs="Arial"/>
          <w:sz w:val="24"/>
          <w:szCs w:val="24"/>
        </w:rPr>
        <w:t>P</w:t>
      </w:r>
      <w:r w:rsidR="00A63EE9">
        <w:rPr>
          <w:rFonts w:ascii="Arial" w:hAnsi="Arial" w:cs="Arial"/>
          <w:sz w:val="24"/>
          <w:szCs w:val="24"/>
        </w:rPr>
        <w:t>an-ExM does</w:t>
      </w:r>
      <w:r w:rsidR="00827F8E">
        <w:rPr>
          <w:rFonts w:ascii="Arial" w:hAnsi="Arial" w:cs="Arial"/>
          <w:sz w:val="24"/>
          <w:szCs w:val="24"/>
        </w:rPr>
        <w:t xml:space="preserve"> allow for sufficient lateral resolution for these visualizations</w:t>
      </w:r>
      <w:r w:rsidR="00A63EE9">
        <w:rPr>
          <w:rFonts w:ascii="Arial" w:hAnsi="Arial" w:cs="Arial"/>
          <w:sz w:val="24"/>
          <w:szCs w:val="24"/>
        </w:rPr>
        <w:t xml:space="preserve">, albeit with significantly longer processing times. Both of these methods are compatible with light scattering imaging for visualizing metallic nanoparticle distribution, </w:t>
      </w:r>
      <w:r w:rsidR="002F496F">
        <w:rPr>
          <w:rFonts w:ascii="Arial" w:hAnsi="Arial" w:cs="Arial"/>
          <w:sz w:val="24"/>
          <w:szCs w:val="24"/>
        </w:rPr>
        <w:t>and we demonstrated that with pan-ExM, we can quantify relative nanoparticle accumulation within intracellular vesicles to acquire information that was not previously accessible through TEM or ICP-MS. We then applied the</w:t>
      </w:r>
      <w:r w:rsidR="00A63EE9">
        <w:rPr>
          <w:rFonts w:ascii="Arial" w:hAnsi="Arial" w:cs="Arial"/>
          <w:sz w:val="24"/>
          <w:szCs w:val="24"/>
        </w:rPr>
        <w:t xml:space="preserve"> </w:t>
      </w:r>
      <w:r w:rsidR="0055738B">
        <w:rPr>
          <w:rFonts w:ascii="Arial" w:hAnsi="Arial" w:cs="Arial"/>
          <w:sz w:val="24"/>
          <w:szCs w:val="24"/>
        </w:rPr>
        <w:t>Magnify</w:t>
      </w:r>
      <w:r w:rsidR="002F496F">
        <w:rPr>
          <w:rFonts w:ascii="Arial" w:hAnsi="Arial" w:cs="Arial"/>
          <w:sz w:val="24"/>
          <w:szCs w:val="24"/>
        </w:rPr>
        <w:t xml:space="preserve"> protocol for </w:t>
      </w:r>
      <w:r w:rsidR="0055738B">
        <w:rPr>
          <w:rFonts w:ascii="Arial" w:hAnsi="Arial" w:cs="Arial"/>
          <w:sz w:val="24"/>
          <w:szCs w:val="24"/>
        </w:rPr>
        <w:t>visualizing</w:t>
      </w:r>
      <w:r w:rsidR="002F496F">
        <w:rPr>
          <w:rFonts w:ascii="Arial" w:hAnsi="Arial" w:cs="Arial"/>
          <w:sz w:val="24"/>
          <w:szCs w:val="24"/>
        </w:rPr>
        <w:t xml:space="preserve"> intracellular</w:t>
      </w:r>
      <w:r w:rsidR="0055738B">
        <w:rPr>
          <w:rFonts w:ascii="Arial" w:hAnsi="Arial" w:cs="Arial"/>
          <w:sz w:val="24"/>
          <w:szCs w:val="24"/>
        </w:rPr>
        <w:t xml:space="preserve"> liposome</w:t>
      </w:r>
      <w:r w:rsidR="002F496F">
        <w:rPr>
          <w:rFonts w:ascii="Arial" w:hAnsi="Arial" w:cs="Arial"/>
          <w:sz w:val="24"/>
          <w:szCs w:val="24"/>
        </w:rPr>
        <w:t xml:space="preserve"> distribution,</w:t>
      </w:r>
      <w:r w:rsidR="0055738B">
        <w:rPr>
          <w:rFonts w:ascii="Arial" w:hAnsi="Arial" w:cs="Arial"/>
          <w:sz w:val="24"/>
          <w:szCs w:val="24"/>
        </w:rPr>
        <w:t xml:space="preserve"> as this process allows for better lipid retention than proExM and pan-</w:t>
      </w:r>
      <w:proofErr w:type="gramStart"/>
      <w:r w:rsidR="00827F8E">
        <w:rPr>
          <w:rFonts w:ascii="Arial" w:hAnsi="Arial" w:cs="Arial"/>
          <w:sz w:val="24"/>
          <w:szCs w:val="24"/>
        </w:rPr>
        <w:t>ExM, and</w:t>
      </w:r>
      <w:proofErr w:type="gramEnd"/>
      <w:r w:rsidR="002F496F">
        <w:rPr>
          <w:rFonts w:ascii="Arial" w:hAnsi="Arial" w:cs="Arial"/>
          <w:sz w:val="24"/>
          <w:szCs w:val="24"/>
        </w:rPr>
        <w:t xml:space="preserve"> demonstrated that we can visualize fluorescent large-molecule drug cargo of liposomes with 3D super-resolution. </w:t>
      </w:r>
    </w:p>
    <w:p w14:paraId="167283D8" w14:textId="74FD151E" w:rsidR="00E26DE5" w:rsidRDefault="00760718" w:rsidP="00760718">
      <w:pPr>
        <w:spacing w:line="480" w:lineRule="auto"/>
        <w:jc w:val="both"/>
        <w:rPr>
          <w:rFonts w:ascii="Arial" w:hAnsi="Arial" w:cs="Arial"/>
          <w:sz w:val="24"/>
          <w:szCs w:val="24"/>
        </w:rPr>
      </w:pPr>
      <w:r>
        <w:rPr>
          <w:rFonts w:ascii="Arial" w:hAnsi="Arial" w:cs="Arial"/>
          <w:sz w:val="24"/>
          <w:szCs w:val="24"/>
        </w:rPr>
        <w:lastRenderedPageBreak/>
        <w:tab/>
        <w:t xml:space="preserve">We anticipate that these methods can be applied to a variety of studies involving understanding nanoparticle intracellular fate. </w:t>
      </w:r>
      <w:r w:rsidR="00BF5914">
        <w:rPr>
          <w:rFonts w:ascii="Arial" w:hAnsi="Arial" w:cs="Arial"/>
          <w:sz w:val="24"/>
          <w:szCs w:val="24"/>
        </w:rPr>
        <w:t>As mentioned in Chapter 1, only about 0.7%</w:t>
      </w:r>
      <w:r w:rsidR="00E26DE5">
        <w:rPr>
          <w:rFonts w:ascii="Arial" w:hAnsi="Arial" w:cs="Arial"/>
          <w:sz w:val="24"/>
          <w:szCs w:val="24"/>
        </w:rPr>
        <w:t xml:space="preserve"> (median)</w:t>
      </w:r>
      <w:r w:rsidR="00BF5914">
        <w:rPr>
          <w:rFonts w:ascii="Arial" w:hAnsi="Arial" w:cs="Arial"/>
          <w:sz w:val="24"/>
          <w:szCs w:val="24"/>
        </w:rPr>
        <w:t xml:space="preserve"> of the injected dose of systemically administered nanoparticles reach solid tumors</w:t>
      </w:r>
      <w:r w:rsidR="006C687B">
        <w:rPr>
          <w:rFonts w:ascii="Arial" w:hAnsi="Arial" w:cs="Arial"/>
          <w:sz w:val="24"/>
          <w:szCs w:val="24"/>
        </w:rPr>
        <w:t>, with even lower percentages of nanoparticles being internalized within cancer cells</w:t>
      </w:r>
      <w:r w:rsidR="00BF5914">
        <w:rPr>
          <w:rFonts w:ascii="Arial" w:hAnsi="Arial" w:cs="Arial"/>
          <w:sz w:val="24"/>
          <w:szCs w:val="24"/>
        </w:rPr>
        <w:t>.</w:t>
      </w:r>
      <w:r w:rsidR="00827F8E">
        <w:rPr>
          <w:rFonts w:ascii="Arial" w:hAnsi="Arial" w:cs="Arial"/>
          <w:sz w:val="24"/>
          <w:szCs w:val="24"/>
        </w:rPr>
        <w:fldChar w:fldCharType="begin" w:fldLock="1"/>
      </w:r>
      <w:r w:rsidR="00827F8E">
        <w:rPr>
          <w:rFonts w:ascii="Arial" w:hAnsi="Arial" w:cs="Arial"/>
          <w:sz w:val="24"/>
          <w:szCs w:val="24"/>
        </w:rPr>
        <w:instrText>ADDIN CSL_CITATION {"citationItems":[{"id":"ITEM-1","itemData":{"DOI":"10.1038/natrevmats.2016.14","ISSN":"20588437","abstract":"Targeting nanoparticles to malignant tissues for improved diagnosis and therapy is a popular concept. However, after surveying the literature from the past 10 years, only 0.7% (median) of the administered nanoparticle dose is found to be delivered to a solid tumour. This has negative consequences on the translation of nanotechnology for human use with respect to manufacturing, cost, toxicity, and imaging and therapeutic efficacy. In this article, we conduct a multivariate analysis on the compiled data to reveal the contributions of nanoparticle physicochemical parameters, tumour models and cancer types on the low delivery efficiency. We explore the potential causes of the poor delivery efficiency from the perspectives of tumour biology (intercellular versus transcellular transport, enhanced permeability and retention effect, and physicochemical-dependent nanoparticle transport through the tumour stroma) as well as competing organs (mononuclear phagocytic and renal systems) and present a 30-year research strategy to overcome this fundamental limitation. Solving the nanoparticle delivery problem will accelerate the clinical translation of nanomedicine.","author":[{"dropping-particle":"","family":"Wilhelm","given":"Stefan","non-dropping-particle":"","parse-names":false,"suffix":""},{"dropping-particle":"","family":"Tavares","given":"Anthony J.","non-dropping-particle":"","parse-names":false,"suffix":""},{"dropping-particle":"","family":"Dai","given":"Qin","non-dropping-particle":"","parse-names":false,"suffix":""},{"dropping-particle":"","family":"Ohta","given":"Seiichi","non-dropping-particle":"","parse-names":false,"suffix":""},{"dropping-particle":"","family":"Audet","given":"Julie","non-dropping-particle":"","parse-names":false,"suffix":""},{"dropping-particle":"","family":"Dvorak","given":"Harold F.","non-dropping-particle":"","parse-names":false,"suffix":""},{"dropping-particle":"","family":"Chan","given":"Warren C.W.","non-dropping-particle":"","parse-names":false,"suffix":""}],"container-title":"Nature Reviews Materials","id":"ITEM-1","issue":"May 2018","issued":{"date-parts":[["2016"]]},"title":"Analysis of nanoparticle delivery to tumours","type":"article-journal","volume":"1"},"uris":["http://www.mendeley.com/documents/?uuid=23861e61-8fa7-4925-a7f2-17b8abdb4342"]}],"mendeley":{"formattedCitation":"&lt;sup&gt;14&lt;/sup&gt;","plainTextFormattedCitation":"14","previouslyFormattedCitation":"&lt;sup&gt;14&lt;/sup&gt;"},"properties":{"noteIndex":0},"schema":"https://github.com/citation-style-language/schema/raw/master/csl-citation.json"}</w:instrText>
      </w:r>
      <w:r w:rsidR="00827F8E">
        <w:rPr>
          <w:rFonts w:ascii="Arial" w:hAnsi="Arial" w:cs="Arial"/>
          <w:sz w:val="24"/>
          <w:szCs w:val="24"/>
        </w:rPr>
        <w:fldChar w:fldCharType="separate"/>
      </w:r>
      <w:r w:rsidR="00827F8E" w:rsidRPr="00E26DE5">
        <w:rPr>
          <w:rFonts w:ascii="Arial" w:hAnsi="Arial" w:cs="Arial"/>
          <w:noProof/>
          <w:sz w:val="24"/>
          <w:szCs w:val="24"/>
          <w:vertAlign w:val="superscript"/>
        </w:rPr>
        <w:t>14</w:t>
      </w:r>
      <w:r w:rsidR="00827F8E">
        <w:rPr>
          <w:rFonts w:ascii="Arial" w:hAnsi="Arial" w:cs="Arial"/>
          <w:sz w:val="24"/>
          <w:szCs w:val="24"/>
        </w:rPr>
        <w:fldChar w:fldCharType="end"/>
      </w:r>
      <w:r w:rsidR="00827F8E">
        <w:rPr>
          <w:rFonts w:ascii="Arial" w:hAnsi="Arial" w:cs="Arial"/>
          <w:sz w:val="24"/>
          <w:szCs w:val="24"/>
        </w:rPr>
        <w:t xml:space="preserve"> </w:t>
      </w:r>
      <w:r w:rsidR="00BF5914">
        <w:rPr>
          <w:rFonts w:ascii="Arial" w:hAnsi="Arial" w:cs="Arial"/>
          <w:sz w:val="24"/>
          <w:szCs w:val="24"/>
        </w:rPr>
        <w:t xml:space="preserve"> This low delivery efficiency greatly limits the efficacy of nanomedicine for treating solid tumors. </w:t>
      </w:r>
      <w:r w:rsidR="006C687B">
        <w:rPr>
          <w:rFonts w:ascii="Arial" w:hAnsi="Arial" w:cs="Arial"/>
          <w:sz w:val="24"/>
          <w:szCs w:val="24"/>
        </w:rPr>
        <w:t>Recent evidence has demonstrated that nanoparticles primarily reach solid tumors through active transport processes across endothelial cells that comprise tumor blood vessels.</w:t>
      </w:r>
      <w:r w:rsidR="00827F8E">
        <w:rPr>
          <w:rFonts w:ascii="Arial" w:hAnsi="Arial" w:cs="Arial"/>
          <w:sz w:val="24"/>
          <w:szCs w:val="24"/>
        </w:rPr>
        <w:fldChar w:fldCharType="begin" w:fldLock="1"/>
      </w:r>
      <w:r w:rsidR="00827F8E">
        <w:rPr>
          <w:rFonts w:ascii="Arial" w:hAnsi="Arial" w:cs="Arial"/>
          <w:sz w:val="24"/>
          <w:szCs w:val="24"/>
        </w:rPr>
        <w:instrText>ADDIN CSL_CITATION {"citationItems":[{"id":"ITEM-1","itemData":{"DOI":"10.1038/s41563-019-0566-2","ISSN":"1476-1122","author":[{"dropping-particle":"","family":"Sindhwani","given":"Shrey","non-dropping-particle":"","parse-names":false,"suffix":""},{"dropping-particle":"","family":"Syed","given":"Abdullah Muhammad","non-dropping-particle":"","parse-names":false,"suffix":""},{"dropping-particle":"","family":"Ngai","given":"Jessica","non-dropping-particle":"","parse-names":false,"suffix":""},{"dropping-particle":"","family":"Kingston","given":"Benjamin R","non-dropping-particle":"","parse-names":false,"suffix":""},{"dropping-particle":"","family":"Maiorino","given":"Laura","non-dropping-particle":"","parse-names":false,"suffix":""},{"dropping-particle":"","family":"Rothschild","given":"Jeremy","non-dropping-particle":"","parse-names":false,"suffix":""},{"dropping-particle":"","family":"MacMillan","given":"Presley","non-dropping-particle":"","parse-names":false,"suffix":""},{"dropping-particle":"","family":"Zhang","given":"Yuwei","non-dropping-particle":"","parse-names":false,"suffix":""},{"dropping-particle":"","family":"Rajesh","given":"Netra Unni","non-dropping-particle":"","parse-names":false,"suffix":""},{"dropping-particle":"","family":"Hoang","given":"Tran","non-dropping-particle":"","parse-names":false,"suffix":""},{"dropping-particle":"","family":"Wu","given":"Jamie L Y","non-dropping-particle":"","parse-names":false,"suffix":""},{"dropping-particle":"","family":"Wilhelm","given":"Stefan","non-dropping-particle":"","parse-names":false,"suffix":""},{"dropping-particle":"","family":"Zilman","given":"Anton","non-dropping-particle":"","parse-names":false,"suffix":""},{"dropping-particle":"","family":"Gadde","given":"Suresh","non-dropping-particle":"","parse-names":false,"suffix":""},{"dropping-particle":"","family":"Sulaiman","given":"Andrew","non-dropping-particle":"","parse-names":false,"suffix":""},{"dropping-particle":"","family":"Ouyang","given":"Ben","non-dropping-particle":"","parse-names":false,"suffix":""},{"dropping-particle":"","family":"Lin","given":"Zachary","non-dropping-particle":"","parse-names":false,"suffix":""},{"dropping-particle":"","family":"Wang","given":"Lisheng","non-dropping-particle":"","parse-names":false,"suffix":""},{"dropping-particle":"","family":"Egeblad","given":"Mikala","non-dropping-particle":"","parse-names":false,"suffix":""},{"dropping-particle":"","family":"Chan","given":"Warren C W","non-dropping-particle":"","parse-names":false,"suffix":""}],"container-title":"Nature Materials","id":"ITEM-1","issue":"5","issued":{"date-parts":[["2020","5","13"]]},"page":"566-575","publisher":"Springer US","title":"The entry of nanoparticles into solid tumours","type":"article-journal","volume":"19"},"uris":["http://www.mendeley.com/documents/?uuid=6caf5b47-28aa-463f-96e8-0fddd5b09d36"]}],"mendeley":{"formattedCitation":"&lt;sup&gt;30&lt;/sup&gt;","plainTextFormattedCitation":"30","previouslyFormattedCitation":"&lt;sup&gt;30&lt;/sup&gt;"},"properties":{"noteIndex":0},"schema":"https://github.com/citation-style-language/schema/raw/master/csl-citation.json"}</w:instrText>
      </w:r>
      <w:r w:rsidR="00827F8E">
        <w:rPr>
          <w:rFonts w:ascii="Arial" w:hAnsi="Arial" w:cs="Arial"/>
          <w:sz w:val="24"/>
          <w:szCs w:val="24"/>
        </w:rPr>
        <w:fldChar w:fldCharType="separate"/>
      </w:r>
      <w:r w:rsidR="00827F8E" w:rsidRPr="00827F8E">
        <w:rPr>
          <w:rFonts w:ascii="Arial" w:hAnsi="Arial" w:cs="Arial"/>
          <w:noProof/>
          <w:sz w:val="24"/>
          <w:szCs w:val="24"/>
          <w:vertAlign w:val="superscript"/>
        </w:rPr>
        <w:t>30</w:t>
      </w:r>
      <w:r w:rsidR="00827F8E">
        <w:rPr>
          <w:rFonts w:ascii="Arial" w:hAnsi="Arial" w:cs="Arial"/>
          <w:sz w:val="24"/>
          <w:szCs w:val="24"/>
        </w:rPr>
        <w:fldChar w:fldCharType="end"/>
      </w:r>
      <w:r w:rsidR="006C687B">
        <w:rPr>
          <w:rFonts w:ascii="Arial" w:hAnsi="Arial" w:cs="Arial"/>
          <w:sz w:val="24"/>
          <w:szCs w:val="24"/>
        </w:rPr>
        <w:t xml:space="preserve"> Among these active transport processes is </w:t>
      </w:r>
      <w:r w:rsidR="00686816">
        <w:rPr>
          <w:rFonts w:ascii="Arial" w:hAnsi="Arial" w:cs="Arial"/>
          <w:sz w:val="24"/>
          <w:szCs w:val="24"/>
        </w:rPr>
        <w:t>transcytosis, which involves the endocytosis of nanoparticles in the tumor vascular lumen into intracellular vesicles which are trafficked through the endothelial cells before being exocytosed into the tumor microenvironment.</w:t>
      </w:r>
      <w:r w:rsidR="00827F8E">
        <w:rPr>
          <w:rFonts w:ascii="Arial" w:hAnsi="Arial" w:cs="Arial"/>
          <w:sz w:val="24"/>
          <w:szCs w:val="24"/>
        </w:rPr>
        <w:fldChar w:fldCharType="begin" w:fldLock="1"/>
      </w:r>
      <w:r w:rsidR="00827F8E">
        <w:rPr>
          <w:rFonts w:ascii="Arial" w:hAnsi="Arial" w:cs="Arial"/>
          <w:sz w:val="24"/>
          <w:szCs w:val="24"/>
        </w:rPr>
        <w:instrText>ADDIN CSL_CITATION {"citationItems":[{"id":"ITEM-1","itemData":{"DOI":"10.1002/adfm.202007363","ISSN":"16163028","abstract":"Nanoparticle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author":[{"dropping-particle":"","family":"Sheth","given":"Vinit","non-dropping-particle":"","parse-names":false,"suffix":""},{"dropping-particle":"","family":"Wang","given":"Lin","non-dropping-particle":"","parse-names":false,"suffix":""},{"dropping-particle":"","family":"Bhattacharya","given":"Resham","non-dropping-particle":"","parse-names":false,"suffix":""},{"dropping-particle":"","family":"Mukherjee","given":"Priyabrata","non-dropping-particle":"","parse-names":false,"suffix":""},{"dropping-particle":"","family":"Wilhelm","given":"Stefan","non-dropping-particle":"","parse-names":false,"suffix":""}],"container-title":"Advanced Functional Materials","id":"ITEM-1","issued":{"date-parts":[["2020"]]},"page":"1-20","title":"Strategies for Delivering Nanoparticles across Tumor Blood Vessels","type":"article-journal","volume":"2007363"},"uris":["http://www.mendeley.com/documents/?uuid=d3808e64-da19-47ce-a20e-69ce117f4790"]}],"mendeley":{"formattedCitation":"&lt;sup&gt;293&lt;/sup&gt;","plainTextFormattedCitation":"293"},"properties":{"noteIndex":0},"schema":"https://github.com/citation-style-language/schema/raw/master/csl-citation.json"}</w:instrText>
      </w:r>
      <w:r w:rsidR="00827F8E">
        <w:rPr>
          <w:rFonts w:ascii="Arial" w:hAnsi="Arial" w:cs="Arial"/>
          <w:sz w:val="24"/>
          <w:szCs w:val="24"/>
        </w:rPr>
        <w:fldChar w:fldCharType="separate"/>
      </w:r>
      <w:r w:rsidR="00827F8E" w:rsidRPr="00827F8E">
        <w:rPr>
          <w:rFonts w:ascii="Arial" w:hAnsi="Arial" w:cs="Arial"/>
          <w:noProof/>
          <w:sz w:val="24"/>
          <w:szCs w:val="24"/>
          <w:vertAlign w:val="superscript"/>
        </w:rPr>
        <w:t>293</w:t>
      </w:r>
      <w:r w:rsidR="00827F8E">
        <w:rPr>
          <w:rFonts w:ascii="Arial" w:hAnsi="Arial" w:cs="Arial"/>
          <w:sz w:val="24"/>
          <w:szCs w:val="24"/>
        </w:rPr>
        <w:fldChar w:fldCharType="end"/>
      </w:r>
      <w:r w:rsidR="00686816">
        <w:rPr>
          <w:rFonts w:ascii="Arial" w:hAnsi="Arial" w:cs="Arial"/>
          <w:sz w:val="24"/>
          <w:szCs w:val="24"/>
        </w:rPr>
        <w:t xml:space="preserve"> However, the </w:t>
      </w:r>
      <w:r w:rsidR="00B06CB5">
        <w:rPr>
          <w:rFonts w:ascii="Arial" w:hAnsi="Arial" w:cs="Arial"/>
          <w:sz w:val="24"/>
          <w:szCs w:val="24"/>
        </w:rPr>
        <w:t xml:space="preserve">mechanisms of nanoparticle transcytosis are currently not well understood. </w:t>
      </w:r>
      <w:r w:rsidR="00BF5914">
        <w:rPr>
          <w:rFonts w:ascii="Arial" w:hAnsi="Arial" w:cs="Arial"/>
          <w:sz w:val="24"/>
          <w:szCs w:val="24"/>
        </w:rPr>
        <w:t xml:space="preserve">By studying the mechanisms that </w:t>
      </w:r>
      <w:r w:rsidR="00E26DE5">
        <w:rPr>
          <w:rFonts w:ascii="Arial" w:hAnsi="Arial" w:cs="Arial"/>
          <w:sz w:val="24"/>
          <w:szCs w:val="24"/>
        </w:rPr>
        <w:t>enable nanoparticles to reach tumors, new nanomedicine formulations can be designed to have significantly higher accumulation in the tumor microenvironment than the current median amount</w:t>
      </w:r>
      <w:r w:rsidR="00C8244D">
        <w:rPr>
          <w:rFonts w:ascii="Arial" w:hAnsi="Arial" w:cs="Arial"/>
          <w:sz w:val="24"/>
          <w:szCs w:val="24"/>
        </w:rPr>
        <w:t xml:space="preserve"> by targeting transcytotic pathways</w:t>
      </w:r>
      <w:r w:rsidR="007B56DA">
        <w:rPr>
          <w:rFonts w:ascii="Arial" w:hAnsi="Arial" w:cs="Arial"/>
          <w:sz w:val="24"/>
          <w:szCs w:val="24"/>
        </w:rPr>
        <w:t>, allowing for better therapeutic efficacy</w:t>
      </w:r>
      <w:r w:rsidR="00E26DE5">
        <w:rPr>
          <w:rFonts w:ascii="Arial" w:hAnsi="Arial" w:cs="Arial"/>
          <w:sz w:val="24"/>
          <w:szCs w:val="24"/>
        </w:rPr>
        <w:t xml:space="preserve">. An understanding of how specific endocytosis pathways, such as clathrin mediated endocytosis and caveolae mediated endocytosis, contribute to the transcytosis of nanoparticles across </w:t>
      </w:r>
      <w:r w:rsidR="00B06CB5">
        <w:rPr>
          <w:rFonts w:ascii="Arial" w:hAnsi="Arial" w:cs="Arial"/>
          <w:sz w:val="24"/>
          <w:szCs w:val="24"/>
        </w:rPr>
        <w:t xml:space="preserve">tumor </w:t>
      </w:r>
      <w:r w:rsidR="00E26DE5">
        <w:rPr>
          <w:rFonts w:ascii="Arial" w:hAnsi="Arial" w:cs="Arial"/>
          <w:sz w:val="24"/>
          <w:szCs w:val="24"/>
        </w:rPr>
        <w:t xml:space="preserve">endothelial cells </w:t>
      </w:r>
      <w:r w:rsidR="00B06CB5">
        <w:rPr>
          <w:rFonts w:ascii="Arial" w:hAnsi="Arial" w:cs="Arial"/>
          <w:sz w:val="24"/>
          <w:szCs w:val="24"/>
        </w:rPr>
        <w:t>is</w:t>
      </w:r>
      <w:r w:rsidR="00E26DE5">
        <w:rPr>
          <w:rFonts w:ascii="Arial" w:hAnsi="Arial" w:cs="Arial"/>
          <w:sz w:val="24"/>
          <w:szCs w:val="24"/>
        </w:rPr>
        <w:t xml:space="preserve"> </w:t>
      </w:r>
      <w:r w:rsidR="007B56DA">
        <w:rPr>
          <w:rFonts w:ascii="Arial" w:hAnsi="Arial" w:cs="Arial"/>
          <w:sz w:val="24"/>
          <w:szCs w:val="24"/>
        </w:rPr>
        <w:t xml:space="preserve">necessary for designing nanomedicine formulations that promote transcytosis. Given that the intracellular vesicles formed by these endocytic pathways are typically smaller than the resolution limit of light microscopy, and that electron microscopy is typically limited to 2D visualizations, </w:t>
      </w:r>
      <w:r w:rsidR="003403FD">
        <w:rPr>
          <w:rFonts w:ascii="Arial" w:hAnsi="Arial" w:cs="Arial"/>
          <w:sz w:val="24"/>
          <w:szCs w:val="24"/>
        </w:rPr>
        <w:t>there was a need for a new method for studying these nanoparticle-cellular interactions. Our 3D super-resolution methods for visualizing and quantifying nanoparticle intracellular distribution</w:t>
      </w:r>
      <w:r w:rsidR="00306BDD">
        <w:rPr>
          <w:rFonts w:ascii="Arial" w:hAnsi="Arial" w:cs="Arial"/>
          <w:sz w:val="24"/>
          <w:szCs w:val="24"/>
        </w:rPr>
        <w:t xml:space="preserve"> allows for an </w:t>
      </w:r>
      <w:r w:rsidR="00306BDD">
        <w:rPr>
          <w:rFonts w:ascii="Arial" w:hAnsi="Arial" w:cs="Arial"/>
          <w:sz w:val="24"/>
          <w:szCs w:val="24"/>
        </w:rPr>
        <w:lastRenderedPageBreak/>
        <w:t xml:space="preserve">in-depth analysis of nanoparticle accumulation within individual intracellular vesicles, which can allow for a full characterization of the contributions of specific endocytic pathways to nanoparticle uptake for the understanding of transcytosis mechanisms. </w:t>
      </w:r>
      <w:r w:rsidR="003A1A5C">
        <w:rPr>
          <w:rFonts w:ascii="Arial" w:hAnsi="Arial" w:cs="Arial"/>
          <w:sz w:val="24"/>
          <w:szCs w:val="24"/>
        </w:rPr>
        <w:t xml:space="preserve">One particular weakness of this approach is that it is not compatible with live cell or live animal imaging, so many samples at different timepoints and tissue locations would be needed to fully understand transcytosis pathways, as they are active transport processes. Furthermore, these methods do not allow for absolute quantifications of nanoparticle numbers within cells. However, </w:t>
      </w:r>
      <w:r w:rsidR="000F02E9">
        <w:rPr>
          <w:rFonts w:ascii="Arial" w:hAnsi="Arial" w:cs="Arial"/>
          <w:sz w:val="24"/>
          <w:szCs w:val="24"/>
        </w:rPr>
        <w:t xml:space="preserve">relative comparisons of nanoparticle uptake within individual intracellular vesicles </w:t>
      </w:r>
      <w:r w:rsidR="001B0859">
        <w:rPr>
          <w:rFonts w:ascii="Arial" w:hAnsi="Arial" w:cs="Arial"/>
          <w:sz w:val="24"/>
          <w:szCs w:val="24"/>
        </w:rPr>
        <w:t>are</w:t>
      </w:r>
      <w:r w:rsidR="000F02E9">
        <w:rPr>
          <w:rFonts w:ascii="Arial" w:hAnsi="Arial" w:cs="Arial"/>
          <w:sz w:val="24"/>
          <w:szCs w:val="24"/>
        </w:rPr>
        <w:t xml:space="preserve"> very valuable information for studying nanoparticle transcytosis mechanisms. </w:t>
      </w:r>
    </w:p>
    <w:p w14:paraId="29EC9BA7" w14:textId="1118E82E" w:rsidR="00760718" w:rsidRDefault="00760718" w:rsidP="0007170C">
      <w:pPr>
        <w:spacing w:line="480" w:lineRule="auto"/>
        <w:ind w:firstLine="720"/>
        <w:jc w:val="both"/>
        <w:rPr>
          <w:rFonts w:ascii="Arial" w:hAnsi="Arial" w:cs="Arial"/>
          <w:sz w:val="24"/>
          <w:szCs w:val="24"/>
        </w:rPr>
      </w:pPr>
      <w:r>
        <w:rPr>
          <w:rFonts w:ascii="Arial" w:hAnsi="Arial" w:cs="Arial"/>
          <w:sz w:val="24"/>
          <w:szCs w:val="24"/>
        </w:rPr>
        <w:t>The initial next step of this research is the establishment of a label for directly visualizing liposomes in a manner that is compatible with Magnify. Further future work involves the use of antibodies against proteins that are involved with specific endocytic uptake pathways, such as caveolin-1 and clathrin heavy chain, in conjunction with metallic nanoparticles and pan</w:t>
      </w:r>
      <w:r w:rsidR="003C512D">
        <w:rPr>
          <w:rFonts w:ascii="Arial" w:hAnsi="Arial" w:cs="Arial"/>
          <w:sz w:val="24"/>
          <w:szCs w:val="24"/>
        </w:rPr>
        <w:t>-</w:t>
      </w:r>
      <w:r>
        <w:rPr>
          <w:rFonts w:ascii="Arial" w:hAnsi="Arial" w:cs="Arial"/>
          <w:sz w:val="24"/>
          <w:szCs w:val="24"/>
        </w:rPr>
        <w:t>ExM, along with transwell assays,</w:t>
      </w:r>
      <w:r w:rsidR="006158F6">
        <w:rPr>
          <w:rFonts w:ascii="Arial" w:hAnsi="Arial" w:cs="Arial"/>
          <w:sz w:val="24"/>
          <w:szCs w:val="24"/>
        </w:rPr>
        <w:fldChar w:fldCharType="begin" w:fldLock="1"/>
      </w:r>
      <w:r w:rsidR="00E26DE5">
        <w:rPr>
          <w:rFonts w:ascii="Arial" w:hAnsi="Arial" w:cs="Arial"/>
          <w:sz w:val="24"/>
          <w:szCs w:val="24"/>
        </w:rPr>
        <w:instrText>ADDIN CSL_CITATION {"citationItems":[{"id":"ITEM-1","itemData":{"ISSN":"10900535","PMID":"14566223","abstract":"Purpose: The internalization of poly (dl-lactide-co-glycolide, PLGA) nanoparticles in rabbit conjunctival epithelial cells (RCEC) was previously shown to occur by an endocytic process, as evidenced its energy-dependence, inhibition by the vesicle formation blocker cytochalasin D, and by the characteristic display of punctate distribution under confocal microscopy. In addition, clathrin protein was implicated in the endocytosis of these nanoparticles in vascular smooth muscle cells. We sought to examine the expression of clathrin and caveolin-1 in RCECs and to determine whether they play a role in PLGA nanoparticle endocytosis. Methods: PLGA (50:50) nanoparticles (100 nm in diameter) containing 6-coumarin (fluorescent marker, 0.05% w/v) were used in this study. The effect of pharmacological treatments aimed at disrupting formation of clathrin-coated vesicles (hypertonic challenge and intracellular K+ depletion) and caveolae (nystatin and filipin) on apical uptake of nanoparticles in primary cultured RCEC was investigated. Transferrin was chosen as a marker for clathrin-dependent endocytosis from the basolateral aspect, whereas cholera toxin B subunit was chosen as a marker for caveolae-mediated endocytosis. The staining pattern of nanoparticles in RCECs was compared with that of clathrin heavy chain (HC) and caveolin-1 under fluorescent confocal microscopy to examine possible colocalization using clathrin HC and caveolin-1 mouse monoclonal antibodies (mAb). Two pairs of primers were designed (based on conserved regions of clathrin and caveolin-1 gene in different species) to amplify a 744-bp and 152-bp fragment of clathrin HC and caveolin-1 gene, respectively. Reverse transcription-polymerase chain reaction (RT-PCR) to detect the message for clathrin HC and caveolin-1 was performed using total RNA prepared from freshly isolated RCECs. HEK293 cells were used as positive control for clathrin gene expression, whereas rabbit heart muscle and HEK cells were used as positive control for caveolin-1 gene expression. The RT-PCR products were separated using 2% agarose gel electrophoresis. Western blot analysis was performed to detect the expression of both clathrin and caveolin-1 proteins in RCECs using mouse mAbs. HeLa cells and A431 epidermoid cells were used as positive controls. The effect of transfection of RCECs (using Lipofectamine 2000™ reagent) with specific antisense oligonucleotides designed against the rabbit clathrin isoform on clathrin protein expre…","author":[{"dropping-particle":"","family":"Qaddoumi","given":"Mohamed G.","non-dropping-particle":"","parse-names":false,"suffix":""},{"dropping-particle":"","family":"Gukasyan","given":"Hovhannes J.","non-dropping-particle":"","parse-names":false,"suffix":""},{"dropping-particle":"","family":"Davda","given":"Jasmine","non-dropping-particle":"","parse-names":false,"suffix":""},{"dropping-particle":"","family":"Labhasetwar","given":"Vinod","non-dropping-particle":"","parse-names":false,"suffix":""},{"dropping-particle":"","family":"Kim","given":"Kwang Jin","non-dropping-particle":"","parse-names":false,"suffix":""},{"dropping-particle":"","family":"Lee","given":"Vincent H.L.","non-dropping-particle":"","parse-names":false,"suffix":""}],"container-title":"Molecular Vision","id":"ITEM-1","issue":"May 2014","issued":{"date-parts":[["2003"]]},"page":"559-568","title":"Clathrin and caveolin-1 expression in primary pigmented rabbit conjunctival epithelial cells: Role in PLGA nanoparticle endocytosis","type":"article-journal","volume":"9"},"uris":["http://www.mendeley.com/documents/?uuid=3245ae42-0b6f-4437-9afd-cfa761570a3a"]}],"mendeley":{"formattedCitation":"&lt;sup&gt;345&lt;/sup&gt;","plainTextFormattedCitation":"345","previouslyFormattedCitation":"&lt;sup&gt;345&lt;/sup&gt;"},"properties":{"noteIndex":0},"schema":"https://github.com/citation-style-language/schema/raw/master/csl-citation.json"}</w:instrText>
      </w:r>
      <w:r w:rsidR="006158F6">
        <w:rPr>
          <w:rFonts w:ascii="Arial" w:hAnsi="Arial" w:cs="Arial"/>
          <w:sz w:val="24"/>
          <w:szCs w:val="24"/>
        </w:rPr>
        <w:fldChar w:fldCharType="separate"/>
      </w:r>
      <w:r w:rsidR="008D4DC0" w:rsidRPr="008D4DC0">
        <w:rPr>
          <w:rFonts w:ascii="Arial" w:hAnsi="Arial" w:cs="Arial"/>
          <w:noProof/>
          <w:sz w:val="24"/>
          <w:szCs w:val="24"/>
          <w:vertAlign w:val="superscript"/>
        </w:rPr>
        <w:t>345</w:t>
      </w:r>
      <w:r w:rsidR="006158F6">
        <w:rPr>
          <w:rFonts w:ascii="Arial" w:hAnsi="Arial" w:cs="Arial"/>
          <w:sz w:val="24"/>
          <w:szCs w:val="24"/>
        </w:rPr>
        <w:fldChar w:fldCharType="end"/>
      </w:r>
      <w:r>
        <w:rPr>
          <w:rFonts w:ascii="Arial" w:hAnsi="Arial" w:cs="Arial"/>
          <w:sz w:val="24"/>
          <w:szCs w:val="24"/>
        </w:rPr>
        <w:t xml:space="preserve"> to determine which endocytic pathways result in the highest amount of transcytosis.</w:t>
      </w:r>
      <w:r w:rsidR="006158F6">
        <w:rPr>
          <w:rFonts w:ascii="Arial" w:hAnsi="Arial" w:cs="Arial"/>
          <w:sz w:val="24"/>
          <w:szCs w:val="24"/>
        </w:rPr>
        <w:t xml:space="preserve"> Studies can then be done on </w:t>
      </w:r>
      <w:r w:rsidR="00494F6B">
        <w:rPr>
          <w:rFonts w:ascii="Arial" w:hAnsi="Arial" w:cs="Arial"/>
          <w:sz w:val="24"/>
          <w:szCs w:val="24"/>
        </w:rPr>
        <w:t>new</w:t>
      </w:r>
      <w:r w:rsidR="006158F6">
        <w:rPr>
          <w:rFonts w:ascii="Arial" w:hAnsi="Arial" w:cs="Arial"/>
          <w:sz w:val="24"/>
          <w:szCs w:val="24"/>
        </w:rPr>
        <w:t xml:space="preserve"> surface modifications for metallic nanoparticles to target preferrable pathways for increasing transcytosis. The most optimal surface modifications can then be translated to organic nanoparticle studies</w:t>
      </w:r>
      <w:r w:rsidR="00C8244D">
        <w:rPr>
          <w:rFonts w:ascii="Arial" w:hAnsi="Arial" w:cs="Arial"/>
          <w:sz w:val="24"/>
          <w:szCs w:val="24"/>
        </w:rPr>
        <w:t>,</w:t>
      </w:r>
      <w:r w:rsidR="00494F6B">
        <w:rPr>
          <w:rFonts w:ascii="Arial" w:hAnsi="Arial" w:cs="Arial"/>
          <w:sz w:val="24"/>
          <w:szCs w:val="24"/>
        </w:rPr>
        <w:t xml:space="preserve"> which</w:t>
      </w:r>
      <w:r w:rsidR="006158F6">
        <w:rPr>
          <w:rFonts w:ascii="Arial" w:hAnsi="Arial" w:cs="Arial"/>
          <w:sz w:val="24"/>
          <w:szCs w:val="24"/>
        </w:rPr>
        <w:t xml:space="preserve"> can be validated with Magnify.</w:t>
      </w:r>
      <w:r w:rsidR="009810BB">
        <w:rPr>
          <w:rFonts w:ascii="Arial" w:hAnsi="Arial" w:cs="Arial"/>
          <w:sz w:val="24"/>
          <w:szCs w:val="24"/>
        </w:rPr>
        <w:t xml:space="preserve"> Expansion microscopy methods have also been developed for thick tissue sections (50-100 µm) from animal models</w:t>
      </w:r>
      <w:r w:rsidR="00FA51B0">
        <w:rPr>
          <w:rFonts w:ascii="Arial" w:hAnsi="Arial" w:cs="Arial"/>
          <w:sz w:val="24"/>
          <w:szCs w:val="24"/>
        </w:rPr>
        <w:t>, so t</w:t>
      </w:r>
      <w:r w:rsidR="009810BB">
        <w:rPr>
          <w:rFonts w:ascii="Arial" w:hAnsi="Arial" w:cs="Arial"/>
          <w:sz w:val="24"/>
          <w:szCs w:val="24"/>
        </w:rPr>
        <w:t xml:space="preserve">hese same studies can then be applied </w:t>
      </w:r>
      <w:r w:rsidR="009810BB" w:rsidRPr="000D36E7">
        <w:rPr>
          <w:rFonts w:ascii="Arial" w:hAnsi="Arial" w:cs="Arial"/>
          <w:i/>
          <w:iCs/>
          <w:sz w:val="24"/>
          <w:szCs w:val="24"/>
        </w:rPr>
        <w:t>ex vivo</w:t>
      </w:r>
      <w:r w:rsidR="009810BB">
        <w:rPr>
          <w:rFonts w:ascii="Arial" w:hAnsi="Arial" w:cs="Arial"/>
          <w:sz w:val="24"/>
          <w:szCs w:val="24"/>
        </w:rPr>
        <w:t xml:space="preserve"> with mouse tissue sections to visualize and quantify nanoparticle transport across tumor blood vessels.</w:t>
      </w:r>
      <w:r w:rsidR="00FA51B0">
        <w:rPr>
          <w:rFonts w:ascii="Arial" w:hAnsi="Arial" w:cs="Arial"/>
          <w:sz w:val="24"/>
          <w:szCs w:val="24"/>
        </w:rPr>
        <w:fldChar w:fldCharType="begin" w:fldLock="1"/>
      </w:r>
      <w:r w:rsidR="00E26DE5">
        <w:rPr>
          <w:rFonts w:ascii="Arial" w:hAnsi="Arial" w:cs="Arial"/>
          <w:sz w:val="24"/>
          <w:szCs w:val="24"/>
        </w:rPr>
        <w:instrText>ADDIN CSL_CITATION {"citationItems":[{"id":"ITEM-1","itemData":{"DOI":"10.1038/s41587-022-01546-1","ISSN":"15461696","abstract":"Expansion microscopy enables nanoimaging with conventional microscopes by physically and isotropically magnifying preserved biological specimens embedded in a crosslinked water-swellable hydrogel. Current expansion microscopy protocols require prior treatment with reactive anchoring chemicals to link specific labels and biomolecule classes to the gel. We describe a strategy called Magnify, which uses a mechanically sturdy gel that retains nucleic acids, proteins and lipids without the need for a separate anchoring step. Magnify expands biological specimens up to 11 times and facilitates imaging of cells and tissues with effectively around 25-nm resolution using a diffraction-limited objective lens of about 280 nm on conventional optical microscopes or with around 15 nm effective resolution if combined with super-resolution optical fluctuation imaging. We demonstrate Magnify on a broad range of biological specimens, providing insight into nanoscopic subcellular structures, including synaptic proteins from mouse brain, podocyte foot processes in formalin-fixed paraffin-embedded human kidney and defects in cilia and basal bodies in drug-treated human lung organoids.","author":[{"dropping-particle":"","family":"Klimas","given":"Aleksandra","non-dropping-particle":"","parse-names":false,"suffix":""},{"dropping-particle":"","family":"Gallagher","given":"Brendan R.","non-dropping-particle":"","parse-names":false,"suffix":""},{"dropping-particle":"","family":"Wijesekara","given":"Piyumi","non-dropping-particle":"","parse-names":false,"suffix":""},{"dropping-particle":"","family":"Fekir","given":"Sinda","non-dropping-particle":"","parse-names":false,"suffix":""},{"dropping-particle":"","family":"DiBernardo","given":"Emma F.","non-dropping-particle":"","parse-names":false,"suffix":""},{"dropping-particle":"","family":"Cheng","given":"Zhangyu","non-dropping-particle":"","parse-names":false,"suffix":""},{"dropping-particle":"","family":"Stolz","given":"Donna B.","non-dropping-particle":"","parse-names":false,"suffix":""},{"dropping-particle":"","family":"Cambi","given":"Franca","non-dropping-particle":"","parse-names":false,"suffix":""},{"dropping-particle":"","family":"Watkins","given":"Simon C.","non-dropping-particle":"","parse-names":false,"suffix":""},{"dropping-particle":"","family":"Brody","given":"Steven L.","non-dropping-particle":"","parse-names":false,"suffix":""},{"dropping-particle":"","family":"Horani","given":"Amjad","non-dropping-particle":"","parse-names":false,"suffix":""},{"dropping-particle":"","family":"Barth","given":"Alison L.","non-dropping-particle":"","parse-names":false,"suffix":""},{"dropping-particle":"","family":"Moore","given":"Christopher I.","non-dropping-particle":"","parse-names":false,"suffix":""},{"dropping-particle":"","family":"Ren","given":"Xi","non-dropping-particle":"","parse-names":false,"suffix":""},{"dropping-particle":"","family":"Zhao","given":"Yongxin","non-dropping-particle":"","parse-names":false,"suffix":""}],"container-title":"Nature Biotechnology","id":"ITEM-1","issued":{"date-parts":[["2023"]]},"publisher":"Springer US","title":"Magnify is a universal molecular anchoring strategy for expansion microscopy","type":"article-journal"},"uris":["http://www.mendeley.com/documents/?uuid=62267381-5794-4d06-9389-2b71ea248851"]},{"id":"ITEM-2","itemData":{"DOI":"10.1021/acs.analchem.2c04921","ISSN":"15206882","author":[{"dropping-particle":"","family":"Truckenbrodt","given":"Sven","non-dropping-particle":"","parse-names":false,"suffix":""}],"container-title":"Analytical Chemistry","id":"ITEM-2","issue":"1","issued":{"date-parts":[["2023"]]},"page":"3-32","title":"Expansion Microscopy: Super-Resolution Imaging with Hydrogels","type":"article-journal","volume":"95"},"uris":["http://www.mendeley.com/documents/?uuid=552b4b7e-874f-4f54-8397-6f61b500fac4"]}],"mendeley":{"formattedCitation":"&lt;sup&gt;325,346&lt;/sup&gt;","plainTextFormattedCitation":"325,346","previouslyFormattedCitation":"&lt;sup&gt;325,346&lt;/sup&gt;"},"properties":{"noteIndex":0},"schema":"https://github.com/citation-style-language/schema/raw/master/csl-citation.json"}</w:instrText>
      </w:r>
      <w:r w:rsidR="00FA51B0">
        <w:rPr>
          <w:rFonts w:ascii="Arial" w:hAnsi="Arial" w:cs="Arial"/>
          <w:sz w:val="24"/>
          <w:szCs w:val="24"/>
        </w:rPr>
        <w:fldChar w:fldCharType="separate"/>
      </w:r>
      <w:r w:rsidR="008D4DC0" w:rsidRPr="008D4DC0">
        <w:rPr>
          <w:rFonts w:ascii="Arial" w:hAnsi="Arial" w:cs="Arial"/>
          <w:noProof/>
          <w:sz w:val="24"/>
          <w:szCs w:val="24"/>
          <w:vertAlign w:val="superscript"/>
        </w:rPr>
        <w:t>325,346</w:t>
      </w:r>
      <w:r w:rsidR="00FA51B0">
        <w:rPr>
          <w:rFonts w:ascii="Arial" w:hAnsi="Arial" w:cs="Arial"/>
          <w:sz w:val="24"/>
          <w:szCs w:val="24"/>
        </w:rPr>
        <w:fldChar w:fldCharType="end"/>
      </w:r>
      <w:r w:rsidR="00180E27">
        <w:rPr>
          <w:rFonts w:ascii="Arial" w:hAnsi="Arial" w:cs="Arial"/>
          <w:sz w:val="24"/>
          <w:szCs w:val="24"/>
        </w:rPr>
        <w:t xml:space="preserve"> </w:t>
      </w:r>
      <w:r w:rsidR="003A1A5C">
        <w:rPr>
          <w:rFonts w:ascii="Arial" w:hAnsi="Arial" w:cs="Arial"/>
          <w:sz w:val="24"/>
          <w:szCs w:val="24"/>
        </w:rPr>
        <w:t>T</w:t>
      </w:r>
      <w:r w:rsidR="00180E27">
        <w:rPr>
          <w:rFonts w:ascii="Arial" w:hAnsi="Arial" w:cs="Arial"/>
          <w:sz w:val="24"/>
          <w:szCs w:val="24"/>
        </w:rPr>
        <w:t xml:space="preserve">he </w:t>
      </w:r>
      <w:r w:rsidR="00424400">
        <w:rPr>
          <w:rFonts w:ascii="Arial" w:hAnsi="Arial" w:cs="Arial"/>
          <w:sz w:val="24"/>
          <w:szCs w:val="24"/>
        </w:rPr>
        <w:t xml:space="preserve">successful application of </w:t>
      </w:r>
      <w:r w:rsidR="000F02E9">
        <w:rPr>
          <w:rFonts w:ascii="Arial" w:hAnsi="Arial" w:cs="Arial"/>
          <w:sz w:val="24"/>
          <w:szCs w:val="24"/>
        </w:rPr>
        <w:t xml:space="preserve">these </w:t>
      </w:r>
      <w:r w:rsidR="00424400">
        <w:rPr>
          <w:rFonts w:ascii="Arial" w:hAnsi="Arial" w:cs="Arial"/>
          <w:sz w:val="24"/>
          <w:szCs w:val="24"/>
        </w:rPr>
        <w:t>method</w:t>
      </w:r>
      <w:r w:rsidR="000F02E9">
        <w:rPr>
          <w:rFonts w:ascii="Arial" w:hAnsi="Arial" w:cs="Arial"/>
          <w:sz w:val="24"/>
          <w:szCs w:val="24"/>
        </w:rPr>
        <w:t>s</w:t>
      </w:r>
      <w:r w:rsidR="00424400">
        <w:rPr>
          <w:rFonts w:ascii="Arial" w:hAnsi="Arial" w:cs="Arial"/>
          <w:sz w:val="24"/>
          <w:szCs w:val="24"/>
        </w:rPr>
        <w:t xml:space="preserve"> will empower new research into the transcytosis </w:t>
      </w:r>
      <w:r w:rsidR="00424400">
        <w:rPr>
          <w:rFonts w:ascii="Arial" w:hAnsi="Arial" w:cs="Arial"/>
          <w:sz w:val="24"/>
          <w:szCs w:val="24"/>
        </w:rPr>
        <w:lastRenderedPageBreak/>
        <w:t xml:space="preserve">of </w:t>
      </w:r>
      <w:r w:rsidR="007C05B2">
        <w:rPr>
          <w:rFonts w:ascii="Arial" w:hAnsi="Arial" w:cs="Arial"/>
          <w:sz w:val="24"/>
          <w:szCs w:val="24"/>
        </w:rPr>
        <w:t>nanoparticles</w:t>
      </w:r>
      <w:r w:rsidR="00424400">
        <w:rPr>
          <w:rFonts w:ascii="Arial" w:hAnsi="Arial" w:cs="Arial"/>
          <w:sz w:val="24"/>
          <w:szCs w:val="24"/>
        </w:rPr>
        <w:t xml:space="preserve"> across tumor blood vessels</w:t>
      </w:r>
      <w:r w:rsidR="007C05B2">
        <w:rPr>
          <w:rFonts w:ascii="Arial" w:hAnsi="Arial" w:cs="Arial"/>
          <w:sz w:val="24"/>
          <w:szCs w:val="24"/>
        </w:rPr>
        <w:t xml:space="preserve">, towards the goal of developing more clinically efficacious anti-cancer nanomedicine. </w:t>
      </w:r>
    </w:p>
    <w:p w14:paraId="33B36D38" w14:textId="0571D504" w:rsidR="00760718" w:rsidRDefault="00760718" w:rsidP="00760718">
      <w:pPr>
        <w:spacing w:line="480" w:lineRule="auto"/>
        <w:jc w:val="both"/>
        <w:rPr>
          <w:rFonts w:ascii="Arial" w:hAnsi="Arial" w:cs="Arial"/>
          <w:sz w:val="24"/>
          <w:szCs w:val="24"/>
        </w:rPr>
      </w:pPr>
      <w:r>
        <w:rPr>
          <w:rFonts w:ascii="Arial" w:hAnsi="Arial" w:cs="Arial"/>
          <w:sz w:val="24"/>
          <w:szCs w:val="24"/>
        </w:rPr>
        <w:tab/>
      </w:r>
    </w:p>
    <w:p w14:paraId="439E8359" w14:textId="3321B3D7" w:rsidR="00180E27" w:rsidRDefault="00180E27">
      <w:pPr>
        <w:rPr>
          <w:rFonts w:ascii="Arial" w:hAnsi="Arial" w:cs="Arial"/>
          <w:sz w:val="24"/>
          <w:szCs w:val="24"/>
        </w:rPr>
      </w:pPr>
      <w:r>
        <w:rPr>
          <w:rFonts w:ascii="Arial" w:hAnsi="Arial" w:cs="Arial"/>
          <w:sz w:val="24"/>
          <w:szCs w:val="24"/>
        </w:rPr>
        <w:br w:type="page"/>
      </w:r>
    </w:p>
    <w:p w14:paraId="540BF319" w14:textId="6F11E457" w:rsidR="00C06183" w:rsidRPr="0050589D" w:rsidRDefault="0050589D" w:rsidP="00721691">
      <w:pPr>
        <w:pStyle w:val="Heading1"/>
        <w:rPr>
          <w:shd w:val="clear" w:color="auto" w:fill="FFFFFF"/>
        </w:rPr>
      </w:pPr>
      <w:bookmarkStart w:id="61" w:name="_Toc151032440"/>
      <w:r w:rsidRPr="0050589D">
        <w:rPr>
          <w:shd w:val="clear" w:color="auto" w:fill="FFFFFF"/>
        </w:rPr>
        <w:lastRenderedPageBreak/>
        <w:t>References</w:t>
      </w:r>
      <w:bookmarkEnd w:id="61"/>
    </w:p>
    <w:p w14:paraId="7C8AF543" w14:textId="3E0FA865" w:rsidR="00827F8E" w:rsidRPr="00827F8E" w:rsidRDefault="00A22975" w:rsidP="00827F8E">
      <w:pPr>
        <w:widowControl w:val="0"/>
        <w:autoSpaceDE w:val="0"/>
        <w:autoSpaceDN w:val="0"/>
        <w:adjustRightInd w:val="0"/>
        <w:spacing w:line="240" w:lineRule="auto"/>
        <w:ind w:left="640" w:hanging="640"/>
        <w:rPr>
          <w:rFonts w:ascii="Arial" w:hAnsi="Arial" w:cs="Arial"/>
          <w:noProof/>
          <w:sz w:val="24"/>
          <w:szCs w:val="24"/>
        </w:rPr>
      </w:pPr>
      <w:r w:rsidRPr="008C387C">
        <w:rPr>
          <w:rFonts w:ascii="Arial" w:hAnsi="Arial" w:cs="Arial"/>
          <w:sz w:val="24"/>
          <w:szCs w:val="24"/>
        </w:rPr>
        <w:fldChar w:fldCharType="begin" w:fldLock="1"/>
      </w:r>
      <w:r w:rsidRPr="008C387C">
        <w:rPr>
          <w:rFonts w:ascii="Arial" w:hAnsi="Arial" w:cs="Arial"/>
          <w:sz w:val="24"/>
          <w:szCs w:val="24"/>
        </w:rPr>
        <w:instrText xml:space="preserve">ADDIN Mendeley Bibliography CSL_BIBLIOGRAPHY </w:instrText>
      </w:r>
      <w:r w:rsidRPr="008C387C">
        <w:rPr>
          <w:rFonts w:ascii="Arial" w:hAnsi="Arial" w:cs="Arial"/>
          <w:sz w:val="24"/>
          <w:szCs w:val="24"/>
        </w:rPr>
        <w:fldChar w:fldCharType="separate"/>
      </w:r>
      <w:r w:rsidR="00827F8E" w:rsidRPr="00827F8E">
        <w:rPr>
          <w:rFonts w:ascii="Arial" w:hAnsi="Arial" w:cs="Arial"/>
          <w:noProof/>
          <w:sz w:val="24"/>
          <w:szCs w:val="24"/>
        </w:rPr>
        <w:t>(1)</w:t>
      </w:r>
      <w:r w:rsidR="00827F8E" w:rsidRPr="00827F8E">
        <w:rPr>
          <w:rFonts w:ascii="Arial" w:hAnsi="Arial" w:cs="Arial"/>
          <w:noProof/>
          <w:sz w:val="24"/>
          <w:szCs w:val="24"/>
        </w:rPr>
        <w:tab/>
        <w:t xml:space="preserve">Sung, H.; Ferlay, J.; Siegel, R. L.; Laversanne, M.; Soerjomataram, I.; Jemal, A.; Bray, F. Global Cancer Statistics 2020: GLOBOCAN Estimates of Incidence and Mortality Worldwide for 36 Cancers in 185 Countries. </w:t>
      </w:r>
      <w:r w:rsidR="00827F8E" w:rsidRPr="00827F8E">
        <w:rPr>
          <w:rFonts w:ascii="Arial" w:hAnsi="Arial" w:cs="Arial"/>
          <w:i/>
          <w:iCs/>
          <w:noProof/>
          <w:sz w:val="24"/>
          <w:szCs w:val="24"/>
        </w:rPr>
        <w:t>CA. Cancer J. Clin.</w:t>
      </w:r>
      <w:r w:rsidR="00827F8E" w:rsidRPr="00827F8E">
        <w:rPr>
          <w:rFonts w:ascii="Arial" w:hAnsi="Arial" w:cs="Arial"/>
          <w:noProof/>
          <w:sz w:val="24"/>
          <w:szCs w:val="24"/>
        </w:rPr>
        <w:t xml:space="preserve"> </w:t>
      </w:r>
      <w:r w:rsidR="00827F8E" w:rsidRPr="00827F8E">
        <w:rPr>
          <w:rFonts w:ascii="Arial" w:hAnsi="Arial" w:cs="Arial"/>
          <w:b/>
          <w:bCs/>
          <w:noProof/>
          <w:sz w:val="24"/>
          <w:szCs w:val="24"/>
        </w:rPr>
        <w:t>2021</w:t>
      </w:r>
      <w:r w:rsidR="00827F8E" w:rsidRPr="00827F8E">
        <w:rPr>
          <w:rFonts w:ascii="Arial" w:hAnsi="Arial" w:cs="Arial"/>
          <w:noProof/>
          <w:sz w:val="24"/>
          <w:szCs w:val="24"/>
        </w:rPr>
        <w:t xml:space="preserve">, </w:t>
      </w:r>
      <w:r w:rsidR="00827F8E" w:rsidRPr="00827F8E">
        <w:rPr>
          <w:rFonts w:ascii="Arial" w:hAnsi="Arial" w:cs="Arial"/>
          <w:i/>
          <w:iCs/>
          <w:noProof/>
          <w:sz w:val="24"/>
          <w:szCs w:val="24"/>
        </w:rPr>
        <w:t>71</w:t>
      </w:r>
      <w:r w:rsidR="00827F8E" w:rsidRPr="00827F8E">
        <w:rPr>
          <w:rFonts w:ascii="Arial" w:hAnsi="Arial" w:cs="Arial"/>
          <w:noProof/>
          <w:sz w:val="24"/>
          <w:szCs w:val="24"/>
        </w:rPr>
        <w:t xml:space="preserve"> (3), 209–249. https://doi.org/10.3322/caac.21660.</w:t>
      </w:r>
    </w:p>
    <w:p w14:paraId="79F018E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w:t>
      </w:r>
      <w:r w:rsidRPr="00827F8E">
        <w:rPr>
          <w:rFonts w:ascii="Arial" w:hAnsi="Arial" w:cs="Arial"/>
          <w:noProof/>
          <w:sz w:val="24"/>
          <w:szCs w:val="24"/>
        </w:rPr>
        <w:tab/>
        <w:t xml:space="preserve">Chen, H. H. W.; Kuo, M. T. Improving Radiotherapy in Cancer Treatment: Promises and Challenges. </w:t>
      </w:r>
      <w:r w:rsidRPr="00827F8E">
        <w:rPr>
          <w:rFonts w:ascii="Arial" w:hAnsi="Arial" w:cs="Arial"/>
          <w:i/>
          <w:iCs/>
          <w:noProof/>
          <w:sz w:val="24"/>
          <w:szCs w:val="24"/>
        </w:rPr>
        <w:t>Oncotarget</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(37), 62742–62758. https://doi.org/10.18632/oncotarget.18409.</w:t>
      </w:r>
    </w:p>
    <w:p w14:paraId="0AF74E3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w:t>
      </w:r>
      <w:r w:rsidRPr="00827F8E">
        <w:rPr>
          <w:rFonts w:ascii="Arial" w:hAnsi="Arial" w:cs="Arial"/>
          <w:noProof/>
          <w:sz w:val="24"/>
          <w:szCs w:val="24"/>
        </w:rPr>
        <w:tab/>
        <w:t xml:space="preserve">Shou, K.; Tang, Y.; Chen, H.; Chen, S.; Zhang, L.; Zhang, A.; Fan, Q.; Yu, A.; Cheng, Z. Diketopyrrolopyrrole-Based Semiconducting Polymer Nanoparticles for in Vivo Second near-Infrared Window Imaging and Image-Guided Tumor Surgery. </w:t>
      </w:r>
      <w:r w:rsidRPr="00827F8E">
        <w:rPr>
          <w:rFonts w:ascii="Arial" w:hAnsi="Arial" w:cs="Arial"/>
          <w:i/>
          <w:iCs/>
          <w:noProof/>
          <w:sz w:val="24"/>
          <w:szCs w:val="24"/>
        </w:rPr>
        <w:t>Chem. Sci.</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(12), 3105–3110. https://doi.org/10.1039/c8sc00206a.</w:t>
      </w:r>
    </w:p>
    <w:p w14:paraId="4C80BC7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w:t>
      </w:r>
      <w:r w:rsidRPr="00827F8E">
        <w:rPr>
          <w:rFonts w:ascii="Arial" w:hAnsi="Arial" w:cs="Arial"/>
          <w:noProof/>
          <w:sz w:val="24"/>
          <w:szCs w:val="24"/>
        </w:rPr>
        <w:tab/>
        <w:t xml:space="preserve">Chen, F.; Madajewski, B.; Ma, K.; Karassawa Zanoni, D.; Stambuk, H.; Turker, M. Z.; Monette, S.; Zhang, L.; Yoo, B.; Chen, P.; Meester, R. J. C.; Jonge, S. de; Montero, P.; Phillips, E.; Quinn, T. P.; Gönen, M.; Sequeira, S.; de Stanchina, E.; Zanzonico, P.; Wiesner, U.; Patel, S. G.; Bradbury, M. S. Molecular Phenotyping and Image-Guided Surgical Treatment of Melanoma Using Spectrally Distinct Ultrasmall Core-Shell Silica Nanoparticles. </w:t>
      </w:r>
      <w:r w:rsidRPr="00827F8E">
        <w:rPr>
          <w:rFonts w:ascii="Arial" w:hAnsi="Arial" w:cs="Arial"/>
          <w:i/>
          <w:iCs/>
          <w:noProof/>
          <w:sz w:val="24"/>
          <w:szCs w:val="24"/>
        </w:rPr>
        <w:t>Sci. Adv.</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(12), eaax5208. https://doi.org/10.1126/sciadv.aax5208.</w:t>
      </w:r>
    </w:p>
    <w:p w14:paraId="01CC1B2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w:t>
      </w:r>
      <w:r w:rsidRPr="00827F8E">
        <w:rPr>
          <w:rFonts w:ascii="Arial" w:hAnsi="Arial" w:cs="Arial"/>
          <w:noProof/>
          <w:sz w:val="24"/>
          <w:szCs w:val="24"/>
        </w:rPr>
        <w:tab/>
        <w:t xml:space="preserve">Alqathami, M.; Blencowe, A.; Yeo, U. J.; Doran, S. J.; Qiao, G.; Geso, M. Novel Multicompartment 3-Dimensional Radiochromic Radiation Dosimeters for Nanoparticle-Enhanced Radiation Therapy Dosimetry. </w:t>
      </w:r>
      <w:r w:rsidRPr="00827F8E">
        <w:rPr>
          <w:rFonts w:ascii="Arial" w:hAnsi="Arial" w:cs="Arial"/>
          <w:i/>
          <w:iCs/>
          <w:noProof/>
          <w:sz w:val="24"/>
          <w:szCs w:val="24"/>
        </w:rPr>
        <w:t>Int. J. Radiat. Oncol.</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84</w:t>
      </w:r>
      <w:r w:rsidRPr="00827F8E">
        <w:rPr>
          <w:rFonts w:ascii="Arial" w:hAnsi="Arial" w:cs="Arial"/>
          <w:noProof/>
          <w:sz w:val="24"/>
          <w:szCs w:val="24"/>
        </w:rPr>
        <w:t xml:space="preserve"> (4), e549–e555. https://doi.org/10.1016/j.ijrobp.2012.05.029.</w:t>
      </w:r>
    </w:p>
    <w:p w14:paraId="0E3B21F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w:t>
      </w:r>
      <w:r w:rsidRPr="00827F8E">
        <w:rPr>
          <w:rFonts w:ascii="Arial" w:hAnsi="Arial" w:cs="Arial"/>
          <w:noProof/>
          <w:sz w:val="24"/>
          <w:szCs w:val="24"/>
        </w:rPr>
        <w:tab/>
        <w:t xml:space="preserve">Kwatra, D.; Venugopal, A.; Anant, S. Nanoparticles in Radiation Therapy: A Summary of Various Approaches to Enhance Radiosensitization in Cancer. </w:t>
      </w:r>
      <w:r w:rsidRPr="00827F8E">
        <w:rPr>
          <w:rFonts w:ascii="Arial" w:hAnsi="Arial" w:cs="Arial"/>
          <w:i/>
          <w:iCs/>
          <w:noProof/>
          <w:sz w:val="24"/>
          <w:szCs w:val="24"/>
        </w:rPr>
        <w:t>Transl. Cancer Res.</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2</w:t>
      </w:r>
      <w:r w:rsidRPr="00827F8E">
        <w:rPr>
          <w:rFonts w:ascii="Arial" w:hAnsi="Arial" w:cs="Arial"/>
          <w:noProof/>
          <w:sz w:val="24"/>
          <w:szCs w:val="24"/>
        </w:rPr>
        <w:t xml:space="preserve"> (4), 330–342. https://doi.org/10.3978/j.issn.2218-676X.2013.08.06.</w:t>
      </w:r>
    </w:p>
    <w:p w14:paraId="0D92659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w:t>
      </w:r>
      <w:r w:rsidRPr="00827F8E">
        <w:rPr>
          <w:rFonts w:ascii="Arial" w:hAnsi="Arial" w:cs="Arial"/>
          <w:noProof/>
          <w:sz w:val="24"/>
          <w:szCs w:val="24"/>
        </w:rPr>
        <w:tab/>
        <w:t xml:space="preserve">Choi, M.-R.; Stanton-Maxey, K. J.; Stanley, J. K.; Levin, C. S.; Bardhan, R.; Akin, D.; Badve, S.; Sturgis, J.; Robinson, J. P.; Bashir, R.; Halas, N. J.; Clare, S. E. A Cellular Trojan Horse for Delivery of Therapeutic Nanoparticles into Tumors.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2007</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(12), 3759–3765. https://doi.org/10.1021/nl072209h.</w:t>
      </w:r>
    </w:p>
    <w:p w14:paraId="4450E59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w:t>
      </w:r>
      <w:r w:rsidRPr="00827F8E">
        <w:rPr>
          <w:rFonts w:ascii="Arial" w:hAnsi="Arial" w:cs="Arial"/>
          <w:noProof/>
          <w:sz w:val="24"/>
          <w:szCs w:val="24"/>
        </w:rPr>
        <w:tab/>
        <w:t xml:space="preserve">Anselmo, A. C.; Mitragotri, S. Nanoparticles in the Clinic: An Update. </w:t>
      </w:r>
      <w:r w:rsidRPr="00827F8E">
        <w:rPr>
          <w:rFonts w:ascii="Arial" w:hAnsi="Arial" w:cs="Arial"/>
          <w:i/>
          <w:iCs/>
          <w:noProof/>
          <w:sz w:val="24"/>
          <w:szCs w:val="24"/>
        </w:rPr>
        <w:t>Bioeng. Transl. Med.</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4</w:t>
      </w:r>
      <w:r w:rsidRPr="00827F8E">
        <w:rPr>
          <w:rFonts w:ascii="Arial" w:hAnsi="Arial" w:cs="Arial"/>
          <w:noProof/>
          <w:sz w:val="24"/>
          <w:szCs w:val="24"/>
        </w:rPr>
        <w:t xml:space="preserve"> (3), 1–16. https://doi.org/10.1002/btm2.10143.</w:t>
      </w:r>
    </w:p>
    <w:p w14:paraId="6E84BC7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w:t>
      </w:r>
      <w:r w:rsidRPr="00827F8E">
        <w:rPr>
          <w:rFonts w:ascii="Arial" w:hAnsi="Arial" w:cs="Arial"/>
          <w:noProof/>
          <w:sz w:val="24"/>
          <w:szCs w:val="24"/>
        </w:rPr>
        <w:tab/>
        <w:t xml:space="preserve">Velpurisiva, P.; Gad, A.; Piel, B.; Jadia, R.; Rai, P. Nanoparticle Design Strategies for Effective Cancer Immunotherapy. </w:t>
      </w:r>
      <w:r w:rsidRPr="00827F8E">
        <w:rPr>
          <w:rFonts w:ascii="Arial" w:hAnsi="Arial" w:cs="Arial"/>
          <w:i/>
          <w:iCs/>
          <w:noProof/>
          <w:sz w:val="24"/>
          <w:szCs w:val="24"/>
        </w:rPr>
        <w:t>J. Biomed.</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2</w:t>
      </w:r>
      <w:r w:rsidRPr="00827F8E">
        <w:rPr>
          <w:rFonts w:ascii="Arial" w:hAnsi="Arial" w:cs="Arial"/>
          <w:noProof/>
          <w:sz w:val="24"/>
          <w:szCs w:val="24"/>
        </w:rPr>
        <w:t>, 64–77. https://doi.org/10.7150/jbm.18877.</w:t>
      </w:r>
    </w:p>
    <w:p w14:paraId="753F805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w:t>
      </w:r>
      <w:r w:rsidRPr="00827F8E">
        <w:rPr>
          <w:rFonts w:ascii="Arial" w:hAnsi="Arial" w:cs="Arial"/>
          <w:noProof/>
          <w:sz w:val="24"/>
          <w:szCs w:val="24"/>
        </w:rPr>
        <w:tab/>
        <w:t xml:space="preserve">Al-Ghananeem, A. M.; Malkawi, A. H.; Muammer, Y. M.; Balko, J. M.; Black, E. P.; Mourad, W.; Romond, E. Intratumoral Delivery of Paclitaxel in Solid Tumor from Biodegradable Hyaluronan Nanoparticle Formulations. </w:t>
      </w:r>
      <w:r w:rsidRPr="00827F8E">
        <w:rPr>
          <w:rFonts w:ascii="Arial" w:hAnsi="Arial" w:cs="Arial"/>
          <w:i/>
          <w:iCs/>
          <w:noProof/>
          <w:sz w:val="24"/>
          <w:szCs w:val="24"/>
        </w:rPr>
        <w:t>AAPS PharmSciTech</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(2), 410–417. https://doi.org/10.1208/s12249-009-9222-5.</w:t>
      </w:r>
    </w:p>
    <w:p w14:paraId="202C6D4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w:t>
      </w:r>
      <w:r w:rsidRPr="00827F8E">
        <w:rPr>
          <w:rFonts w:ascii="Arial" w:hAnsi="Arial" w:cs="Arial"/>
          <w:noProof/>
          <w:sz w:val="24"/>
          <w:szCs w:val="24"/>
        </w:rPr>
        <w:tab/>
        <w:t xml:space="preserve">Huai, Y.; Hossen, M. N.; Wilhelm, S.; Bhattacharya, R.; Mukherjee, P. </w:t>
      </w:r>
      <w:r w:rsidRPr="00827F8E">
        <w:rPr>
          <w:rFonts w:ascii="Arial" w:hAnsi="Arial" w:cs="Arial"/>
          <w:noProof/>
          <w:sz w:val="24"/>
          <w:szCs w:val="24"/>
        </w:rPr>
        <w:lastRenderedPageBreak/>
        <w:t xml:space="preserve">Nanoparticle Interactions with the Tumor Microenvironment. </w:t>
      </w:r>
      <w:r w:rsidRPr="00827F8E">
        <w:rPr>
          <w:rFonts w:ascii="Arial" w:hAnsi="Arial" w:cs="Arial"/>
          <w:i/>
          <w:iCs/>
          <w:noProof/>
          <w:sz w:val="24"/>
          <w:szCs w:val="24"/>
        </w:rPr>
        <w:t>Bioconjug. Chem.</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30</w:t>
      </w:r>
      <w:r w:rsidRPr="00827F8E">
        <w:rPr>
          <w:rFonts w:ascii="Arial" w:hAnsi="Arial" w:cs="Arial"/>
          <w:noProof/>
          <w:sz w:val="24"/>
          <w:szCs w:val="24"/>
        </w:rPr>
        <w:t xml:space="preserve"> (9), 2247–2263. https://doi.org/10.1021/acs.bioconjchem.9b00448.</w:t>
      </w:r>
    </w:p>
    <w:p w14:paraId="6369935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w:t>
      </w:r>
      <w:r w:rsidRPr="00827F8E">
        <w:rPr>
          <w:rFonts w:ascii="Arial" w:hAnsi="Arial" w:cs="Arial"/>
          <w:noProof/>
          <w:sz w:val="24"/>
          <w:szCs w:val="24"/>
        </w:rPr>
        <w:tab/>
        <w:t xml:space="preserve">Kingston, B. R.; Syed, A. M.; Ngai, J.; Sindhwani, S.; Chan, W. C. W. Assessing Micrometastases as a Target for Nanoparticles Using 3D Microscopy and Machine Learning.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116</w:t>
      </w:r>
      <w:r w:rsidRPr="00827F8E">
        <w:rPr>
          <w:rFonts w:ascii="Arial" w:hAnsi="Arial" w:cs="Arial"/>
          <w:noProof/>
          <w:sz w:val="24"/>
          <w:szCs w:val="24"/>
        </w:rPr>
        <w:t xml:space="preserve"> (30), 14937–14946. https://doi.org/10.1073/pnas.1907646116.</w:t>
      </w:r>
    </w:p>
    <w:p w14:paraId="64453F5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w:t>
      </w:r>
      <w:r w:rsidRPr="00827F8E">
        <w:rPr>
          <w:rFonts w:ascii="Arial" w:hAnsi="Arial" w:cs="Arial"/>
          <w:noProof/>
          <w:sz w:val="24"/>
          <w:szCs w:val="24"/>
        </w:rPr>
        <w:tab/>
        <w:t xml:space="preserve">Zhou, Z.; Liu, X.; Zhu, D.; Wang, Y.; Zhang, Z.; Zhou, X.; Qiu, N.; Chen, X.; Shen, Y. Nonviral Cancer Gene Therapy: Delivery Cascade and Vector Nanoproperty Integration.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115</w:t>
      </w:r>
      <w:r w:rsidRPr="00827F8E">
        <w:rPr>
          <w:rFonts w:ascii="Arial" w:hAnsi="Arial" w:cs="Arial"/>
          <w:noProof/>
          <w:sz w:val="24"/>
          <w:szCs w:val="24"/>
        </w:rPr>
        <w:t>, 115–154. https://doi.org/10.1016/j.addr.2017.07.021.</w:t>
      </w:r>
    </w:p>
    <w:p w14:paraId="4F9B362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w:t>
      </w:r>
      <w:r w:rsidRPr="00827F8E">
        <w:rPr>
          <w:rFonts w:ascii="Arial" w:hAnsi="Arial" w:cs="Arial"/>
          <w:noProof/>
          <w:sz w:val="24"/>
          <w:szCs w:val="24"/>
        </w:rPr>
        <w:tab/>
        <w:t xml:space="preserve">Wilhelm, S.; Tavares, A. J.; Dai, Q.; Ohta, S.; Audet, J.; Dvorak, H. F.; Chan, W. C. W. Analysis of Nanoparticle Delivery to Tumours. </w:t>
      </w:r>
      <w:r w:rsidRPr="00827F8E">
        <w:rPr>
          <w:rFonts w:ascii="Arial" w:hAnsi="Arial" w:cs="Arial"/>
          <w:i/>
          <w:iCs/>
          <w:noProof/>
          <w:sz w:val="24"/>
          <w:szCs w:val="24"/>
        </w:rPr>
        <w:t>Nat. Rev. Mater.</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w:t>
      </w:r>
      <w:r w:rsidRPr="00827F8E">
        <w:rPr>
          <w:rFonts w:ascii="Arial" w:hAnsi="Arial" w:cs="Arial"/>
          <w:noProof/>
          <w:sz w:val="24"/>
          <w:szCs w:val="24"/>
        </w:rPr>
        <w:t xml:space="preserve"> (May 2018). https://doi.org/10.1038/natrevmats.2016.14.</w:t>
      </w:r>
    </w:p>
    <w:p w14:paraId="10788E2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w:t>
      </w:r>
      <w:r w:rsidRPr="00827F8E">
        <w:rPr>
          <w:rFonts w:ascii="Arial" w:hAnsi="Arial" w:cs="Arial"/>
          <w:noProof/>
          <w:sz w:val="24"/>
          <w:szCs w:val="24"/>
        </w:rPr>
        <w:tab/>
        <w:t xml:space="preserve">Walkey, C. D.; Chan, W. C. W. Understanding and Controlling the Interaction of Nanomaterials with Proteins in a Physiological Environment. </w:t>
      </w:r>
      <w:r w:rsidRPr="00827F8E">
        <w:rPr>
          <w:rFonts w:ascii="Arial" w:hAnsi="Arial" w:cs="Arial"/>
          <w:i/>
          <w:iCs/>
          <w:noProof/>
          <w:sz w:val="24"/>
          <w:szCs w:val="24"/>
        </w:rPr>
        <w:t>Chem. Soc. Rev.</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41</w:t>
      </w:r>
      <w:r w:rsidRPr="00827F8E">
        <w:rPr>
          <w:rFonts w:ascii="Arial" w:hAnsi="Arial" w:cs="Arial"/>
          <w:noProof/>
          <w:sz w:val="24"/>
          <w:szCs w:val="24"/>
        </w:rPr>
        <w:t xml:space="preserve"> (7), 2780–2799. https://doi.org/10.1039/c1cs15233e.</w:t>
      </w:r>
    </w:p>
    <w:p w14:paraId="7BF2DCF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w:t>
      </w:r>
      <w:r w:rsidRPr="00827F8E">
        <w:rPr>
          <w:rFonts w:ascii="Arial" w:hAnsi="Arial" w:cs="Arial"/>
          <w:noProof/>
          <w:sz w:val="24"/>
          <w:szCs w:val="24"/>
        </w:rPr>
        <w:tab/>
        <w:t xml:space="preserve">Walkey, C. D.; Olsen, J. B.; Song, F.; Liu, R.; Guo, H.; Olsen, D. W. H.; Cohen, Y.; Emili, A.; Chan, W. C. W. Protein Corona Fingerprinting Predicts the Cellular Interaction of Gold and Silver Nanoparticles.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(3), 2439–2455. https://doi.org/10.1021/nn406018q.</w:t>
      </w:r>
    </w:p>
    <w:p w14:paraId="2F13C54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w:t>
      </w:r>
      <w:r w:rsidRPr="00827F8E">
        <w:rPr>
          <w:rFonts w:ascii="Arial" w:hAnsi="Arial" w:cs="Arial"/>
          <w:noProof/>
          <w:sz w:val="24"/>
          <w:szCs w:val="24"/>
        </w:rPr>
        <w:tab/>
        <w:t xml:space="preserve">Walkey, C. D.; Olsen, J. B.; Guo, H.; Emili, A.; Chan, W. C. W. Nanoparticle Size and Surface Chemistry Determine Serum Protein Adsorption and Macrophage Uptake. </w:t>
      </w:r>
      <w:r w:rsidRPr="00827F8E">
        <w:rPr>
          <w:rFonts w:ascii="Arial" w:hAnsi="Arial" w:cs="Arial"/>
          <w:i/>
          <w:iCs/>
          <w:noProof/>
          <w:sz w:val="24"/>
          <w:szCs w:val="24"/>
        </w:rPr>
        <w:t>J. Am. Chem. Soc.</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134</w:t>
      </w:r>
      <w:r w:rsidRPr="00827F8E">
        <w:rPr>
          <w:rFonts w:ascii="Arial" w:hAnsi="Arial" w:cs="Arial"/>
          <w:noProof/>
          <w:sz w:val="24"/>
          <w:szCs w:val="24"/>
        </w:rPr>
        <w:t xml:space="preserve"> (4), 2139–2147. https://doi.org/10.1021/ja2084338.</w:t>
      </w:r>
    </w:p>
    <w:p w14:paraId="2484DF3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w:t>
      </w:r>
      <w:r w:rsidRPr="00827F8E">
        <w:rPr>
          <w:rFonts w:ascii="Arial" w:hAnsi="Arial" w:cs="Arial"/>
          <w:noProof/>
          <w:sz w:val="24"/>
          <w:szCs w:val="24"/>
        </w:rPr>
        <w:tab/>
        <w:t xml:space="preserve">Yang, W.; Wang, L.; Mettenbrink, E. M.; DeAngelis, P. L.; Wilhelm, S. Nanoparticle Toxicology. </w:t>
      </w:r>
      <w:r w:rsidRPr="00827F8E">
        <w:rPr>
          <w:rFonts w:ascii="Arial" w:hAnsi="Arial" w:cs="Arial"/>
          <w:i/>
          <w:iCs/>
          <w:noProof/>
          <w:sz w:val="24"/>
          <w:szCs w:val="24"/>
        </w:rPr>
        <w:t>Annu. Rev. Pharmacol. Toxicol.</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61</w:t>
      </w:r>
      <w:r w:rsidRPr="00827F8E">
        <w:rPr>
          <w:rFonts w:ascii="Arial" w:hAnsi="Arial" w:cs="Arial"/>
          <w:noProof/>
          <w:sz w:val="24"/>
          <w:szCs w:val="24"/>
        </w:rPr>
        <w:t xml:space="preserve"> (1), annurev-pharmtox-032320-110338. https://doi.org/10.1146/annurev-pharmtox-032320-110338.</w:t>
      </w:r>
    </w:p>
    <w:p w14:paraId="1874C67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w:t>
      </w:r>
      <w:r w:rsidRPr="00827F8E">
        <w:rPr>
          <w:rFonts w:ascii="Arial" w:hAnsi="Arial" w:cs="Arial"/>
          <w:noProof/>
          <w:sz w:val="24"/>
          <w:szCs w:val="24"/>
        </w:rPr>
        <w:tab/>
        <w:t xml:space="preserve">Nguyen, V. H.; Lee, B.-J. Protein Corona: A New Approach for Nanomedicine Design. </w:t>
      </w:r>
      <w:r w:rsidRPr="00827F8E">
        <w:rPr>
          <w:rFonts w:ascii="Arial" w:hAnsi="Arial" w:cs="Arial"/>
          <w:i/>
          <w:iCs/>
          <w:noProof/>
          <w:sz w:val="24"/>
          <w:szCs w:val="24"/>
        </w:rPr>
        <w:t>Int. J. Nanomedicine</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Volume 12</w:t>
      </w:r>
      <w:r w:rsidRPr="00827F8E">
        <w:rPr>
          <w:rFonts w:ascii="Arial" w:hAnsi="Arial" w:cs="Arial"/>
          <w:noProof/>
          <w:sz w:val="24"/>
          <w:szCs w:val="24"/>
        </w:rPr>
        <w:t>, 3137–3151. https://doi.org/10.2147/IJN.S129300.</w:t>
      </w:r>
    </w:p>
    <w:p w14:paraId="52EF33A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w:t>
      </w:r>
      <w:r w:rsidRPr="00827F8E">
        <w:rPr>
          <w:rFonts w:ascii="Arial" w:hAnsi="Arial" w:cs="Arial"/>
          <w:noProof/>
          <w:sz w:val="24"/>
          <w:szCs w:val="24"/>
        </w:rPr>
        <w:tab/>
        <w:t xml:space="preserve">Lazarovits, J.; Chen, Y. Y.; Sykes, E. A.; Chan, W. C. W. Nanoparticle–Blood Interactions: The Implications on Solid Tumour Targeting. </w:t>
      </w:r>
      <w:r w:rsidRPr="00827F8E">
        <w:rPr>
          <w:rFonts w:ascii="Arial" w:hAnsi="Arial" w:cs="Arial"/>
          <w:i/>
          <w:iCs/>
          <w:noProof/>
          <w:sz w:val="24"/>
          <w:szCs w:val="24"/>
        </w:rPr>
        <w:t>Chem. Commun.</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51</w:t>
      </w:r>
      <w:r w:rsidRPr="00827F8E">
        <w:rPr>
          <w:rFonts w:ascii="Arial" w:hAnsi="Arial" w:cs="Arial"/>
          <w:noProof/>
          <w:sz w:val="24"/>
          <w:szCs w:val="24"/>
        </w:rPr>
        <w:t xml:space="preserve"> (14), 2756–2767. https://doi.org/10.1039/C4CC07644C.</w:t>
      </w:r>
    </w:p>
    <w:p w14:paraId="3D9E494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w:t>
      </w:r>
      <w:r w:rsidRPr="00827F8E">
        <w:rPr>
          <w:rFonts w:ascii="Arial" w:hAnsi="Arial" w:cs="Arial"/>
          <w:noProof/>
          <w:sz w:val="24"/>
          <w:szCs w:val="24"/>
        </w:rPr>
        <w:tab/>
        <w:t xml:space="preserve">Blanco, E.; Shen, H.; Ferrari, M. Principles of Nanoparticle Design for Overcoming Biological Barriers to Drug Delivery.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33</w:t>
      </w:r>
      <w:r w:rsidRPr="00827F8E">
        <w:rPr>
          <w:rFonts w:ascii="Arial" w:hAnsi="Arial" w:cs="Arial"/>
          <w:noProof/>
          <w:sz w:val="24"/>
          <w:szCs w:val="24"/>
        </w:rPr>
        <w:t xml:space="preserve"> (9), 941–951. https://doi.org/10.1038/nbt.3330.</w:t>
      </w:r>
    </w:p>
    <w:p w14:paraId="7C6D923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w:t>
      </w:r>
      <w:r w:rsidRPr="00827F8E">
        <w:rPr>
          <w:rFonts w:ascii="Arial" w:hAnsi="Arial" w:cs="Arial"/>
          <w:noProof/>
          <w:sz w:val="24"/>
          <w:szCs w:val="24"/>
        </w:rPr>
        <w:tab/>
        <w:t xml:space="preserve">Suk, J. S.; Xu, Q.; Kim, N.; Hanes, J.; Ensign, L. M. PEGylation as a Strategy for Improving Nanoparticle-Based Drug and Gene Delivery.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99</w:t>
      </w:r>
      <w:r w:rsidRPr="00827F8E">
        <w:rPr>
          <w:rFonts w:ascii="Arial" w:hAnsi="Arial" w:cs="Arial"/>
          <w:noProof/>
          <w:sz w:val="24"/>
          <w:szCs w:val="24"/>
        </w:rPr>
        <w:t>, 28–51. https://doi.org/10.1016/j.addr.2015.09.012.</w:t>
      </w:r>
    </w:p>
    <w:p w14:paraId="1290148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(23)</w:t>
      </w:r>
      <w:r w:rsidRPr="00827F8E">
        <w:rPr>
          <w:rFonts w:ascii="Arial" w:hAnsi="Arial" w:cs="Arial"/>
          <w:noProof/>
          <w:sz w:val="24"/>
          <w:szCs w:val="24"/>
        </w:rPr>
        <w:tab/>
        <w:t xml:space="preserve">Hu, C. M. J.; Zhang, L.; Aryal, S.; Cheung, C.; Fang, R. H.; Zhang, L. Erythrocyte Membrane-Camouflaged Polymeric Nanoparticles as a Biomimetic Delivery Platform.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108</w:t>
      </w:r>
      <w:r w:rsidRPr="00827F8E">
        <w:rPr>
          <w:rFonts w:ascii="Arial" w:hAnsi="Arial" w:cs="Arial"/>
          <w:noProof/>
          <w:sz w:val="24"/>
          <w:szCs w:val="24"/>
        </w:rPr>
        <w:t xml:space="preserve"> (27), 10980–10985. https://doi.org/10.1073/pnas.1106634108.</w:t>
      </w:r>
    </w:p>
    <w:p w14:paraId="3C6FC43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w:t>
      </w:r>
      <w:r w:rsidRPr="00827F8E">
        <w:rPr>
          <w:rFonts w:ascii="Arial" w:hAnsi="Arial" w:cs="Arial"/>
          <w:noProof/>
          <w:sz w:val="24"/>
          <w:szCs w:val="24"/>
        </w:rPr>
        <w:tab/>
        <w:t xml:space="preserve">Ouyang, B.; Poon, W.; Zhang, Y.-N.; Lin, Z. P.; Kingston, B. R.; Tavares, A. J.; Zhang, Y.; Chen, J.; Valic, M. S.; Syed, A. M.; MacMillan, P.; Couture-Senécal, J.; Zheng, G.; Chan, W. C. W. The Dose Threshold for Nanoparticle Tumour Delivery. </w:t>
      </w:r>
      <w:r w:rsidRPr="00827F8E">
        <w:rPr>
          <w:rFonts w:ascii="Arial" w:hAnsi="Arial" w:cs="Arial"/>
          <w:i/>
          <w:iCs/>
          <w:noProof/>
          <w:sz w:val="24"/>
          <w:szCs w:val="24"/>
        </w:rPr>
        <w:t>Nat. Mater.</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https://doi.org/10.1038/s41563-020-0755-z.</w:t>
      </w:r>
    </w:p>
    <w:p w14:paraId="26C7A85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w:t>
      </w:r>
      <w:r w:rsidRPr="00827F8E">
        <w:rPr>
          <w:rFonts w:ascii="Arial" w:hAnsi="Arial" w:cs="Arial"/>
          <w:noProof/>
          <w:sz w:val="24"/>
          <w:szCs w:val="24"/>
        </w:rPr>
        <w:tab/>
        <w:t xml:space="preserve">Narum, S. M.; Le, T.; Le, D. P.; Lee, J. C.; Donahue, N. D.; Yang, W.; Wilhelm, S. Passive Targeting in Nanomedicine: Fundamental Concepts, Body Interactions, and Clinical Potential. In </w:t>
      </w:r>
      <w:r w:rsidRPr="00827F8E">
        <w:rPr>
          <w:rFonts w:ascii="Arial" w:hAnsi="Arial" w:cs="Arial"/>
          <w:i/>
          <w:iCs/>
          <w:noProof/>
          <w:sz w:val="24"/>
          <w:szCs w:val="24"/>
        </w:rPr>
        <w:t>Nanoparticles for Biomedical Applications</w:t>
      </w:r>
      <w:r w:rsidRPr="00827F8E">
        <w:rPr>
          <w:rFonts w:ascii="Arial" w:hAnsi="Arial" w:cs="Arial"/>
          <w:noProof/>
          <w:sz w:val="24"/>
          <w:szCs w:val="24"/>
        </w:rPr>
        <w:t>; Elsevier, 2020; pp 37–53. https://doi.org/10.1016/B978-0-12-816662-8.00004-7.</w:t>
      </w:r>
    </w:p>
    <w:p w14:paraId="5492893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w:t>
      </w:r>
      <w:r w:rsidRPr="00827F8E">
        <w:rPr>
          <w:rFonts w:ascii="Arial" w:hAnsi="Arial" w:cs="Arial"/>
          <w:noProof/>
          <w:sz w:val="24"/>
          <w:szCs w:val="24"/>
        </w:rPr>
        <w:tab/>
        <w:t xml:space="preserve">Maeda, H.; Wu, J.; Sawa, T.; Matsumura, Y.; Hori, K. Tumor Vascular Permeability and the EPR Effect in Macromolecular Therapeutics: A Review. </w:t>
      </w:r>
      <w:r w:rsidRPr="00827F8E">
        <w:rPr>
          <w:rFonts w:ascii="Arial" w:hAnsi="Arial" w:cs="Arial"/>
          <w:i/>
          <w:iCs/>
          <w:noProof/>
          <w:sz w:val="24"/>
          <w:szCs w:val="24"/>
        </w:rPr>
        <w:t>J. Control. Release</w:t>
      </w:r>
      <w:r w:rsidRPr="00827F8E">
        <w:rPr>
          <w:rFonts w:ascii="Arial" w:hAnsi="Arial" w:cs="Arial"/>
          <w:noProof/>
          <w:sz w:val="24"/>
          <w:szCs w:val="24"/>
        </w:rPr>
        <w:t xml:space="preserve"> </w:t>
      </w:r>
      <w:r w:rsidRPr="00827F8E">
        <w:rPr>
          <w:rFonts w:ascii="Arial" w:hAnsi="Arial" w:cs="Arial"/>
          <w:b/>
          <w:bCs/>
          <w:noProof/>
          <w:sz w:val="24"/>
          <w:szCs w:val="24"/>
        </w:rPr>
        <w:t>2000</w:t>
      </w:r>
      <w:r w:rsidRPr="00827F8E">
        <w:rPr>
          <w:rFonts w:ascii="Arial" w:hAnsi="Arial" w:cs="Arial"/>
          <w:noProof/>
          <w:sz w:val="24"/>
          <w:szCs w:val="24"/>
        </w:rPr>
        <w:t xml:space="preserve">, </w:t>
      </w:r>
      <w:r w:rsidRPr="00827F8E">
        <w:rPr>
          <w:rFonts w:ascii="Arial" w:hAnsi="Arial" w:cs="Arial"/>
          <w:i/>
          <w:iCs/>
          <w:noProof/>
          <w:sz w:val="24"/>
          <w:szCs w:val="24"/>
        </w:rPr>
        <w:t>65</w:t>
      </w:r>
      <w:r w:rsidRPr="00827F8E">
        <w:rPr>
          <w:rFonts w:ascii="Arial" w:hAnsi="Arial" w:cs="Arial"/>
          <w:noProof/>
          <w:sz w:val="24"/>
          <w:szCs w:val="24"/>
        </w:rPr>
        <w:t xml:space="preserve"> (1–2), 271–284. https://doi.org/10.1016/S0168-3659(99)00248-5.</w:t>
      </w:r>
    </w:p>
    <w:p w14:paraId="14A7F5B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w:t>
      </w:r>
      <w:r w:rsidRPr="00827F8E">
        <w:rPr>
          <w:rFonts w:ascii="Arial" w:hAnsi="Arial" w:cs="Arial"/>
          <w:noProof/>
          <w:sz w:val="24"/>
          <w:szCs w:val="24"/>
        </w:rPr>
        <w:tab/>
        <w:t xml:space="preserve">Torosean, S.; Flynn, B.; Axelsson, J.; Gunn, J.; Samkoe, K. S.; Hasan, T.; Doyley, M. M.; Pogue, B. W. Nanoparticle Uptake in Tumors Is Mediated by the Interplay of Vascular and Collagen Density with Interstitial Pressure. </w:t>
      </w:r>
      <w:r w:rsidRPr="00827F8E">
        <w:rPr>
          <w:rFonts w:ascii="Arial" w:hAnsi="Arial" w:cs="Arial"/>
          <w:i/>
          <w:iCs/>
          <w:noProof/>
          <w:sz w:val="24"/>
          <w:szCs w:val="24"/>
        </w:rPr>
        <w:t>Nanomedicine Nanotechnology, Biol. Med.</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(2), 151–158. https://doi.org/10.1016/j.nano.2012.07.002.</w:t>
      </w:r>
    </w:p>
    <w:p w14:paraId="0A8AB11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w:t>
      </w:r>
      <w:r w:rsidRPr="00827F8E">
        <w:rPr>
          <w:rFonts w:ascii="Arial" w:hAnsi="Arial" w:cs="Arial"/>
          <w:noProof/>
          <w:sz w:val="24"/>
          <w:szCs w:val="24"/>
        </w:rPr>
        <w:tab/>
        <w:t xml:space="preserve">Engin, A. B.; Nikitovic, D.; Neagu, M.; Henrich-Noack, P.; Docea, A. O.; Shtilman, M. I.; Golokhvast, K.; Tsatsakis, A. M. Mechanistic Understanding of Nanoparticles’ Interactions with Extracellular Matrix: The Cell and Immune System. </w:t>
      </w:r>
      <w:r w:rsidRPr="00827F8E">
        <w:rPr>
          <w:rFonts w:ascii="Arial" w:hAnsi="Arial" w:cs="Arial"/>
          <w:i/>
          <w:iCs/>
          <w:noProof/>
          <w:sz w:val="24"/>
          <w:szCs w:val="24"/>
        </w:rPr>
        <w:t>Part. Fibre Toxicol.</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(1), 1–16. https://doi.org/10.1186/s12989-017-0199-z.</w:t>
      </w:r>
    </w:p>
    <w:p w14:paraId="05B9AFD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w:t>
      </w:r>
      <w:r w:rsidRPr="00827F8E">
        <w:rPr>
          <w:rFonts w:ascii="Arial" w:hAnsi="Arial" w:cs="Arial"/>
          <w:noProof/>
          <w:sz w:val="24"/>
          <w:szCs w:val="24"/>
        </w:rPr>
        <w:tab/>
        <w:t xml:space="preserve">Huang, S. K.; Martin, F. J.; Jay, G.; Vogel, J.; Papahadjopoulos, D.; Friend, D. S. Extravasation and Transcytosis of Liposomes in Kaposi’s Sarcoma-like Dermal Lesions of Transgenic Mice Bearing the HIV Tat Gene. </w:t>
      </w:r>
      <w:r w:rsidRPr="00827F8E">
        <w:rPr>
          <w:rFonts w:ascii="Arial" w:hAnsi="Arial" w:cs="Arial"/>
          <w:i/>
          <w:iCs/>
          <w:noProof/>
          <w:sz w:val="24"/>
          <w:szCs w:val="24"/>
        </w:rPr>
        <w:t>Am. J. Pathol.</w:t>
      </w:r>
      <w:r w:rsidRPr="00827F8E">
        <w:rPr>
          <w:rFonts w:ascii="Arial" w:hAnsi="Arial" w:cs="Arial"/>
          <w:noProof/>
          <w:sz w:val="24"/>
          <w:szCs w:val="24"/>
        </w:rPr>
        <w:t xml:space="preserve"> </w:t>
      </w:r>
      <w:r w:rsidRPr="00827F8E">
        <w:rPr>
          <w:rFonts w:ascii="Arial" w:hAnsi="Arial" w:cs="Arial"/>
          <w:b/>
          <w:bCs/>
          <w:noProof/>
          <w:sz w:val="24"/>
          <w:szCs w:val="24"/>
        </w:rPr>
        <w:t>1993</w:t>
      </w:r>
      <w:r w:rsidRPr="00827F8E">
        <w:rPr>
          <w:rFonts w:ascii="Arial" w:hAnsi="Arial" w:cs="Arial"/>
          <w:noProof/>
          <w:sz w:val="24"/>
          <w:szCs w:val="24"/>
        </w:rPr>
        <w:t xml:space="preserve">, </w:t>
      </w:r>
      <w:r w:rsidRPr="00827F8E">
        <w:rPr>
          <w:rFonts w:ascii="Arial" w:hAnsi="Arial" w:cs="Arial"/>
          <w:i/>
          <w:iCs/>
          <w:noProof/>
          <w:sz w:val="24"/>
          <w:szCs w:val="24"/>
        </w:rPr>
        <w:t>143</w:t>
      </w:r>
      <w:r w:rsidRPr="00827F8E">
        <w:rPr>
          <w:rFonts w:ascii="Arial" w:hAnsi="Arial" w:cs="Arial"/>
          <w:noProof/>
          <w:sz w:val="24"/>
          <w:szCs w:val="24"/>
        </w:rPr>
        <w:t xml:space="preserve"> (1), 10–14.</w:t>
      </w:r>
    </w:p>
    <w:p w14:paraId="3F9C23E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w:t>
      </w:r>
      <w:r w:rsidRPr="00827F8E">
        <w:rPr>
          <w:rFonts w:ascii="Arial" w:hAnsi="Arial" w:cs="Arial"/>
          <w:noProof/>
          <w:sz w:val="24"/>
          <w:szCs w:val="24"/>
        </w:rPr>
        <w:tab/>
        <w:t xml:space="preserve">Sindhwani, S.; Syed, A. M.; Ngai, J.; Kingston, B. R.; Maiorino, L.; Rothschild, J.; MacMillan, P.; Zhang, Y.; Rajesh, N. U.; Hoang, T.; Wu, J. L. Y.; Wilhelm, S.; Zilman, A.; Gadde, S.; Sulaiman, A.; Ouyang, B.; Lin, Z.; Wang, L.; Egeblad, M.; Chan, W. C. W. The Entry of Nanoparticles into Solid Tumours. </w:t>
      </w:r>
      <w:r w:rsidRPr="00827F8E">
        <w:rPr>
          <w:rFonts w:ascii="Arial" w:hAnsi="Arial" w:cs="Arial"/>
          <w:i/>
          <w:iCs/>
          <w:noProof/>
          <w:sz w:val="24"/>
          <w:szCs w:val="24"/>
        </w:rPr>
        <w:t>Nat. Mater.</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(5), 566–575. https://doi.org/10.1038/s41563-019-0566-2.</w:t>
      </w:r>
    </w:p>
    <w:p w14:paraId="64190E8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w:t>
      </w:r>
      <w:r w:rsidRPr="00827F8E">
        <w:rPr>
          <w:rFonts w:ascii="Arial" w:hAnsi="Arial" w:cs="Arial"/>
          <w:noProof/>
          <w:sz w:val="24"/>
          <w:szCs w:val="24"/>
        </w:rPr>
        <w:tab/>
        <w:t xml:space="preserve">Dvorak, H. F. Tumor Stroma, Tumor Blood Vessels, and Antiangiogenesis Therapy. </w:t>
      </w:r>
      <w:r w:rsidRPr="00827F8E">
        <w:rPr>
          <w:rFonts w:ascii="Arial" w:hAnsi="Arial" w:cs="Arial"/>
          <w:i/>
          <w:iCs/>
          <w:noProof/>
          <w:sz w:val="24"/>
          <w:szCs w:val="24"/>
        </w:rPr>
        <w:t>Cancer J. (United States)</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21</w:t>
      </w:r>
      <w:r w:rsidRPr="00827F8E">
        <w:rPr>
          <w:rFonts w:ascii="Arial" w:hAnsi="Arial" w:cs="Arial"/>
          <w:noProof/>
          <w:sz w:val="24"/>
          <w:szCs w:val="24"/>
        </w:rPr>
        <w:t xml:space="preserve"> (4), 237–243. https://doi.org/10.1097/PPO.0000000000000124.</w:t>
      </w:r>
    </w:p>
    <w:p w14:paraId="304E6BA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w:t>
      </w:r>
      <w:r w:rsidRPr="00827F8E">
        <w:rPr>
          <w:rFonts w:ascii="Arial" w:hAnsi="Arial" w:cs="Arial"/>
          <w:noProof/>
          <w:sz w:val="24"/>
          <w:szCs w:val="24"/>
        </w:rPr>
        <w:tab/>
        <w:t xml:space="preserve">De Palma, M.; Biziato, D.; Petrova, T. V. Microenvironmental Regulation of Tumour Angiogenesis. </w:t>
      </w:r>
      <w:r w:rsidRPr="00827F8E">
        <w:rPr>
          <w:rFonts w:ascii="Arial" w:hAnsi="Arial" w:cs="Arial"/>
          <w:i/>
          <w:iCs/>
          <w:noProof/>
          <w:sz w:val="24"/>
          <w:szCs w:val="24"/>
        </w:rPr>
        <w:t>Nat. Rev. Cancer</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17</w:t>
      </w:r>
      <w:r w:rsidRPr="00827F8E">
        <w:rPr>
          <w:rFonts w:ascii="Arial" w:hAnsi="Arial" w:cs="Arial"/>
          <w:noProof/>
          <w:sz w:val="24"/>
          <w:szCs w:val="24"/>
        </w:rPr>
        <w:t xml:space="preserve"> (8), 457–474. https://doi.org/10.1038/nrc.2017.51.</w:t>
      </w:r>
    </w:p>
    <w:p w14:paraId="4B853BD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(33)</w:t>
      </w:r>
      <w:r w:rsidRPr="00827F8E">
        <w:rPr>
          <w:rFonts w:ascii="Arial" w:hAnsi="Arial" w:cs="Arial"/>
          <w:noProof/>
          <w:sz w:val="24"/>
          <w:szCs w:val="24"/>
        </w:rPr>
        <w:tab/>
        <w:t xml:space="preserve">Wei, R.; Liu, S.; Zhang, S.; Min, L.; Zhu, S. Cellular and Extracellular Components in Tumor Microenvironment and Their Application in Early Diagnosis of Cancers. </w:t>
      </w:r>
      <w:r w:rsidRPr="00827F8E">
        <w:rPr>
          <w:rFonts w:ascii="Arial" w:hAnsi="Arial" w:cs="Arial"/>
          <w:i/>
          <w:iCs/>
          <w:noProof/>
          <w:sz w:val="24"/>
          <w:szCs w:val="24"/>
        </w:rPr>
        <w:t>Anal. Cell. Pathol.</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2020</w:t>
      </w:r>
      <w:r w:rsidRPr="00827F8E">
        <w:rPr>
          <w:rFonts w:ascii="Arial" w:hAnsi="Arial" w:cs="Arial"/>
          <w:noProof/>
          <w:sz w:val="24"/>
          <w:szCs w:val="24"/>
        </w:rPr>
        <w:t xml:space="preserve"> (Figure 1). https://doi.org/10.1155/2020/6283796.</w:t>
      </w:r>
    </w:p>
    <w:p w14:paraId="5154795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w:t>
      </w:r>
      <w:r w:rsidRPr="00827F8E">
        <w:rPr>
          <w:rFonts w:ascii="Arial" w:hAnsi="Arial" w:cs="Arial"/>
          <w:noProof/>
          <w:sz w:val="24"/>
          <w:szCs w:val="24"/>
        </w:rPr>
        <w:tab/>
        <w:t xml:space="preserve">Zhang, Y.; Elechalawar, C. K.; Hossen, M. N.; Francek, E. R.; Dey, A.; Wilhelm, S.; Bhattacharya, R.; Mukherjee, P. Gold Nanoparticles Inhibit Activation of Cancer-Associated Fibroblasts by Disrupting Communication from Tumor and Microenvironmental Cells. </w:t>
      </w:r>
      <w:r w:rsidRPr="00827F8E">
        <w:rPr>
          <w:rFonts w:ascii="Arial" w:hAnsi="Arial" w:cs="Arial"/>
          <w:i/>
          <w:iCs/>
          <w:noProof/>
          <w:sz w:val="24"/>
          <w:szCs w:val="24"/>
        </w:rPr>
        <w:t>Bioact. Mater.</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xml:space="preserve"> (2), 326–332. https://doi.org/10.1016/j.bioactmat.2020.08.009.</w:t>
      </w:r>
    </w:p>
    <w:p w14:paraId="30C01C8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(35)</w:t>
      </w:r>
      <w:r w:rsidRPr="00827F8E">
        <w:rPr>
          <w:rFonts w:ascii="Arial" w:hAnsi="Arial" w:cs="Arial"/>
          <w:noProof/>
          <w:sz w:val="24"/>
          <w:szCs w:val="24"/>
        </w:rPr>
        <w:tab/>
        <w:t xml:space="preserve">Dagogo-Jack, I.; Shaw, A. T. Tumour Heterogeneity and Resistance to Cancer Therapies. </w:t>
      </w:r>
      <w:r w:rsidRPr="00827F8E">
        <w:rPr>
          <w:rFonts w:ascii="Arial" w:hAnsi="Arial" w:cs="Arial"/>
          <w:i/>
          <w:iCs/>
          <w:noProof/>
          <w:sz w:val="24"/>
          <w:szCs w:val="24"/>
        </w:rPr>
        <w:t>Nat. Rev. Clin. Oncol.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15</w:t>
      </w:r>
      <w:r w:rsidRPr="00827F8E">
        <w:rPr>
          <w:rFonts w:ascii="Arial" w:hAnsi="Arial" w:cs="Arial"/>
          <w:noProof/>
          <w:sz w:val="24"/>
          <w:szCs w:val="24"/>
        </w:rPr>
        <w:t xml:space="preserve"> (2), 81–94. https://doi.org/10.1038/nrclinonc.2017.166.</w:t>
      </w:r>
    </w:p>
    <w:p w14:paraId="5514498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(36)</w:t>
      </w:r>
      <w:r w:rsidRPr="00827F8E">
        <w:rPr>
          <w:rFonts w:ascii="Arial" w:hAnsi="Arial" w:cs="Arial"/>
          <w:noProof/>
          <w:sz w:val="24"/>
          <w:szCs w:val="24"/>
        </w:rPr>
        <w:tab/>
        <w:t xml:space="preserve">Dai, Q.; Wilhelm, S.; Ding, D.; Syed, A. M.; Sindhwani, S.; Zhang, Y.; Chen, Y. Y.; Macmillan, P.; Chan, W. C. W. Quantifying the Ligand-Coated Nanoparticle Delivery to Cancer Cells in Solid Tumors.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(8), 8423–8435. https://doi.org/10.1021/acsnano.8b03900.</w:t>
      </w:r>
    </w:p>
    <w:p w14:paraId="0655A70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(37)</w:t>
      </w:r>
      <w:r w:rsidRPr="00827F8E">
        <w:rPr>
          <w:rFonts w:ascii="Arial" w:hAnsi="Arial" w:cs="Arial"/>
          <w:noProof/>
          <w:sz w:val="24"/>
          <w:szCs w:val="24"/>
        </w:rPr>
        <w:tab/>
        <w:t xml:space="preserve">Sykes, E. A.; Dai, Q.; Sarsons, C. D.; Chen, J.; Rocheleau, J. V.; Hwang, D. M.; Zheng, G.; Cramb, D. T.; Rinker, K. D.; Chan, W. C. W. Tailoring Nanoparticle Designs to Target Cancer Based on Tumor Pathophysiology. </w:t>
      </w:r>
      <w:r w:rsidRPr="00827F8E">
        <w:rPr>
          <w:rFonts w:ascii="Arial" w:hAnsi="Arial" w:cs="Arial"/>
          <w:i/>
          <w:iCs/>
          <w:noProof/>
          <w:sz w:val="24"/>
          <w:szCs w:val="24"/>
        </w:rPr>
        <w:t>Proc. Natl. Acad. Sci.</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113</w:t>
      </w:r>
      <w:r w:rsidRPr="00827F8E">
        <w:rPr>
          <w:rFonts w:ascii="Arial" w:hAnsi="Arial" w:cs="Arial"/>
          <w:noProof/>
          <w:sz w:val="24"/>
          <w:szCs w:val="24"/>
        </w:rPr>
        <w:t xml:space="preserve"> (9), E1142–E1151. https://doi.org/10.1073/pnas.1521265113.</w:t>
      </w:r>
    </w:p>
    <w:p w14:paraId="1EF44E2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(38)</w:t>
      </w:r>
      <w:r w:rsidRPr="00827F8E">
        <w:rPr>
          <w:rFonts w:ascii="Arial" w:hAnsi="Arial" w:cs="Arial"/>
          <w:noProof/>
          <w:sz w:val="24"/>
          <w:szCs w:val="24"/>
        </w:rPr>
        <w:tab/>
        <w:t xml:space="preserve">Boumahdi, S.; de Sauvage, F. J. The Great Escape: Tumour Cell Plasticity in Resistance to Targeted Therapy. </w:t>
      </w:r>
      <w:r w:rsidRPr="00827F8E">
        <w:rPr>
          <w:rFonts w:ascii="Arial" w:hAnsi="Arial" w:cs="Arial"/>
          <w:i/>
          <w:iCs/>
          <w:noProof/>
          <w:sz w:val="24"/>
          <w:szCs w:val="24"/>
        </w:rPr>
        <w:t>Nat. Rev. Drug Discov.</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(1), 39–56. https://doi.org/10.1038/s41573-019-0044-1.</w:t>
      </w:r>
    </w:p>
    <w:p w14:paraId="1D669C3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(39)</w:t>
      </w:r>
      <w:r w:rsidRPr="00827F8E">
        <w:rPr>
          <w:rFonts w:ascii="Arial" w:hAnsi="Arial" w:cs="Arial"/>
          <w:noProof/>
          <w:sz w:val="24"/>
          <w:szCs w:val="24"/>
        </w:rPr>
        <w:tab/>
        <w:t xml:space="preserve">Vessoni, A. T.; Filippi-Chiela, E. C.; Lenz, G.; Batista, L. F. Z. Tumor Propagating Cells: Drivers of Tumor Plasticity, Heterogeneity, and Recurrence. </w:t>
      </w:r>
      <w:r w:rsidRPr="00827F8E">
        <w:rPr>
          <w:rFonts w:ascii="Arial" w:hAnsi="Arial" w:cs="Arial"/>
          <w:i/>
          <w:iCs/>
          <w:noProof/>
          <w:sz w:val="24"/>
          <w:szCs w:val="24"/>
        </w:rPr>
        <w:t>Oncogene</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39</w:t>
      </w:r>
      <w:r w:rsidRPr="00827F8E">
        <w:rPr>
          <w:rFonts w:ascii="Arial" w:hAnsi="Arial" w:cs="Arial"/>
          <w:noProof/>
          <w:sz w:val="24"/>
          <w:szCs w:val="24"/>
        </w:rPr>
        <w:t xml:space="preserve"> (10), 2055–2068. https://doi.org/10.1038/s41388-019-1128-4.</w:t>
      </w:r>
    </w:p>
    <w:p w14:paraId="0482A08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(40)</w:t>
      </w:r>
      <w:r w:rsidRPr="00827F8E">
        <w:rPr>
          <w:rFonts w:ascii="Arial" w:hAnsi="Arial" w:cs="Arial"/>
          <w:noProof/>
          <w:sz w:val="24"/>
          <w:szCs w:val="24"/>
        </w:rPr>
        <w:tab/>
        <w:t xml:space="preserve">Moore, M. A. S. Putting the Neo into Neoangiogenesis. </w:t>
      </w:r>
      <w:r w:rsidRPr="00827F8E">
        <w:rPr>
          <w:rFonts w:ascii="Arial" w:hAnsi="Arial" w:cs="Arial"/>
          <w:i/>
          <w:iCs/>
          <w:noProof/>
          <w:sz w:val="24"/>
          <w:szCs w:val="24"/>
        </w:rPr>
        <w:t>J. Clin. Invest.</w:t>
      </w:r>
      <w:r w:rsidRPr="00827F8E">
        <w:rPr>
          <w:rFonts w:ascii="Arial" w:hAnsi="Arial" w:cs="Arial"/>
          <w:noProof/>
          <w:sz w:val="24"/>
          <w:szCs w:val="24"/>
        </w:rPr>
        <w:t xml:space="preserve"> </w:t>
      </w:r>
      <w:r w:rsidRPr="00827F8E">
        <w:rPr>
          <w:rFonts w:ascii="Arial" w:hAnsi="Arial" w:cs="Arial"/>
          <w:b/>
          <w:bCs/>
          <w:noProof/>
          <w:sz w:val="24"/>
          <w:szCs w:val="24"/>
        </w:rPr>
        <w:t>2002</w:t>
      </w:r>
      <w:r w:rsidRPr="00827F8E">
        <w:rPr>
          <w:rFonts w:ascii="Arial" w:hAnsi="Arial" w:cs="Arial"/>
          <w:noProof/>
          <w:sz w:val="24"/>
          <w:szCs w:val="24"/>
        </w:rPr>
        <w:t xml:space="preserve">, </w:t>
      </w:r>
      <w:r w:rsidRPr="00827F8E">
        <w:rPr>
          <w:rFonts w:ascii="Arial" w:hAnsi="Arial" w:cs="Arial"/>
          <w:i/>
          <w:iCs/>
          <w:noProof/>
          <w:sz w:val="24"/>
          <w:szCs w:val="24"/>
        </w:rPr>
        <w:t>109</w:t>
      </w:r>
      <w:r w:rsidRPr="00827F8E">
        <w:rPr>
          <w:rFonts w:ascii="Arial" w:hAnsi="Arial" w:cs="Arial"/>
          <w:noProof/>
          <w:sz w:val="24"/>
          <w:szCs w:val="24"/>
        </w:rPr>
        <w:t xml:space="preserve"> (3), 313–315. https://doi.org/10.1172/JCI0214940.</w:t>
      </w:r>
    </w:p>
    <w:p w14:paraId="225417C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(41)</w:t>
      </w:r>
      <w:r w:rsidRPr="00827F8E">
        <w:rPr>
          <w:rFonts w:ascii="Arial" w:hAnsi="Arial" w:cs="Arial"/>
          <w:noProof/>
          <w:sz w:val="24"/>
          <w:szCs w:val="24"/>
        </w:rPr>
        <w:tab/>
        <w:t xml:space="preserve">Zhao, X.; Liu, H. Q.; Li, J.; Liu, X. L. Endothelial Progenitor Cells Promote Tumor Growth and Progression by Enhancing New Vessel Formation (Review). </w:t>
      </w:r>
      <w:r w:rsidRPr="00827F8E">
        <w:rPr>
          <w:rFonts w:ascii="Arial" w:hAnsi="Arial" w:cs="Arial"/>
          <w:i/>
          <w:iCs/>
          <w:noProof/>
          <w:sz w:val="24"/>
          <w:szCs w:val="24"/>
        </w:rPr>
        <w:t>Oncol. Lett.</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(2), 793–799. https://doi.org/10.3892/ol.2016.4733.</w:t>
      </w:r>
    </w:p>
    <w:p w14:paraId="0F211FD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(42)</w:t>
      </w:r>
      <w:r w:rsidRPr="00827F8E">
        <w:rPr>
          <w:rFonts w:ascii="Arial" w:hAnsi="Arial" w:cs="Arial"/>
          <w:noProof/>
          <w:sz w:val="24"/>
          <w:szCs w:val="24"/>
        </w:rPr>
        <w:tab/>
        <w:t xml:space="preserve">Metheny-Barlow, L. J.; Li, L. Y. The Enigmatic Role of Angiopoietin-1 in Tumor Angiogenesis. </w:t>
      </w:r>
      <w:r w:rsidRPr="00827F8E">
        <w:rPr>
          <w:rFonts w:ascii="Arial" w:hAnsi="Arial" w:cs="Arial"/>
          <w:i/>
          <w:iCs/>
          <w:noProof/>
          <w:sz w:val="24"/>
          <w:szCs w:val="24"/>
        </w:rPr>
        <w:t>Cell Res.</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13</w:t>
      </w:r>
      <w:r w:rsidRPr="00827F8E">
        <w:rPr>
          <w:rFonts w:ascii="Arial" w:hAnsi="Arial" w:cs="Arial"/>
          <w:noProof/>
          <w:sz w:val="24"/>
          <w:szCs w:val="24"/>
        </w:rPr>
        <w:t xml:space="preserve"> (5), 309–317. https://doi.org/10.1038/sj.cr.7290176.</w:t>
      </w:r>
    </w:p>
    <w:p w14:paraId="04D00A5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(43)</w:t>
      </w:r>
      <w:r w:rsidRPr="00827F8E">
        <w:rPr>
          <w:rFonts w:ascii="Arial" w:hAnsi="Arial" w:cs="Arial"/>
          <w:noProof/>
          <w:sz w:val="24"/>
          <w:szCs w:val="24"/>
        </w:rPr>
        <w:tab/>
        <w:t xml:space="preserve">Nagy, J. A.; Chang, S. H.; Dvorak, A. M.; Dvorak, H. F. Why Are Tumour Blood Vessels Abnormal and Why Is It Important to Know? </w:t>
      </w:r>
      <w:r w:rsidRPr="00827F8E">
        <w:rPr>
          <w:rFonts w:ascii="Arial" w:hAnsi="Arial" w:cs="Arial"/>
          <w:i/>
          <w:iCs/>
          <w:noProof/>
          <w:sz w:val="24"/>
          <w:szCs w:val="24"/>
        </w:rPr>
        <w:t>Br. J. Cancer</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100</w:t>
      </w:r>
      <w:r w:rsidRPr="00827F8E">
        <w:rPr>
          <w:rFonts w:ascii="Arial" w:hAnsi="Arial" w:cs="Arial"/>
          <w:noProof/>
          <w:sz w:val="24"/>
          <w:szCs w:val="24"/>
        </w:rPr>
        <w:t xml:space="preserve"> (6), 865–869. https://doi.org/10.1038/sj.bjc.6604929.</w:t>
      </w:r>
    </w:p>
    <w:p w14:paraId="3C29C07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(44)</w:t>
      </w:r>
      <w:r w:rsidRPr="00827F8E">
        <w:rPr>
          <w:rFonts w:ascii="Arial" w:hAnsi="Arial" w:cs="Arial"/>
          <w:noProof/>
          <w:sz w:val="24"/>
          <w:szCs w:val="24"/>
        </w:rPr>
        <w:tab/>
        <w:t xml:space="preserve">Bergers, G.; Song, S. The Role of Pericytes in Blood-Vessel Formation and Maintenance. </w:t>
      </w:r>
      <w:r w:rsidRPr="00827F8E">
        <w:rPr>
          <w:rFonts w:ascii="Arial" w:hAnsi="Arial" w:cs="Arial"/>
          <w:i/>
          <w:iCs/>
          <w:noProof/>
          <w:sz w:val="24"/>
          <w:szCs w:val="24"/>
        </w:rPr>
        <w:t>Neuro. Oncol.</w:t>
      </w:r>
      <w:r w:rsidRPr="00827F8E">
        <w:rPr>
          <w:rFonts w:ascii="Arial" w:hAnsi="Arial" w:cs="Arial"/>
          <w:noProof/>
          <w:sz w:val="24"/>
          <w:szCs w:val="24"/>
        </w:rPr>
        <w:t xml:space="preserve"> </w:t>
      </w:r>
      <w:r w:rsidRPr="00827F8E">
        <w:rPr>
          <w:rFonts w:ascii="Arial" w:hAnsi="Arial" w:cs="Arial"/>
          <w:b/>
          <w:bCs/>
          <w:noProof/>
          <w:sz w:val="24"/>
          <w:szCs w:val="24"/>
        </w:rPr>
        <w:t>2005</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(4), 452–464. https://doi.org/10.1215/s1152851705000232.</w:t>
      </w:r>
    </w:p>
    <w:p w14:paraId="28CA522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(45)</w:t>
      </w:r>
      <w:r w:rsidRPr="00827F8E">
        <w:rPr>
          <w:rFonts w:ascii="Arial" w:hAnsi="Arial" w:cs="Arial"/>
          <w:noProof/>
          <w:sz w:val="24"/>
          <w:szCs w:val="24"/>
        </w:rPr>
        <w:tab/>
        <w:t xml:space="preserve">Kang, E.; Shin, J. W. Pericyte-Targeting Drug Delivery and Tissue Engineering. </w:t>
      </w:r>
      <w:r w:rsidRPr="00827F8E">
        <w:rPr>
          <w:rFonts w:ascii="Arial" w:hAnsi="Arial" w:cs="Arial"/>
          <w:i/>
          <w:iCs/>
          <w:noProof/>
          <w:sz w:val="24"/>
          <w:szCs w:val="24"/>
        </w:rPr>
        <w:lastRenderedPageBreak/>
        <w:t>Int. J. Nanomedicine</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2397–2406. https://doi.org/10.2147/IJN.S105274.</w:t>
      </w:r>
    </w:p>
    <w:p w14:paraId="74BF6F3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(46)</w:t>
      </w:r>
      <w:r w:rsidRPr="00827F8E">
        <w:rPr>
          <w:rFonts w:ascii="Arial" w:hAnsi="Arial" w:cs="Arial"/>
          <w:noProof/>
          <w:sz w:val="24"/>
          <w:szCs w:val="24"/>
        </w:rPr>
        <w:tab/>
        <w:t xml:space="preserve">Nguyen, L. N. M.; Lin, Z. P.; Sindhwani, S.; MacMillan, P.; Mladjenovic, S. M.; Stordy, B.; Ngo, W.; Chan, W. C. W. The Exit of Nanoparticles from Solid Tumours. </w:t>
      </w:r>
      <w:r w:rsidRPr="00827F8E">
        <w:rPr>
          <w:rFonts w:ascii="Arial" w:hAnsi="Arial" w:cs="Arial"/>
          <w:i/>
          <w:iCs/>
          <w:noProof/>
          <w:sz w:val="24"/>
          <w:szCs w:val="24"/>
        </w:rPr>
        <w:t>Nat. Mater.</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(10), 1261–1272. https://doi.org/10.1038/s41563-023-01630-0.</w:t>
      </w:r>
    </w:p>
    <w:p w14:paraId="6F1AC69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(47)</w:t>
      </w:r>
      <w:r w:rsidRPr="00827F8E">
        <w:rPr>
          <w:rFonts w:ascii="Arial" w:hAnsi="Arial" w:cs="Arial"/>
          <w:noProof/>
          <w:sz w:val="24"/>
          <w:szCs w:val="24"/>
        </w:rPr>
        <w:tab/>
        <w:t xml:space="preserve">Bertrand, N.; Wu, J.; Xu, X.; Kamaly, N.; Farokhzad, O. C. Cancer Nanotechnology: The Impact of Passive and Active Targeting in the Era of Modern Cancer Biology.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66</w:t>
      </w:r>
      <w:r w:rsidRPr="00827F8E">
        <w:rPr>
          <w:rFonts w:ascii="Arial" w:hAnsi="Arial" w:cs="Arial"/>
          <w:noProof/>
          <w:sz w:val="24"/>
          <w:szCs w:val="24"/>
        </w:rPr>
        <w:t>, 2–25. https://doi.org/10.1016/j.addr.2013.11.009.</w:t>
      </w:r>
    </w:p>
    <w:p w14:paraId="71420D8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(48)</w:t>
      </w:r>
      <w:r w:rsidRPr="00827F8E">
        <w:rPr>
          <w:rFonts w:ascii="Arial" w:hAnsi="Arial" w:cs="Arial"/>
          <w:noProof/>
          <w:sz w:val="24"/>
          <w:szCs w:val="24"/>
        </w:rPr>
        <w:tab/>
        <w:t xml:space="preserve">Jain, R. K.; Stylianopoulos, T. Delivering Nanomedicine to Solid Tumors. </w:t>
      </w:r>
      <w:r w:rsidRPr="00827F8E">
        <w:rPr>
          <w:rFonts w:ascii="Arial" w:hAnsi="Arial" w:cs="Arial"/>
          <w:i/>
          <w:iCs/>
          <w:noProof/>
          <w:sz w:val="24"/>
          <w:szCs w:val="24"/>
        </w:rPr>
        <w:t>Nat. Rev. Clin. Oncol.</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(11), 653–664. https://doi.org/10.1038/nrclinonc.2010.139.</w:t>
      </w:r>
    </w:p>
    <w:p w14:paraId="0E0E29E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(49)</w:t>
      </w:r>
      <w:r w:rsidRPr="00827F8E">
        <w:rPr>
          <w:rFonts w:ascii="Arial" w:hAnsi="Arial" w:cs="Arial"/>
          <w:noProof/>
          <w:sz w:val="24"/>
          <w:szCs w:val="24"/>
        </w:rPr>
        <w:tab/>
        <w:t xml:space="preserve">Golombek, S. K.; May, J. N.; Theek, B.; Appold, L.; Drude, N.; Kiessling, F.; Lammers, T. Tumor Targeting via EPR: Strategies to Enhance Patient Responses.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130</w:t>
      </w:r>
      <w:r w:rsidRPr="00827F8E">
        <w:rPr>
          <w:rFonts w:ascii="Arial" w:hAnsi="Arial" w:cs="Arial"/>
          <w:noProof/>
          <w:sz w:val="24"/>
          <w:szCs w:val="24"/>
        </w:rPr>
        <w:t>, 17–38. https://doi.org/10.1016/j.addr.2018.07.007.</w:t>
      </w:r>
    </w:p>
    <w:p w14:paraId="506A0A0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(50)</w:t>
      </w:r>
      <w:r w:rsidRPr="00827F8E">
        <w:rPr>
          <w:rFonts w:ascii="Arial" w:hAnsi="Arial" w:cs="Arial"/>
          <w:noProof/>
          <w:sz w:val="24"/>
          <w:szCs w:val="24"/>
        </w:rPr>
        <w:tab/>
        <w:t xml:space="preserve">Shi, J.; Kantoff, P. W.; Wooster, R.; Farokhzad, O. C. Cancer Nanomedicine: Progress, Challenges and Opportunities. </w:t>
      </w:r>
      <w:r w:rsidRPr="00827F8E">
        <w:rPr>
          <w:rFonts w:ascii="Arial" w:hAnsi="Arial" w:cs="Arial"/>
          <w:i/>
          <w:iCs/>
          <w:noProof/>
          <w:sz w:val="24"/>
          <w:szCs w:val="24"/>
        </w:rPr>
        <w:t>Nat. Rev. Cancer</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17</w:t>
      </w:r>
      <w:r w:rsidRPr="00827F8E">
        <w:rPr>
          <w:rFonts w:ascii="Arial" w:hAnsi="Arial" w:cs="Arial"/>
          <w:noProof/>
          <w:sz w:val="24"/>
          <w:szCs w:val="24"/>
        </w:rPr>
        <w:t xml:space="preserve"> (1), 20–37. https://doi.org/10.1038/nrc.2016.108.</w:t>
      </w:r>
    </w:p>
    <w:p w14:paraId="0F0FDEE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(51)</w:t>
      </w:r>
      <w:r w:rsidRPr="00827F8E">
        <w:rPr>
          <w:rFonts w:ascii="Arial" w:hAnsi="Arial" w:cs="Arial"/>
          <w:noProof/>
          <w:sz w:val="24"/>
          <w:szCs w:val="24"/>
        </w:rPr>
        <w:tab/>
        <w:t xml:space="preserve">Kong, N.; Tao, W.; Ling, X.; Wang, J.; Xiao, Y.; Shi, S.; Ji, X.; Shajii, A.; Gan, S. T.; Kim, N. Y.; Duda, D. G.; Xie, T.; Farokhzad, O. C.; Shi, J. Synthetic MRNA Nanoparticle-Mediated Restoration of P53 Tumor Suppressor Sensitizes P53-Deficient Cancers to MTOR Inhibition. </w:t>
      </w:r>
      <w:r w:rsidRPr="00827F8E">
        <w:rPr>
          <w:rFonts w:ascii="Arial" w:hAnsi="Arial" w:cs="Arial"/>
          <w:i/>
          <w:iCs/>
          <w:noProof/>
          <w:sz w:val="24"/>
          <w:szCs w:val="24"/>
        </w:rPr>
        <w:t>Sci. Transl. Med.</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(523), eaaw1565. https://doi.org/10.1126/scitranslmed.aaw1565.</w:t>
      </w:r>
    </w:p>
    <w:p w14:paraId="6EE7F3E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(52)</w:t>
      </w:r>
      <w:r w:rsidRPr="00827F8E">
        <w:rPr>
          <w:rFonts w:ascii="Arial" w:hAnsi="Arial" w:cs="Arial"/>
          <w:noProof/>
          <w:sz w:val="24"/>
          <w:szCs w:val="24"/>
        </w:rPr>
        <w:tab/>
        <w:t xml:space="preserve">Islam, M. A.; Xu, Y.; Tao, W.; Ubellacker, J. M.; Lim, M.; Aum, D.; Lee, G. Y.; Zhou, K.; Zope, H.; Yu, M.; Cao, W.; Oswald, J. T.; Dinarvand, M.; Mahmoudi, M.; Langer, R.; Kantoff, P. W.; Farokhzad, O. C.; Zetter, B. R.; Shi, J. Restoration of Tumour-Growth Suppression in Vivo via Systemic Nanoparticle-Mediated Delivery of PTEN MRNA. </w:t>
      </w:r>
      <w:r w:rsidRPr="00827F8E">
        <w:rPr>
          <w:rFonts w:ascii="Arial" w:hAnsi="Arial" w:cs="Arial"/>
          <w:i/>
          <w:iCs/>
          <w:noProof/>
          <w:sz w:val="24"/>
          <w:szCs w:val="24"/>
        </w:rPr>
        <w:t>Nat. Biomed. Eng.</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2</w:t>
      </w:r>
      <w:r w:rsidRPr="00827F8E">
        <w:rPr>
          <w:rFonts w:ascii="Arial" w:hAnsi="Arial" w:cs="Arial"/>
          <w:noProof/>
          <w:sz w:val="24"/>
          <w:szCs w:val="24"/>
        </w:rPr>
        <w:t xml:space="preserve"> (11), 850–864. https://doi.org/10.1038/s41551-018-0284-0.</w:t>
      </w:r>
    </w:p>
    <w:p w14:paraId="5384BB8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(53)</w:t>
      </w:r>
      <w:r w:rsidRPr="00827F8E">
        <w:rPr>
          <w:rFonts w:ascii="Arial" w:hAnsi="Arial" w:cs="Arial"/>
          <w:noProof/>
          <w:sz w:val="24"/>
          <w:szCs w:val="24"/>
        </w:rPr>
        <w:tab/>
        <w:t xml:space="preserve">Zhang, C.; Zhang, X.; Zhao, W.; Zeng, C.; Li, W.; Li, B.; Luo, X.; Li, J.; Jiang, J.; Deng, B.; McComb, D. W.; Dong, Y. Chemotherapy Drugs Derived Nanoparticles Encapsulating MRNA Encoding Tumor Suppressor Proteins to Treat Triple-Negative Breast Cancer. </w:t>
      </w:r>
      <w:r w:rsidRPr="00827F8E">
        <w:rPr>
          <w:rFonts w:ascii="Arial" w:hAnsi="Arial" w:cs="Arial"/>
          <w:i/>
          <w:iCs/>
          <w:noProof/>
          <w:sz w:val="24"/>
          <w:szCs w:val="24"/>
        </w:rPr>
        <w:t>Nano Res.</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(4), 855–861. https://doi.org/10.1007/s12274-019-2308-9.</w:t>
      </w:r>
    </w:p>
    <w:p w14:paraId="261B4FB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(54)</w:t>
      </w:r>
      <w:r w:rsidRPr="00827F8E">
        <w:rPr>
          <w:rFonts w:ascii="Arial" w:hAnsi="Arial" w:cs="Arial"/>
          <w:noProof/>
          <w:sz w:val="24"/>
          <w:szCs w:val="24"/>
        </w:rPr>
        <w:tab/>
        <w:t xml:space="preserve">Wilhelm, S. Perspectives for Upconverting Nanoparticles. </w:t>
      </w:r>
      <w:r w:rsidRPr="00827F8E">
        <w:rPr>
          <w:rFonts w:ascii="Arial" w:hAnsi="Arial" w:cs="Arial"/>
          <w:i/>
          <w:iCs/>
          <w:noProof/>
          <w:sz w:val="24"/>
          <w:szCs w:val="24"/>
        </w:rPr>
        <w:t>ACS Nano</w:t>
      </w:r>
      <w:r w:rsidRPr="00827F8E">
        <w:rPr>
          <w:rFonts w:ascii="Arial" w:hAnsi="Arial" w:cs="Arial"/>
          <w:noProof/>
          <w:sz w:val="24"/>
          <w:szCs w:val="24"/>
        </w:rPr>
        <w:t>. November 28, 2017, pp 10644–10653. https://doi.org/10.1021/acsnano.7b07120.</w:t>
      </w:r>
    </w:p>
    <w:p w14:paraId="00CDC3E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(55)</w:t>
      </w:r>
      <w:r w:rsidRPr="00827F8E">
        <w:rPr>
          <w:rFonts w:ascii="Arial" w:hAnsi="Arial" w:cs="Arial"/>
          <w:noProof/>
          <w:sz w:val="24"/>
          <w:szCs w:val="24"/>
        </w:rPr>
        <w:tab/>
        <w:t xml:space="preserve">Wang, Z.; Tiruppathi, C.; Cho, J.; Minshall, R. D.; Malik, A. B. Delivery of Nanoparticle-Complexed Drugs across the Vascular Endothelial Barrier via Caveolae. </w:t>
      </w:r>
      <w:r w:rsidRPr="00827F8E">
        <w:rPr>
          <w:rFonts w:ascii="Arial" w:hAnsi="Arial" w:cs="Arial"/>
          <w:i/>
          <w:iCs/>
          <w:noProof/>
          <w:sz w:val="24"/>
          <w:szCs w:val="24"/>
        </w:rPr>
        <w:t>IUBMB Life</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63</w:t>
      </w:r>
      <w:r w:rsidRPr="00827F8E">
        <w:rPr>
          <w:rFonts w:ascii="Arial" w:hAnsi="Arial" w:cs="Arial"/>
          <w:noProof/>
          <w:sz w:val="24"/>
          <w:szCs w:val="24"/>
        </w:rPr>
        <w:t xml:space="preserve"> (8), 659–667. https://doi.org/10.1002/iub.485.</w:t>
      </w:r>
    </w:p>
    <w:p w14:paraId="70E10CA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(56)</w:t>
      </w:r>
      <w:r w:rsidRPr="00827F8E">
        <w:rPr>
          <w:rFonts w:ascii="Arial" w:hAnsi="Arial" w:cs="Arial"/>
          <w:noProof/>
          <w:sz w:val="24"/>
          <w:szCs w:val="24"/>
        </w:rPr>
        <w:tab/>
        <w:t xml:space="preserve">Kingston, B. R.; Lin, Z. P.; Ouyang, B.; MacMillan, P.; Ngai, J.; Syed, A. M.; Sindhwani, S.; Chan, W. C. W. Specific Endothelial Cells Govern Nanoparticle Entry into Solid Tumors.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1</w:t>
      </w:r>
      <w:r w:rsidRPr="00827F8E">
        <w:rPr>
          <w:rFonts w:ascii="Arial" w:hAnsi="Arial" w:cs="Arial"/>
          <w:noProof/>
          <w:sz w:val="24"/>
          <w:szCs w:val="24"/>
        </w:rPr>
        <w:t>, acsnano.1c04510. https://doi.org/10.1021/acsnano.1c04510.</w:t>
      </w:r>
    </w:p>
    <w:p w14:paraId="04AFEC3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(57)</w:t>
      </w:r>
      <w:r w:rsidRPr="00827F8E">
        <w:rPr>
          <w:rFonts w:ascii="Arial" w:hAnsi="Arial" w:cs="Arial"/>
          <w:noProof/>
          <w:sz w:val="24"/>
          <w:szCs w:val="24"/>
        </w:rPr>
        <w:tab/>
        <w:t xml:space="preserve">Dvorak, A. M.; Kohn, S.; Morgan, E. S.; Fox, P.; Nagy, J. A.; Dvorak, H. F. The Vesiculo-Vacuolar Organelle (VVO): A Distinct Endothelial Cell Structure That Provides a Transcellular Pathway for Macromolecular Extravasation. </w:t>
      </w:r>
      <w:r w:rsidRPr="00827F8E">
        <w:rPr>
          <w:rFonts w:ascii="Arial" w:hAnsi="Arial" w:cs="Arial"/>
          <w:i/>
          <w:iCs/>
          <w:noProof/>
          <w:sz w:val="24"/>
          <w:szCs w:val="24"/>
        </w:rPr>
        <w:t>J. Leukoc. Biol.</w:t>
      </w:r>
      <w:r w:rsidRPr="00827F8E">
        <w:rPr>
          <w:rFonts w:ascii="Arial" w:hAnsi="Arial" w:cs="Arial"/>
          <w:noProof/>
          <w:sz w:val="24"/>
          <w:szCs w:val="24"/>
        </w:rPr>
        <w:t xml:space="preserve"> </w:t>
      </w:r>
      <w:r w:rsidRPr="00827F8E">
        <w:rPr>
          <w:rFonts w:ascii="Arial" w:hAnsi="Arial" w:cs="Arial"/>
          <w:b/>
          <w:bCs/>
          <w:noProof/>
          <w:sz w:val="24"/>
          <w:szCs w:val="24"/>
        </w:rPr>
        <w:t>1996</w:t>
      </w:r>
      <w:r w:rsidRPr="00827F8E">
        <w:rPr>
          <w:rFonts w:ascii="Arial" w:hAnsi="Arial" w:cs="Arial"/>
          <w:noProof/>
          <w:sz w:val="24"/>
          <w:szCs w:val="24"/>
        </w:rPr>
        <w:t xml:space="preserve">, </w:t>
      </w:r>
      <w:r w:rsidRPr="00827F8E">
        <w:rPr>
          <w:rFonts w:ascii="Arial" w:hAnsi="Arial" w:cs="Arial"/>
          <w:i/>
          <w:iCs/>
          <w:noProof/>
          <w:sz w:val="24"/>
          <w:szCs w:val="24"/>
        </w:rPr>
        <w:t>59</w:t>
      </w:r>
      <w:r w:rsidRPr="00827F8E">
        <w:rPr>
          <w:rFonts w:ascii="Arial" w:hAnsi="Arial" w:cs="Arial"/>
          <w:noProof/>
          <w:sz w:val="24"/>
          <w:szCs w:val="24"/>
        </w:rPr>
        <w:t xml:space="preserve"> (1), 100–115. https://doi.org/10.1002/jlb.59.1.100.</w:t>
      </w:r>
    </w:p>
    <w:p w14:paraId="6C05D52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(58)</w:t>
      </w:r>
      <w:r w:rsidRPr="00827F8E">
        <w:rPr>
          <w:rFonts w:ascii="Arial" w:hAnsi="Arial" w:cs="Arial"/>
          <w:noProof/>
          <w:sz w:val="24"/>
          <w:szCs w:val="24"/>
        </w:rPr>
        <w:tab/>
        <w:t xml:space="preserve">Vasile, E.; Qu-Hong; Dvorak, H. F.; Dvorak, A. M. Caveolae and Vesiculo-Vacuolar Organelles in Bovine Capillary Endothelial Cells Cultured with VPF/VEGF on Floating Matrigel-Collagen Gels. </w:t>
      </w:r>
      <w:r w:rsidRPr="00827F8E">
        <w:rPr>
          <w:rFonts w:ascii="Arial" w:hAnsi="Arial" w:cs="Arial"/>
          <w:i/>
          <w:iCs/>
          <w:noProof/>
          <w:sz w:val="24"/>
          <w:szCs w:val="24"/>
        </w:rPr>
        <w:t>J. Histochem. Cytochem.</w:t>
      </w:r>
      <w:r w:rsidRPr="00827F8E">
        <w:rPr>
          <w:rFonts w:ascii="Arial" w:hAnsi="Arial" w:cs="Arial"/>
          <w:noProof/>
          <w:sz w:val="24"/>
          <w:szCs w:val="24"/>
        </w:rPr>
        <w:t xml:space="preserve"> </w:t>
      </w:r>
      <w:r w:rsidRPr="00827F8E">
        <w:rPr>
          <w:rFonts w:ascii="Arial" w:hAnsi="Arial" w:cs="Arial"/>
          <w:b/>
          <w:bCs/>
          <w:noProof/>
          <w:sz w:val="24"/>
          <w:szCs w:val="24"/>
        </w:rPr>
        <w:t>1999</w:t>
      </w:r>
      <w:r w:rsidRPr="00827F8E">
        <w:rPr>
          <w:rFonts w:ascii="Arial" w:hAnsi="Arial" w:cs="Arial"/>
          <w:noProof/>
          <w:sz w:val="24"/>
          <w:szCs w:val="24"/>
        </w:rPr>
        <w:t xml:space="preserve">, </w:t>
      </w:r>
      <w:r w:rsidRPr="00827F8E">
        <w:rPr>
          <w:rFonts w:ascii="Arial" w:hAnsi="Arial" w:cs="Arial"/>
          <w:i/>
          <w:iCs/>
          <w:noProof/>
          <w:sz w:val="24"/>
          <w:szCs w:val="24"/>
        </w:rPr>
        <w:t>47</w:t>
      </w:r>
      <w:r w:rsidRPr="00827F8E">
        <w:rPr>
          <w:rFonts w:ascii="Arial" w:hAnsi="Arial" w:cs="Arial"/>
          <w:noProof/>
          <w:sz w:val="24"/>
          <w:szCs w:val="24"/>
        </w:rPr>
        <w:t xml:space="preserve"> (2), 159–167. https://doi.org/10.1177/002215549904700205.</w:t>
      </w:r>
    </w:p>
    <w:p w14:paraId="36CFAEA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(59)</w:t>
      </w:r>
      <w:r w:rsidRPr="00827F8E">
        <w:rPr>
          <w:rFonts w:ascii="Arial" w:hAnsi="Arial" w:cs="Arial"/>
          <w:noProof/>
          <w:sz w:val="24"/>
          <w:szCs w:val="24"/>
        </w:rPr>
        <w:tab/>
        <w:t xml:space="preserve">Cogger, V. C.; McNerney, G. P.; Nyunt, T.; DeLeve, L. D.; McCourt, P.; Smedsrød, B.; Le Couteur, D. G.; Huser, T. R. Three-Dimensional Structured Illumination Microscopy of Liver Sinusoidal Endothelial Cell Fenestrations. </w:t>
      </w:r>
      <w:r w:rsidRPr="00827F8E">
        <w:rPr>
          <w:rFonts w:ascii="Arial" w:hAnsi="Arial" w:cs="Arial"/>
          <w:i/>
          <w:iCs/>
          <w:noProof/>
          <w:sz w:val="24"/>
          <w:szCs w:val="24"/>
        </w:rPr>
        <w:t>J. Struct. Biol.</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171</w:t>
      </w:r>
      <w:r w:rsidRPr="00827F8E">
        <w:rPr>
          <w:rFonts w:ascii="Arial" w:hAnsi="Arial" w:cs="Arial"/>
          <w:noProof/>
          <w:sz w:val="24"/>
          <w:szCs w:val="24"/>
        </w:rPr>
        <w:t xml:space="preserve"> (3), 382–388. https://doi.org/10.1016/j.jsb.2010.06.001.</w:t>
      </w:r>
    </w:p>
    <w:p w14:paraId="586B58C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(60)</w:t>
      </w:r>
      <w:r w:rsidRPr="00827F8E">
        <w:rPr>
          <w:rFonts w:ascii="Arial" w:hAnsi="Arial" w:cs="Arial"/>
          <w:noProof/>
          <w:sz w:val="24"/>
          <w:szCs w:val="24"/>
        </w:rPr>
        <w:tab/>
        <w:t xml:space="preserve">Ballermann, B. J. Glomerular Endothelial Cell Differentiation. </w:t>
      </w:r>
      <w:r w:rsidRPr="00827F8E">
        <w:rPr>
          <w:rFonts w:ascii="Arial" w:hAnsi="Arial" w:cs="Arial"/>
          <w:i/>
          <w:iCs/>
          <w:noProof/>
          <w:sz w:val="24"/>
          <w:szCs w:val="24"/>
        </w:rPr>
        <w:t>Kidney Int.</w:t>
      </w:r>
      <w:r w:rsidRPr="00827F8E">
        <w:rPr>
          <w:rFonts w:ascii="Arial" w:hAnsi="Arial" w:cs="Arial"/>
          <w:noProof/>
          <w:sz w:val="24"/>
          <w:szCs w:val="24"/>
        </w:rPr>
        <w:t xml:space="preserve"> </w:t>
      </w:r>
      <w:r w:rsidRPr="00827F8E">
        <w:rPr>
          <w:rFonts w:ascii="Arial" w:hAnsi="Arial" w:cs="Arial"/>
          <w:b/>
          <w:bCs/>
          <w:noProof/>
          <w:sz w:val="24"/>
          <w:szCs w:val="24"/>
        </w:rPr>
        <w:t>2005</w:t>
      </w:r>
      <w:r w:rsidRPr="00827F8E">
        <w:rPr>
          <w:rFonts w:ascii="Arial" w:hAnsi="Arial" w:cs="Arial"/>
          <w:noProof/>
          <w:sz w:val="24"/>
          <w:szCs w:val="24"/>
        </w:rPr>
        <w:t xml:space="preserve">, </w:t>
      </w:r>
      <w:r w:rsidRPr="00827F8E">
        <w:rPr>
          <w:rFonts w:ascii="Arial" w:hAnsi="Arial" w:cs="Arial"/>
          <w:i/>
          <w:iCs/>
          <w:noProof/>
          <w:sz w:val="24"/>
          <w:szCs w:val="24"/>
        </w:rPr>
        <w:t>67</w:t>
      </w:r>
      <w:r w:rsidRPr="00827F8E">
        <w:rPr>
          <w:rFonts w:ascii="Arial" w:hAnsi="Arial" w:cs="Arial"/>
          <w:noProof/>
          <w:sz w:val="24"/>
          <w:szCs w:val="24"/>
        </w:rPr>
        <w:t xml:space="preserve"> (5), 1668–1671. https://doi.org/10.1111/j.1523-1755.2005.00260.x.</w:t>
      </w:r>
    </w:p>
    <w:p w14:paraId="293A125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(61)</w:t>
      </w:r>
      <w:r w:rsidRPr="00827F8E">
        <w:rPr>
          <w:rFonts w:ascii="Arial" w:hAnsi="Arial" w:cs="Arial"/>
          <w:noProof/>
          <w:sz w:val="24"/>
          <w:szCs w:val="24"/>
        </w:rPr>
        <w:tab/>
        <w:t xml:space="preserve">Feng, D.; Nagy, J. A.; Dvorak, A. M.; Dvorak, H. F. Different Pathways of Macromolecule Extravasation from Hyperpermeable Tumor Vessels. </w:t>
      </w:r>
      <w:r w:rsidRPr="00827F8E">
        <w:rPr>
          <w:rFonts w:ascii="Arial" w:hAnsi="Arial" w:cs="Arial"/>
          <w:i/>
          <w:iCs/>
          <w:noProof/>
          <w:sz w:val="24"/>
          <w:szCs w:val="24"/>
        </w:rPr>
        <w:t>Microvasc. Res.</w:t>
      </w:r>
      <w:r w:rsidRPr="00827F8E">
        <w:rPr>
          <w:rFonts w:ascii="Arial" w:hAnsi="Arial" w:cs="Arial"/>
          <w:noProof/>
          <w:sz w:val="24"/>
          <w:szCs w:val="24"/>
        </w:rPr>
        <w:t xml:space="preserve"> </w:t>
      </w:r>
      <w:r w:rsidRPr="00827F8E">
        <w:rPr>
          <w:rFonts w:ascii="Arial" w:hAnsi="Arial" w:cs="Arial"/>
          <w:b/>
          <w:bCs/>
          <w:noProof/>
          <w:sz w:val="24"/>
          <w:szCs w:val="24"/>
        </w:rPr>
        <w:t>2000</w:t>
      </w:r>
      <w:r w:rsidRPr="00827F8E">
        <w:rPr>
          <w:rFonts w:ascii="Arial" w:hAnsi="Arial" w:cs="Arial"/>
          <w:noProof/>
          <w:sz w:val="24"/>
          <w:szCs w:val="24"/>
        </w:rPr>
        <w:t xml:space="preserve">, </w:t>
      </w:r>
      <w:r w:rsidRPr="00827F8E">
        <w:rPr>
          <w:rFonts w:ascii="Arial" w:hAnsi="Arial" w:cs="Arial"/>
          <w:i/>
          <w:iCs/>
          <w:noProof/>
          <w:sz w:val="24"/>
          <w:szCs w:val="24"/>
        </w:rPr>
        <w:t>59</w:t>
      </w:r>
      <w:r w:rsidRPr="00827F8E">
        <w:rPr>
          <w:rFonts w:ascii="Arial" w:hAnsi="Arial" w:cs="Arial"/>
          <w:noProof/>
          <w:sz w:val="24"/>
          <w:szCs w:val="24"/>
        </w:rPr>
        <w:t xml:space="preserve"> (1), 24–37. https://doi.org/10.1006/mvre.1999.2207.</w:t>
      </w:r>
    </w:p>
    <w:p w14:paraId="33DEDFC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(62)</w:t>
      </w:r>
      <w:r w:rsidRPr="00827F8E">
        <w:rPr>
          <w:rFonts w:ascii="Arial" w:hAnsi="Arial" w:cs="Arial"/>
          <w:noProof/>
          <w:sz w:val="24"/>
          <w:szCs w:val="24"/>
        </w:rPr>
        <w:tab/>
        <w:t xml:space="preserve">Pradhan, S.; Smith, A. M.; Garson, C. J.; Hassani, I.; Seeto, W. J.; Pant, K.; Arnold, R. D.; Prabhakarpandian, B.; Lipke, E. A. A Microvascularized Tumor-Mimetic Platform for Assessing Anti-Cancer Drug Efficacy. </w:t>
      </w:r>
      <w:r w:rsidRPr="00827F8E">
        <w:rPr>
          <w:rFonts w:ascii="Arial" w:hAnsi="Arial" w:cs="Arial"/>
          <w:i/>
          <w:iCs/>
          <w:noProof/>
          <w:sz w:val="24"/>
          <w:szCs w:val="24"/>
        </w:rPr>
        <w:t>Sci. Rep.</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(1), 1–15. https://doi.org/10.1038/s41598-018-21075-9.</w:t>
      </w:r>
    </w:p>
    <w:p w14:paraId="083BFAB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(63)</w:t>
      </w:r>
      <w:r w:rsidRPr="00827F8E">
        <w:rPr>
          <w:rFonts w:ascii="Arial" w:hAnsi="Arial" w:cs="Arial"/>
          <w:noProof/>
          <w:sz w:val="24"/>
          <w:szCs w:val="24"/>
        </w:rPr>
        <w:tab/>
        <w:t xml:space="preserve">Chen, Y. Y.; Kingston, B. R.; Chan, W. C. W. Transcribing In Vivo Blood Vessel Networks into In Vitro Perfusable Microfluidic Devices. </w:t>
      </w:r>
      <w:r w:rsidRPr="00827F8E">
        <w:rPr>
          <w:rFonts w:ascii="Arial" w:hAnsi="Arial" w:cs="Arial"/>
          <w:i/>
          <w:iCs/>
          <w:noProof/>
          <w:sz w:val="24"/>
          <w:szCs w:val="24"/>
        </w:rPr>
        <w:t>Adv. Mater. Technol.</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2000103. https://doi.org/10.1002/admt.202000103.</w:t>
      </w:r>
    </w:p>
    <w:p w14:paraId="000EDA8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(64)</w:t>
      </w:r>
      <w:r w:rsidRPr="00827F8E">
        <w:rPr>
          <w:rFonts w:ascii="Arial" w:hAnsi="Arial" w:cs="Arial"/>
          <w:noProof/>
          <w:sz w:val="24"/>
          <w:szCs w:val="24"/>
        </w:rPr>
        <w:tab/>
        <w:t xml:space="preserve">Claude, A.; Porter, K. R.; Pickels, E. G. Electron Microscope Study of Chicken Tumor Cells. </w:t>
      </w:r>
      <w:r w:rsidRPr="00827F8E">
        <w:rPr>
          <w:rFonts w:ascii="Arial" w:hAnsi="Arial" w:cs="Arial"/>
          <w:i/>
          <w:iCs/>
          <w:noProof/>
          <w:sz w:val="24"/>
          <w:szCs w:val="24"/>
        </w:rPr>
        <w:t>Cancer Res.</w:t>
      </w:r>
      <w:r w:rsidRPr="00827F8E">
        <w:rPr>
          <w:rFonts w:ascii="Arial" w:hAnsi="Arial" w:cs="Arial"/>
          <w:noProof/>
          <w:sz w:val="24"/>
          <w:szCs w:val="24"/>
        </w:rPr>
        <w:t xml:space="preserve"> </w:t>
      </w:r>
      <w:r w:rsidRPr="00827F8E">
        <w:rPr>
          <w:rFonts w:ascii="Arial" w:hAnsi="Arial" w:cs="Arial"/>
          <w:b/>
          <w:bCs/>
          <w:noProof/>
          <w:sz w:val="24"/>
          <w:szCs w:val="24"/>
        </w:rPr>
        <w:t>1947</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(7), 421–430.</w:t>
      </w:r>
    </w:p>
    <w:p w14:paraId="54E2843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(65)</w:t>
      </w:r>
      <w:r w:rsidRPr="00827F8E">
        <w:rPr>
          <w:rFonts w:ascii="Arial" w:hAnsi="Arial" w:cs="Arial"/>
          <w:noProof/>
          <w:sz w:val="24"/>
          <w:szCs w:val="24"/>
        </w:rPr>
        <w:tab/>
        <w:t xml:space="preserve">Bangham, A. D.; Horne, R. W. Negative Staining of Phospholipids and Their Structural Modification by Surface-Active Agents as Observed in the Electron Microscope. </w:t>
      </w:r>
      <w:r w:rsidRPr="00827F8E">
        <w:rPr>
          <w:rFonts w:ascii="Arial" w:hAnsi="Arial" w:cs="Arial"/>
          <w:i/>
          <w:iCs/>
          <w:noProof/>
          <w:sz w:val="24"/>
          <w:szCs w:val="24"/>
        </w:rPr>
        <w:t>J. Mol. Biol.</w:t>
      </w:r>
      <w:r w:rsidRPr="00827F8E">
        <w:rPr>
          <w:rFonts w:ascii="Arial" w:hAnsi="Arial" w:cs="Arial"/>
          <w:noProof/>
          <w:sz w:val="24"/>
          <w:szCs w:val="24"/>
        </w:rPr>
        <w:t xml:space="preserve"> </w:t>
      </w:r>
      <w:r w:rsidRPr="00827F8E">
        <w:rPr>
          <w:rFonts w:ascii="Arial" w:hAnsi="Arial" w:cs="Arial"/>
          <w:b/>
          <w:bCs/>
          <w:noProof/>
          <w:sz w:val="24"/>
          <w:szCs w:val="24"/>
        </w:rPr>
        <w:t>1964</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(5), 660-IN10. https://doi.org/10.1016/S0022-2836(64)80115-7.</w:t>
      </w:r>
    </w:p>
    <w:p w14:paraId="10F853D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(66)</w:t>
      </w:r>
      <w:r w:rsidRPr="00827F8E">
        <w:rPr>
          <w:rFonts w:ascii="Arial" w:hAnsi="Arial" w:cs="Arial"/>
          <w:noProof/>
          <w:sz w:val="24"/>
          <w:szCs w:val="24"/>
        </w:rPr>
        <w:tab/>
        <w:t xml:space="preserve">Leserman, L. D.; Weinstein, J. N.; Blumenthal, R.; Sharrow, S. O.; Terry, W. D. Binding of Antigen-Bearing Fluorescent Liposomes to the Murine Myeloma Tumor MOPC 315. </w:t>
      </w:r>
      <w:r w:rsidRPr="00827F8E">
        <w:rPr>
          <w:rFonts w:ascii="Arial" w:hAnsi="Arial" w:cs="Arial"/>
          <w:i/>
          <w:iCs/>
          <w:noProof/>
          <w:sz w:val="24"/>
          <w:szCs w:val="24"/>
        </w:rPr>
        <w:t>J. Immunol.</w:t>
      </w:r>
      <w:r w:rsidRPr="00827F8E">
        <w:rPr>
          <w:rFonts w:ascii="Arial" w:hAnsi="Arial" w:cs="Arial"/>
          <w:noProof/>
          <w:sz w:val="24"/>
          <w:szCs w:val="24"/>
        </w:rPr>
        <w:t xml:space="preserve"> </w:t>
      </w:r>
      <w:r w:rsidRPr="00827F8E">
        <w:rPr>
          <w:rFonts w:ascii="Arial" w:hAnsi="Arial" w:cs="Arial"/>
          <w:b/>
          <w:bCs/>
          <w:noProof/>
          <w:sz w:val="24"/>
          <w:szCs w:val="24"/>
        </w:rPr>
        <w:t>1979</w:t>
      </w:r>
      <w:r w:rsidRPr="00827F8E">
        <w:rPr>
          <w:rFonts w:ascii="Arial" w:hAnsi="Arial" w:cs="Arial"/>
          <w:noProof/>
          <w:sz w:val="24"/>
          <w:szCs w:val="24"/>
        </w:rPr>
        <w:t xml:space="preserve">, </w:t>
      </w:r>
      <w:r w:rsidRPr="00827F8E">
        <w:rPr>
          <w:rFonts w:ascii="Arial" w:hAnsi="Arial" w:cs="Arial"/>
          <w:i/>
          <w:iCs/>
          <w:noProof/>
          <w:sz w:val="24"/>
          <w:szCs w:val="24"/>
        </w:rPr>
        <w:t>122</w:t>
      </w:r>
      <w:r w:rsidRPr="00827F8E">
        <w:rPr>
          <w:rFonts w:ascii="Arial" w:hAnsi="Arial" w:cs="Arial"/>
          <w:noProof/>
          <w:sz w:val="24"/>
          <w:szCs w:val="24"/>
        </w:rPr>
        <w:t xml:space="preserve"> (2), 585–591.</w:t>
      </w:r>
    </w:p>
    <w:p w14:paraId="21B5E06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(67)</w:t>
      </w:r>
      <w:r w:rsidRPr="00827F8E">
        <w:rPr>
          <w:rFonts w:ascii="Arial" w:hAnsi="Arial" w:cs="Arial"/>
          <w:noProof/>
          <w:sz w:val="24"/>
          <w:szCs w:val="24"/>
        </w:rPr>
        <w:tab/>
        <w:t xml:space="preserve">Huang, A.; Kennel, S. J.; Huang, L. Immunoliposome Labeling: A Sensitive and Specific Method for Cell Surface Labeling. </w:t>
      </w:r>
      <w:r w:rsidRPr="00827F8E">
        <w:rPr>
          <w:rFonts w:ascii="Arial" w:hAnsi="Arial" w:cs="Arial"/>
          <w:i/>
          <w:iCs/>
          <w:noProof/>
          <w:sz w:val="24"/>
          <w:szCs w:val="24"/>
        </w:rPr>
        <w:t>J. Immunol. Methods</w:t>
      </w:r>
      <w:r w:rsidRPr="00827F8E">
        <w:rPr>
          <w:rFonts w:ascii="Arial" w:hAnsi="Arial" w:cs="Arial"/>
          <w:noProof/>
          <w:sz w:val="24"/>
          <w:szCs w:val="24"/>
        </w:rPr>
        <w:t xml:space="preserve"> </w:t>
      </w:r>
      <w:r w:rsidRPr="00827F8E">
        <w:rPr>
          <w:rFonts w:ascii="Arial" w:hAnsi="Arial" w:cs="Arial"/>
          <w:b/>
          <w:bCs/>
          <w:noProof/>
          <w:sz w:val="24"/>
          <w:szCs w:val="24"/>
        </w:rPr>
        <w:t>1981</w:t>
      </w:r>
      <w:r w:rsidRPr="00827F8E">
        <w:rPr>
          <w:rFonts w:ascii="Arial" w:hAnsi="Arial" w:cs="Arial"/>
          <w:noProof/>
          <w:sz w:val="24"/>
          <w:szCs w:val="24"/>
        </w:rPr>
        <w:t xml:space="preserve">, </w:t>
      </w:r>
      <w:r w:rsidRPr="00827F8E">
        <w:rPr>
          <w:rFonts w:ascii="Arial" w:hAnsi="Arial" w:cs="Arial"/>
          <w:i/>
          <w:iCs/>
          <w:noProof/>
          <w:sz w:val="24"/>
          <w:szCs w:val="24"/>
        </w:rPr>
        <w:t>46</w:t>
      </w:r>
      <w:r w:rsidRPr="00827F8E">
        <w:rPr>
          <w:rFonts w:ascii="Arial" w:hAnsi="Arial" w:cs="Arial"/>
          <w:noProof/>
          <w:sz w:val="24"/>
          <w:szCs w:val="24"/>
        </w:rPr>
        <w:t xml:space="preserve"> (2), 141–151. https://doi.org/10.1016/0022-1759(81)90131-9.</w:t>
      </w:r>
    </w:p>
    <w:p w14:paraId="596EEC8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(68)</w:t>
      </w:r>
      <w:r w:rsidRPr="00827F8E">
        <w:rPr>
          <w:rFonts w:ascii="Arial" w:hAnsi="Arial" w:cs="Arial"/>
          <w:noProof/>
          <w:sz w:val="24"/>
          <w:szCs w:val="24"/>
        </w:rPr>
        <w:tab/>
        <w:t xml:space="preserve">Weinstein, J. N.; Magin, R. L.; Yatvin, M. B.; Zaharko, D. S. Liposomes and Local Hyperthermia: Selective Delivery. </w:t>
      </w:r>
      <w:r w:rsidRPr="00827F8E">
        <w:rPr>
          <w:rFonts w:ascii="Arial" w:hAnsi="Arial" w:cs="Arial"/>
          <w:i/>
          <w:iCs/>
          <w:noProof/>
          <w:sz w:val="24"/>
          <w:szCs w:val="24"/>
        </w:rPr>
        <w:t>Science (80-. ).</w:t>
      </w:r>
      <w:r w:rsidRPr="00827F8E">
        <w:rPr>
          <w:rFonts w:ascii="Arial" w:hAnsi="Arial" w:cs="Arial"/>
          <w:noProof/>
          <w:sz w:val="24"/>
          <w:szCs w:val="24"/>
        </w:rPr>
        <w:t xml:space="preserve"> </w:t>
      </w:r>
      <w:r w:rsidRPr="00827F8E">
        <w:rPr>
          <w:rFonts w:ascii="Arial" w:hAnsi="Arial" w:cs="Arial"/>
          <w:b/>
          <w:bCs/>
          <w:noProof/>
          <w:sz w:val="24"/>
          <w:szCs w:val="24"/>
        </w:rPr>
        <w:t>1979</w:t>
      </w:r>
      <w:r w:rsidRPr="00827F8E">
        <w:rPr>
          <w:rFonts w:ascii="Arial" w:hAnsi="Arial" w:cs="Arial"/>
          <w:noProof/>
          <w:sz w:val="24"/>
          <w:szCs w:val="24"/>
        </w:rPr>
        <w:t xml:space="preserve">, </w:t>
      </w:r>
      <w:r w:rsidRPr="00827F8E">
        <w:rPr>
          <w:rFonts w:ascii="Arial" w:hAnsi="Arial" w:cs="Arial"/>
          <w:i/>
          <w:iCs/>
          <w:noProof/>
          <w:sz w:val="24"/>
          <w:szCs w:val="24"/>
        </w:rPr>
        <w:t>204</w:t>
      </w:r>
      <w:r w:rsidRPr="00827F8E">
        <w:rPr>
          <w:rFonts w:ascii="Arial" w:hAnsi="Arial" w:cs="Arial"/>
          <w:noProof/>
          <w:sz w:val="24"/>
          <w:szCs w:val="24"/>
        </w:rPr>
        <w:t xml:space="preserve"> (4389), 188–191.</w:t>
      </w:r>
    </w:p>
    <w:p w14:paraId="0F75668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(69)</w:t>
      </w:r>
      <w:r w:rsidRPr="00827F8E">
        <w:rPr>
          <w:rFonts w:ascii="Arial" w:hAnsi="Arial" w:cs="Arial"/>
          <w:noProof/>
          <w:sz w:val="24"/>
          <w:szCs w:val="24"/>
        </w:rPr>
        <w:tab/>
        <w:t xml:space="preserve">Kong, G.; Dewhirst, M. W. Hyperthermia and Liposomes. </w:t>
      </w:r>
      <w:r w:rsidRPr="00827F8E">
        <w:rPr>
          <w:rFonts w:ascii="Arial" w:hAnsi="Arial" w:cs="Arial"/>
          <w:i/>
          <w:iCs/>
          <w:noProof/>
          <w:sz w:val="24"/>
          <w:szCs w:val="24"/>
        </w:rPr>
        <w:t>Int. J. Hyperth.</w:t>
      </w:r>
      <w:r w:rsidRPr="00827F8E">
        <w:rPr>
          <w:rFonts w:ascii="Arial" w:hAnsi="Arial" w:cs="Arial"/>
          <w:noProof/>
          <w:sz w:val="24"/>
          <w:szCs w:val="24"/>
        </w:rPr>
        <w:t xml:space="preserve"> </w:t>
      </w:r>
      <w:r w:rsidRPr="00827F8E">
        <w:rPr>
          <w:rFonts w:ascii="Arial" w:hAnsi="Arial" w:cs="Arial"/>
          <w:b/>
          <w:bCs/>
          <w:noProof/>
          <w:sz w:val="24"/>
          <w:szCs w:val="24"/>
        </w:rPr>
        <w:t>1999</w:t>
      </w:r>
      <w:r w:rsidRPr="00827F8E">
        <w:rPr>
          <w:rFonts w:ascii="Arial" w:hAnsi="Arial" w:cs="Arial"/>
          <w:noProof/>
          <w:sz w:val="24"/>
          <w:szCs w:val="24"/>
        </w:rPr>
        <w:t xml:space="preserve">, </w:t>
      </w:r>
      <w:r w:rsidRPr="00827F8E">
        <w:rPr>
          <w:rFonts w:ascii="Arial" w:hAnsi="Arial" w:cs="Arial"/>
          <w:i/>
          <w:iCs/>
          <w:noProof/>
          <w:sz w:val="24"/>
          <w:szCs w:val="24"/>
        </w:rPr>
        <w:t>15</w:t>
      </w:r>
      <w:r w:rsidRPr="00827F8E">
        <w:rPr>
          <w:rFonts w:ascii="Arial" w:hAnsi="Arial" w:cs="Arial"/>
          <w:noProof/>
          <w:sz w:val="24"/>
          <w:szCs w:val="24"/>
        </w:rPr>
        <w:t xml:space="preserve"> (5), 345–370. https://doi.org/10.1080/026567399285558.</w:t>
      </w:r>
    </w:p>
    <w:p w14:paraId="25EA9D8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(70)</w:t>
      </w:r>
      <w:r w:rsidRPr="00827F8E">
        <w:rPr>
          <w:rFonts w:ascii="Arial" w:hAnsi="Arial" w:cs="Arial"/>
          <w:noProof/>
          <w:sz w:val="24"/>
          <w:szCs w:val="24"/>
        </w:rPr>
        <w:tab/>
        <w:t xml:space="preserve">Leserman, L. D.; Weinstein, J. N.; Blumenthal, R.; Terry, W. D. Receptor-Mediated Endocytosis of Antibody-Opsonized Liposomes by Tumor Cells.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1980</w:t>
      </w:r>
      <w:r w:rsidRPr="00827F8E">
        <w:rPr>
          <w:rFonts w:ascii="Arial" w:hAnsi="Arial" w:cs="Arial"/>
          <w:noProof/>
          <w:sz w:val="24"/>
          <w:szCs w:val="24"/>
        </w:rPr>
        <w:t xml:space="preserve">, </w:t>
      </w:r>
      <w:r w:rsidRPr="00827F8E">
        <w:rPr>
          <w:rFonts w:ascii="Arial" w:hAnsi="Arial" w:cs="Arial"/>
          <w:i/>
          <w:iCs/>
          <w:noProof/>
          <w:sz w:val="24"/>
          <w:szCs w:val="24"/>
        </w:rPr>
        <w:t>77</w:t>
      </w:r>
      <w:r w:rsidRPr="00827F8E">
        <w:rPr>
          <w:rFonts w:ascii="Arial" w:hAnsi="Arial" w:cs="Arial"/>
          <w:noProof/>
          <w:sz w:val="24"/>
          <w:szCs w:val="24"/>
        </w:rPr>
        <w:t xml:space="preserve"> (7 II), 4089–4093. https://doi.org/10.1073/pnas.77.7.4089.</w:t>
      </w:r>
    </w:p>
    <w:p w14:paraId="34A96FF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(71)</w:t>
      </w:r>
      <w:r w:rsidRPr="00827F8E">
        <w:rPr>
          <w:rFonts w:ascii="Arial" w:hAnsi="Arial" w:cs="Arial"/>
          <w:noProof/>
          <w:sz w:val="24"/>
          <w:szCs w:val="24"/>
        </w:rPr>
        <w:tab/>
        <w:t xml:space="preserve">Matsumura, Y.; Maeda, H. A New Concept for Macromolecular Therapeutics in Cancer Chemotherapy: Mechanism of Tumoritropic Accumulation of Proteins and the Antitumor Agent Smancs. </w:t>
      </w:r>
      <w:r w:rsidRPr="00827F8E">
        <w:rPr>
          <w:rFonts w:ascii="Arial" w:hAnsi="Arial" w:cs="Arial"/>
          <w:i/>
          <w:iCs/>
          <w:noProof/>
          <w:sz w:val="24"/>
          <w:szCs w:val="24"/>
        </w:rPr>
        <w:t>Cancer Res.</w:t>
      </w:r>
      <w:r w:rsidRPr="00827F8E">
        <w:rPr>
          <w:rFonts w:ascii="Arial" w:hAnsi="Arial" w:cs="Arial"/>
          <w:noProof/>
          <w:sz w:val="24"/>
          <w:szCs w:val="24"/>
        </w:rPr>
        <w:t xml:space="preserve"> </w:t>
      </w:r>
      <w:r w:rsidRPr="00827F8E">
        <w:rPr>
          <w:rFonts w:ascii="Arial" w:hAnsi="Arial" w:cs="Arial"/>
          <w:b/>
          <w:bCs/>
          <w:noProof/>
          <w:sz w:val="24"/>
          <w:szCs w:val="24"/>
        </w:rPr>
        <w:t>1986</w:t>
      </w:r>
      <w:r w:rsidRPr="00827F8E">
        <w:rPr>
          <w:rFonts w:ascii="Arial" w:hAnsi="Arial" w:cs="Arial"/>
          <w:noProof/>
          <w:sz w:val="24"/>
          <w:szCs w:val="24"/>
        </w:rPr>
        <w:t xml:space="preserve">, </w:t>
      </w:r>
      <w:r w:rsidRPr="00827F8E">
        <w:rPr>
          <w:rFonts w:ascii="Arial" w:hAnsi="Arial" w:cs="Arial"/>
          <w:i/>
          <w:iCs/>
          <w:noProof/>
          <w:sz w:val="24"/>
          <w:szCs w:val="24"/>
        </w:rPr>
        <w:t>46</w:t>
      </w:r>
      <w:r w:rsidRPr="00827F8E">
        <w:rPr>
          <w:rFonts w:ascii="Arial" w:hAnsi="Arial" w:cs="Arial"/>
          <w:noProof/>
          <w:sz w:val="24"/>
          <w:szCs w:val="24"/>
        </w:rPr>
        <w:t xml:space="preserve"> (8), 6387–6392.</w:t>
      </w:r>
    </w:p>
    <w:p w14:paraId="633984F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(72)</w:t>
      </w:r>
      <w:r w:rsidRPr="00827F8E">
        <w:rPr>
          <w:rFonts w:ascii="Arial" w:hAnsi="Arial" w:cs="Arial"/>
          <w:noProof/>
          <w:sz w:val="24"/>
          <w:szCs w:val="24"/>
        </w:rPr>
        <w:tab/>
        <w:t xml:space="preserve">Sprandel, U.; Lanz, D.-J.; von Hörsten, W. Magnetically Responsive Erythrocyte Ghosts. In </w:t>
      </w:r>
      <w:r w:rsidRPr="00827F8E">
        <w:rPr>
          <w:rFonts w:ascii="Arial" w:hAnsi="Arial" w:cs="Arial"/>
          <w:i/>
          <w:iCs/>
          <w:noProof/>
          <w:sz w:val="24"/>
          <w:szCs w:val="24"/>
        </w:rPr>
        <w:t>Methods in Enzymology</w:t>
      </w:r>
      <w:r w:rsidRPr="00827F8E">
        <w:rPr>
          <w:rFonts w:ascii="Arial" w:hAnsi="Arial" w:cs="Arial"/>
          <w:noProof/>
          <w:sz w:val="24"/>
          <w:szCs w:val="24"/>
        </w:rPr>
        <w:t>; 1987; Vol. 149, pp 301–312. https://doi.org/10.1016/0076-6879(87)49068-X.</w:t>
      </w:r>
    </w:p>
    <w:p w14:paraId="30ADD11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(73)</w:t>
      </w:r>
      <w:r w:rsidRPr="00827F8E">
        <w:rPr>
          <w:rFonts w:ascii="Arial" w:hAnsi="Arial" w:cs="Arial"/>
          <w:noProof/>
          <w:sz w:val="24"/>
          <w:szCs w:val="24"/>
        </w:rPr>
        <w:tab/>
        <w:t xml:space="preserve">Brenner, J. S.; Pan, D. C.; Myerson, J. W.; Marcos-Contreras, O. A.; Villa, C. H.; Patel, P.; Hekierski, H.; Chatterjee, S.; Tao, J. Q.; Parhiz, H.; Bhamidipati, K.; Uhler, T. G.; Hood, E. D.; Kiseleva, R. Y.; Shuvaev, V. S.; Shuvaeva, T.; Khoshnejad, M.; Johnston, I.; Gregory, J. V.; Lahann, J.; Wang, T.; Cantu, E.; Armstead, W. M.; Mitragotri, S.; Muzykantov, V. Red Blood Cell-Hitchhiking Boosts Delivery of Nanocarriers to Chosen Organs by Orders of Magnitude.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(1). https://doi.org/10.1038/s41467-018-05079-7.</w:t>
      </w:r>
    </w:p>
    <w:p w14:paraId="173B3A6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(74)</w:t>
      </w:r>
      <w:r w:rsidRPr="00827F8E">
        <w:rPr>
          <w:rFonts w:ascii="Arial" w:hAnsi="Arial" w:cs="Arial"/>
          <w:noProof/>
          <w:sz w:val="24"/>
          <w:szCs w:val="24"/>
        </w:rPr>
        <w:tab/>
        <w:t xml:space="preserve">Yuan, F.; Chen, Y.; Dellian, M.; Safabakhsh, N.; Ferrara, N.; Jain, R. K. Time-Dependent Vascular Regression and Permeability Changes in Established Human Tumor Xenografts Induced by an Anti-Vascular Endothelial Growth Factor/Vascular Permeability Factor Antibody.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1996</w:t>
      </w:r>
      <w:r w:rsidRPr="00827F8E">
        <w:rPr>
          <w:rFonts w:ascii="Arial" w:hAnsi="Arial" w:cs="Arial"/>
          <w:noProof/>
          <w:sz w:val="24"/>
          <w:szCs w:val="24"/>
        </w:rPr>
        <w:t xml:space="preserve">, </w:t>
      </w:r>
      <w:r w:rsidRPr="00827F8E">
        <w:rPr>
          <w:rFonts w:ascii="Arial" w:hAnsi="Arial" w:cs="Arial"/>
          <w:i/>
          <w:iCs/>
          <w:noProof/>
          <w:sz w:val="24"/>
          <w:szCs w:val="24"/>
        </w:rPr>
        <w:t>93</w:t>
      </w:r>
      <w:r w:rsidRPr="00827F8E">
        <w:rPr>
          <w:rFonts w:ascii="Arial" w:hAnsi="Arial" w:cs="Arial"/>
          <w:noProof/>
          <w:sz w:val="24"/>
          <w:szCs w:val="24"/>
        </w:rPr>
        <w:t xml:space="preserve"> (25), 14765–14770. https://doi.org/10.1073/pnas.93.25.14765.</w:t>
      </w:r>
    </w:p>
    <w:p w14:paraId="563C02C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(75)</w:t>
      </w:r>
      <w:r w:rsidRPr="00827F8E">
        <w:rPr>
          <w:rFonts w:ascii="Arial" w:hAnsi="Arial" w:cs="Arial"/>
          <w:noProof/>
          <w:sz w:val="24"/>
          <w:szCs w:val="24"/>
        </w:rPr>
        <w:tab/>
        <w:t xml:space="preserve">Jain, R. K. Normalizing Tumor Vasculature with Anti-Angiogenic Therapy: A New Paradigm for Combination Therapy. </w:t>
      </w:r>
      <w:r w:rsidRPr="00827F8E">
        <w:rPr>
          <w:rFonts w:ascii="Arial" w:hAnsi="Arial" w:cs="Arial"/>
          <w:i/>
          <w:iCs/>
          <w:noProof/>
          <w:sz w:val="24"/>
          <w:szCs w:val="24"/>
        </w:rPr>
        <w:t>Nat. Med.</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(9), 987–989. https://doi.org/10.1038/nm0901-987.</w:t>
      </w:r>
    </w:p>
    <w:p w14:paraId="5742FD6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(76)</w:t>
      </w:r>
      <w:r w:rsidRPr="00827F8E">
        <w:rPr>
          <w:rFonts w:ascii="Arial" w:hAnsi="Arial" w:cs="Arial"/>
          <w:noProof/>
          <w:sz w:val="24"/>
          <w:szCs w:val="24"/>
        </w:rPr>
        <w:tab/>
        <w:t xml:space="preserve">Huang, N.; Liu, Y.; Fang, Y.; Zheng, S.; Wu, J.; Wang, M.; Zhong, W.; Shi, M.; Xing, M.; Liao, W. Gold Nanoparticles Induce Tumor Vessel Normalization and Impair Metastasis by Inhibiting Endothelial Smad2/3 Signaling.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(7), 7940–7958. https://doi.org/10.1021/acsnano.9b08460.</w:t>
      </w:r>
    </w:p>
    <w:p w14:paraId="3FFF6CD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(77)</w:t>
      </w:r>
      <w:r w:rsidRPr="00827F8E">
        <w:rPr>
          <w:rFonts w:ascii="Arial" w:hAnsi="Arial" w:cs="Arial"/>
          <w:noProof/>
          <w:sz w:val="24"/>
          <w:szCs w:val="24"/>
        </w:rPr>
        <w:tab/>
        <w:t xml:space="preserve">Zhang, Y.; Xiong, X.; Huai, Y.; Dey, A.; Hossen, M. N.; Roy, R. V.; Elechalawar, C. K.; Rao, G.; Bhattacharya, R.; Mukherjee, P. Gold Nanoparticles Disrupt Tumor Microenvironment - Endothelial Cell Cross Talk to Inhibit Angiogenic Phenotypes in Vitro. </w:t>
      </w:r>
      <w:r w:rsidRPr="00827F8E">
        <w:rPr>
          <w:rFonts w:ascii="Arial" w:hAnsi="Arial" w:cs="Arial"/>
          <w:i/>
          <w:iCs/>
          <w:noProof/>
          <w:sz w:val="24"/>
          <w:szCs w:val="24"/>
        </w:rPr>
        <w:t>Bioconjug. Chem.</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30</w:t>
      </w:r>
      <w:r w:rsidRPr="00827F8E">
        <w:rPr>
          <w:rFonts w:ascii="Arial" w:hAnsi="Arial" w:cs="Arial"/>
          <w:noProof/>
          <w:sz w:val="24"/>
          <w:szCs w:val="24"/>
        </w:rPr>
        <w:t xml:space="preserve"> (6), 1724–1733. https://doi.org/10.1021/acs.bioconjchem.9b00262.</w:t>
      </w:r>
    </w:p>
    <w:p w14:paraId="44FE946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(78)</w:t>
      </w:r>
      <w:r w:rsidRPr="00827F8E">
        <w:rPr>
          <w:rFonts w:ascii="Arial" w:hAnsi="Arial" w:cs="Arial"/>
          <w:noProof/>
          <w:sz w:val="24"/>
          <w:szCs w:val="24"/>
        </w:rPr>
        <w:tab/>
        <w:t xml:space="preserve">Esenaliev, R. O. Interaction of Radiation with Microparticles for Enhancement of Drug Delivery in Tumors. </w:t>
      </w:r>
      <w:r w:rsidRPr="00827F8E">
        <w:rPr>
          <w:rFonts w:ascii="Arial" w:hAnsi="Arial" w:cs="Arial"/>
          <w:i/>
          <w:iCs/>
          <w:noProof/>
          <w:sz w:val="24"/>
          <w:szCs w:val="24"/>
        </w:rPr>
        <w:t>Laser-Tissue Interact. X Photochem. Photothermal, Photomech.</w:t>
      </w:r>
      <w:r w:rsidRPr="00827F8E">
        <w:rPr>
          <w:rFonts w:ascii="Arial" w:hAnsi="Arial" w:cs="Arial"/>
          <w:noProof/>
          <w:sz w:val="24"/>
          <w:szCs w:val="24"/>
        </w:rPr>
        <w:t xml:space="preserve"> </w:t>
      </w:r>
      <w:r w:rsidRPr="00827F8E">
        <w:rPr>
          <w:rFonts w:ascii="Arial" w:hAnsi="Arial" w:cs="Arial"/>
          <w:b/>
          <w:bCs/>
          <w:noProof/>
          <w:sz w:val="24"/>
          <w:szCs w:val="24"/>
        </w:rPr>
        <w:t>1999</w:t>
      </w:r>
      <w:r w:rsidRPr="00827F8E">
        <w:rPr>
          <w:rFonts w:ascii="Arial" w:hAnsi="Arial" w:cs="Arial"/>
          <w:noProof/>
          <w:sz w:val="24"/>
          <w:szCs w:val="24"/>
        </w:rPr>
        <w:t xml:space="preserve">, </w:t>
      </w:r>
      <w:r w:rsidRPr="00827F8E">
        <w:rPr>
          <w:rFonts w:ascii="Arial" w:hAnsi="Arial" w:cs="Arial"/>
          <w:i/>
          <w:iCs/>
          <w:noProof/>
          <w:sz w:val="24"/>
          <w:szCs w:val="24"/>
        </w:rPr>
        <w:t>3601</w:t>
      </w:r>
      <w:r w:rsidRPr="00827F8E">
        <w:rPr>
          <w:rFonts w:ascii="Arial" w:hAnsi="Arial" w:cs="Arial"/>
          <w:noProof/>
          <w:sz w:val="24"/>
          <w:szCs w:val="24"/>
        </w:rPr>
        <w:t xml:space="preserve"> (June 1999), 166. https://doi.org/10.1117/12.350000.</w:t>
      </w:r>
    </w:p>
    <w:p w14:paraId="7590CEC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(79)</w:t>
      </w:r>
      <w:r w:rsidRPr="00827F8E">
        <w:rPr>
          <w:rFonts w:ascii="Arial" w:hAnsi="Arial" w:cs="Arial"/>
          <w:noProof/>
          <w:sz w:val="24"/>
          <w:szCs w:val="24"/>
        </w:rPr>
        <w:tab/>
        <w:t xml:space="preserve">Pitt, W. G.; Husseini, G. A.; Roeder, B. L.; Dickinson, D. J.; Warden, D. R.; Hartley, J. M.; Jones, P. W. Preliminary Results of Combining Low Frequency Low Intensity Ultrasound and Liposomal Drug Delivery to Treat Tumors in Rats. </w:t>
      </w:r>
      <w:r w:rsidRPr="00827F8E">
        <w:rPr>
          <w:rFonts w:ascii="Arial" w:hAnsi="Arial" w:cs="Arial"/>
          <w:i/>
          <w:iCs/>
          <w:noProof/>
          <w:sz w:val="24"/>
          <w:szCs w:val="24"/>
        </w:rPr>
        <w:t>J. Nanosci. Nanotechnol.</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(3), 1866–1870. https://doi.org/10.1166/jnn.2011.3117.</w:t>
      </w:r>
    </w:p>
    <w:p w14:paraId="4F5A409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(80)</w:t>
      </w:r>
      <w:r w:rsidRPr="00827F8E">
        <w:rPr>
          <w:rFonts w:ascii="Arial" w:hAnsi="Arial" w:cs="Arial"/>
          <w:noProof/>
          <w:sz w:val="24"/>
          <w:szCs w:val="24"/>
        </w:rPr>
        <w:tab/>
        <w:t xml:space="preserve">Pellow, C.; O’Reilly, M. A.; Hynynen, K.; Zheng, G.; Goertz, D. E. Simultaneous Intravital Optical and Acoustic Monitoring of Ultrasound-Triggered Nanobubble Generation and Extravasation.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20</w:t>
      </w:r>
      <w:r w:rsidRPr="00827F8E">
        <w:rPr>
          <w:rFonts w:ascii="Arial" w:hAnsi="Arial" w:cs="Arial"/>
          <w:noProof/>
          <w:sz w:val="24"/>
          <w:szCs w:val="24"/>
        </w:rPr>
        <w:t xml:space="preserve"> (6), 4512–4519. https://doi.org/10.1021/acs.nanolett.0c01310.</w:t>
      </w:r>
    </w:p>
    <w:p w14:paraId="546D1B5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(81)</w:t>
      </w:r>
      <w:r w:rsidRPr="00827F8E">
        <w:rPr>
          <w:rFonts w:ascii="Arial" w:hAnsi="Arial" w:cs="Arial"/>
          <w:noProof/>
          <w:sz w:val="24"/>
          <w:szCs w:val="24"/>
        </w:rPr>
        <w:tab/>
        <w:t xml:space="preserve">Cole, C.; Qiao, J.; Kottke, T.; Diaz, R. M.; Ahmed, A.; Sanchez-Perez, L.; Brunn, G.; Thompson, J.; Chester, J.; Vile, R. G. Tumor-Targeted, Systemic Delivery of Therapeutic Viral Vectors Using Hitchhiking on Antigen-Specific T Cells. </w:t>
      </w:r>
      <w:r w:rsidRPr="00827F8E">
        <w:rPr>
          <w:rFonts w:ascii="Arial" w:hAnsi="Arial" w:cs="Arial"/>
          <w:i/>
          <w:iCs/>
          <w:noProof/>
          <w:sz w:val="24"/>
          <w:szCs w:val="24"/>
        </w:rPr>
        <w:t>Nat. Med.</w:t>
      </w:r>
      <w:r w:rsidRPr="00827F8E">
        <w:rPr>
          <w:rFonts w:ascii="Arial" w:hAnsi="Arial" w:cs="Arial"/>
          <w:noProof/>
          <w:sz w:val="24"/>
          <w:szCs w:val="24"/>
        </w:rPr>
        <w:t xml:space="preserve"> </w:t>
      </w:r>
      <w:r w:rsidRPr="00827F8E">
        <w:rPr>
          <w:rFonts w:ascii="Arial" w:hAnsi="Arial" w:cs="Arial"/>
          <w:b/>
          <w:bCs/>
          <w:noProof/>
          <w:sz w:val="24"/>
          <w:szCs w:val="24"/>
        </w:rPr>
        <w:t>2005</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(10), 1073–1081. https://doi.org/10.1038/nm1297.</w:t>
      </w:r>
    </w:p>
    <w:p w14:paraId="78BF298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(82)</w:t>
      </w:r>
      <w:r w:rsidRPr="00827F8E">
        <w:rPr>
          <w:rFonts w:ascii="Arial" w:hAnsi="Arial" w:cs="Arial"/>
          <w:noProof/>
          <w:sz w:val="24"/>
          <w:szCs w:val="24"/>
        </w:rPr>
        <w:tab/>
        <w:t xml:space="preserve">Hong, S.; Zheng, D.; Zhang, C.; Huang, Q.; Cheng, S.; Zhang, X. Vascular Disrupting Agent Induced Aggregation of Gold Nanoparticles for Photothermally Enhanced Tumor Vascular Disruption. </w:t>
      </w:r>
      <w:r w:rsidRPr="00827F8E">
        <w:rPr>
          <w:rFonts w:ascii="Arial" w:hAnsi="Arial" w:cs="Arial"/>
          <w:i/>
          <w:iCs/>
          <w:noProof/>
          <w:sz w:val="24"/>
          <w:szCs w:val="24"/>
        </w:rPr>
        <w:t>Sci. Adv.</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xml:space="preserve"> (23), eabb0020. https://doi.org/10.1126/sciadv.abb0020.</w:t>
      </w:r>
    </w:p>
    <w:p w14:paraId="58A8239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(83)</w:t>
      </w:r>
      <w:r w:rsidRPr="00827F8E">
        <w:rPr>
          <w:rFonts w:ascii="Arial" w:hAnsi="Arial" w:cs="Arial"/>
          <w:noProof/>
          <w:sz w:val="24"/>
          <w:szCs w:val="24"/>
        </w:rPr>
        <w:tab/>
        <w:t xml:space="preserve">Sun, T.; Dasgupta, A.; Zhao, Z.; Nurunnabi, M.; Mitragotri, S. Physical Triggering Strategies for Drug Delivery.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https://doi.org/10.1016/j.addr.2020.06.010.</w:t>
      </w:r>
    </w:p>
    <w:p w14:paraId="456A16B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(84)</w:t>
      </w:r>
      <w:r w:rsidRPr="00827F8E">
        <w:rPr>
          <w:rFonts w:ascii="Arial" w:hAnsi="Arial" w:cs="Arial"/>
          <w:noProof/>
          <w:sz w:val="24"/>
          <w:szCs w:val="24"/>
        </w:rPr>
        <w:tab/>
        <w:t xml:space="preserve">Sugahara, K. N.; Braun, G. B.; De Mendoza, T. H.; Kotamraju, V. R.; French, R. P.; Lowy, A. M.; Teesalu, T.; Ruoslahti, E. Tumor-Penetrating IRGD Peptide Inhibits Metastasis. </w:t>
      </w:r>
      <w:r w:rsidRPr="00827F8E">
        <w:rPr>
          <w:rFonts w:ascii="Arial" w:hAnsi="Arial" w:cs="Arial"/>
          <w:i/>
          <w:iCs/>
          <w:noProof/>
          <w:sz w:val="24"/>
          <w:szCs w:val="24"/>
        </w:rPr>
        <w:t>Mol. Cancer Ther.</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(1), 120–128. https://doi.org/10.1158/1535-7163.MCT-14-0366.</w:t>
      </w:r>
    </w:p>
    <w:p w14:paraId="11F679E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(85)</w:t>
      </w:r>
      <w:r w:rsidRPr="00827F8E">
        <w:rPr>
          <w:rFonts w:ascii="Arial" w:hAnsi="Arial" w:cs="Arial"/>
          <w:noProof/>
          <w:sz w:val="24"/>
          <w:szCs w:val="24"/>
        </w:rPr>
        <w:tab/>
        <w:t xml:space="preserve">Liu, X.; Lin, P.; Perrett, I.; Lin, J.; Liao, Y.-P.; Chang, C. H.; Jiang, J.; Wu, N.; Donahue, T.; Wainberg, Z.; Nel, A. E.; Meng, H. Tumor-Penetrating Peptide Enhances Transcytosis of Silicasome-Based Chemotherapy for Pancreatic Cancer. </w:t>
      </w:r>
      <w:r w:rsidRPr="00827F8E">
        <w:rPr>
          <w:rFonts w:ascii="Arial" w:hAnsi="Arial" w:cs="Arial"/>
          <w:i/>
          <w:iCs/>
          <w:noProof/>
          <w:sz w:val="24"/>
          <w:szCs w:val="24"/>
        </w:rPr>
        <w:t>J. Clin. Invest.</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127</w:t>
      </w:r>
      <w:r w:rsidRPr="00827F8E">
        <w:rPr>
          <w:rFonts w:ascii="Arial" w:hAnsi="Arial" w:cs="Arial"/>
          <w:noProof/>
          <w:sz w:val="24"/>
          <w:szCs w:val="24"/>
        </w:rPr>
        <w:t xml:space="preserve"> (5), 2007–2018. https://doi.org/10.1172/JCI92284.</w:t>
      </w:r>
    </w:p>
    <w:p w14:paraId="37AF12F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(86)</w:t>
      </w:r>
      <w:r w:rsidRPr="00827F8E">
        <w:rPr>
          <w:rFonts w:ascii="Arial" w:hAnsi="Arial" w:cs="Arial"/>
          <w:noProof/>
          <w:sz w:val="24"/>
          <w:szCs w:val="24"/>
        </w:rPr>
        <w:tab/>
        <w:t xml:space="preserve">Shah, S. A.; Khan, M. U. A.; Arshad, M.; Awan, S. U.; Hashmi, M. U.; Ahmad, N. Colloids and Surfaces B : Biointerfaces Doxorubicin-Loaded Photosensitive Magnetic Liposomes for Multi-Modal Cancer Therapy. </w:t>
      </w:r>
      <w:r w:rsidRPr="00827F8E">
        <w:rPr>
          <w:rFonts w:ascii="Arial" w:hAnsi="Arial" w:cs="Arial"/>
          <w:i/>
          <w:iCs/>
          <w:noProof/>
          <w:sz w:val="24"/>
          <w:szCs w:val="24"/>
        </w:rPr>
        <w:t>Colloids Surfaces B Biointerfaces</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148</w:t>
      </w:r>
      <w:r w:rsidRPr="00827F8E">
        <w:rPr>
          <w:rFonts w:ascii="Arial" w:hAnsi="Arial" w:cs="Arial"/>
          <w:noProof/>
          <w:sz w:val="24"/>
          <w:szCs w:val="24"/>
        </w:rPr>
        <w:t>, 157–164. https://doi.org/10.1016/j.colsurfb.2016.08.055.</w:t>
      </w:r>
    </w:p>
    <w:p w14:paraId="52787B1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(87)</w:t>
      </w:r>
      <w:r w:rsidRPr="00827F8E">
        <w:rPr>
          <w:rFonts w:ascii="Arial" w:hAnsi="Arial" w:cs="Arial"/>
          <w:noProof/>
          <w:sz w:val="24"/>
          <w:szCs w:val="24"/>
        </w:rPr>
        <w:tab/>
        <w:t xml:space="preserve">Du, S.; Xiong, H.; Xu, C.; Lu, Y.; Yao, J. Attempts to Strengthen and Simplify the Tumor Vascular Normalization Strategy Using Tumor Vessel Normalization Promoting Nanomedicines. </w:t>
      </w:r>
      <w:r w:rsidRPr="00827F8E">
        <w:rPr>
          <w:rFonts w:ascii="Arial" w:hAnsi="Arial" w:cs="Arial"/>
          <w:i/>
          <w:iCs/>
          <w:noProof/>
          <w:sz w:val="24"/>
          <w:szCs w:val="24"/>
        </w:rPr>
        <w:t>Biomater. Sci.</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(3), 1147–1160. https://doi.org/10.1039/c8bm01350k.</w:t>
      </w:r>
    </w:p>
    <w:p w14:paraId="7316A22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(88)</w:t>
      </w:r>
      <w:r w:rsidRPr="00827F8E">
        <w:rPr>
          <w:rFonts w:ascii="Arial" w:hAnsi="Arial" w:cs="Arial"/>
          <w:noProof/>
          <w:sz w:val="24"/>
          <w:szCs w:val="24"/>
        </w:rPr>
        <w:tab/>
        <w:t xml:space="preserve">Zhang, Q.; Dehaini, D.; Zhang, Y.; Zhou, J.; Chen, X.; Zhang, L.; Fang, R. H.; Gao, W.; Zhang, L. Neutrophil Membrane-Coated Nanoparticles Inhibit Synovial Inflammation and Alleviate Joint Damage in Inflammatory Arthritis. </w:t>
      </w:r>
      <w:r w:rsidRPr="00827F8E">
        <w:rPr>
          <w:rFonts w:ascii="Arial" w:hAnsi="Arial" w:cs="Arial"/>
          <w:i/>
          <w:iCs/>
          <w:noProof/>
          <w:sz w:val="24"/>
          <w:szCs w:val="24"/>
        </w:rPr>
        <w:t>Nat. Nanotechnol.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13</w:t>
      </w:r>
      <w:r w:rsidRPr="00827F8E">
        <w:rPr>
          <w:rFonts w:ascii="Arial" w:hAnsi="Arial" w:cs="Arial"/>
          <w:noProof/>
          <w:sz w:val="24"/>
          <w:szCs w:val="24"/>
        </w:rPr>
        <w:t xml:space="preserve"> (12), 1182–1190. https://doi.org/10.1038/s41565-018-</w:t>
      </w:r>
      <w:r w:rsidRPr="00827F8E">
        <w:rPr>
          <w:rFonts w:ascii="Arial" w:hAnsi="Arial" w:cs="Arial"/>
          <w:noProof/>
          <w:sz w:val="24"/>
          <w:szCs w:val="24"/>
        </w:rPr>
        <w:lastRenderedPageBreak/>
        <w:t>0254-4.</w:t>
      </w:r>
    </w:p>
    <w:p w14:paraId="4658987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(89)</w:t>
      </w:r>
      <w:r w:rsidRPr="00827F8E">
        <w:rPr>
          <w:rFonts w:ascii="Arial" w:hAnsi="Arial" w:cs="Arial"/>
          <w:noProof/>
          <w:sz w:val="24"/>
          <w:szCs w:val="24"/>
        </w:rPr>
        <w:tab/>
        <w:t xml:space="preserve">Setyawati, M. I.; Tay, C. Y.; Chia, S. L.; Goh, S. L.; Fang, W.; Neo, M. J.; Chong, H. C.; Tan, S. M.; Loo, S. C. J.; Ng, K. W.; Xie, J. P.; Ong, C. N.; Tan, N. S.; Leong, D. T. Titanium Dioxide Nanomaterials Cause Endothelial Cell Leakiness by Disrupting the Homophilic Interaction of VE-Cadherin.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4</w:t>
      </w:r>
      <w:r w:rsidRPr="00827F8E">
        <w:rPr>
          <w:rFonts w:ascii="Arial" w:hAnsi="Arial" w:cs="Arial"/>
          <w:noProof/>
          <w:sz w:val="24"/>
          <w:szCs w:val="24"/>
        </w:rPr>
        <w:t>, 1–12. https://doi.org/10.1038/ncomms2655.</w:t>
      </w:r>
    </w:p>
    <w:p w14:paraId="4FDE4B2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(90)</w:t>
      </w:r>
      <w:r w:rsidRPr="00827F8E">
        <w:rPr>
          <w:rFonts w:ascii="Arial" w:hAnsi="Arial" w:cs="Arial"/>
          <w:noProof/>
          <w:sz w:val="24"/>
          <w:szCs w:val="24"/>
        </w:rPr>
        <w:tab/>
        <w:t xml:space="preserve">Setyawati, M. I.; Tay, C. Y.; Bay, B. H.; Leong, D. T. Gold Nanoparticles Induced Endothelial Leakiness Depends on Particle Size and Endothelial Cell Origin.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(5), 5020–5030. https://doi.org/10.1021/acsnano.7b01744.</w:t>
      </w:r>
    </w:p>
    <w:p w14:paraId="1DF6C26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(91)</w:t>
      </w:r>
      <w:r w:rsidRPr="00827F8E">
        <w:rPr>
          <w:rFonts w:ascii="Arial" w:hAnsi="Arial" w:cs="Arial"/>
          <w:noProof/>
          <w:sz w:val="24"/>
          <w:szCs w:val="24"/>
        </w:rPr>
        <w:tab/>
        <w:t xml:space="preserve">Setyawati, M. I.; Wang, Q.; Ni, N.; Tee, J. K.; Ariga, K.; Ke, P. C.; Ho, H. K.; Wang, Y.; Leong, D. T. Engineering Tumoral Vascular Leakiness with Gold Nanoparticles.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(1). https://doi.org/10.1038/s41467-023-40015-4.</w:t>
      </w:r>
    </w:p>
    <w:p w14:paraId="1E8DE1E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(92)</w:t>
      </w:r>
      <w:r w:rsidRPr="00827F8E">
        <w:rPr>
          <w:rFonts w:ascii="Arial" w:hAnsi="Arial" w:cs="Arial"/>
          <w:noProof/>
          <w:sz w:val="24"/>
          <w:szCs w:val="24"/>
        </w:rPr>
        <w:tab/>
        <w:t xml:space="preserve">Matsumoto, Y.; Nichols, J. W.; Toh, K.; Nomoto, T.; Cabral, H.; Miura, Y.; Christie, R. J.; Yamada, N.; Ogura, T.; Kano, M. R.; Matsumura, Y.; Nishiyama, N.; Yamasoba, T.; Bae, Y. H.; Kataoka, K. Vascular Bursts Enhance Permeability of Tumour Blood Vessels and Improve Nanoparticle Delivery. </w:t>
      </w:r>
      <w:r w:rsidRPr="00827F8E">
        <w:rPr>
          <w:rFonts w:ascii="Arial" w:hAnsi="Arial" w:cs="Arial"/>
          <w:i/>
          <w:iCs/>
          <w:noProof/>
          <w:sz w:val="24"/>
          <w:szCs w:val="24"/>
        </w:rPr>
        <w:t>Nat. Nanotechnol.</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(6), 533–538. https://doi.org/10.1038/nnano.2015.342.</w:t>
      </w:r>
    </w:p>
    <w:p w14:paraId="44215DD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(93)</w:t>
      </w:r>
      <w:r w:rsidRPr="00827F8E">
        <w:rPr>
          <w:rFonts w:ascii="Arial" w:hAnsi="Arial" w:cs="Arial"/>
          <w:noProof/>
          <w:sz w:val="24"/>
          <w:szCs w:val="24"/>
        </w:rPr>
        <w:tab/>
        <w:t xml:space="preserve">Li, X.; Cai, Q.; Wilson, B. A.; Fan, H.; Dave, H.; Giannotta, M.; Bachoo, R.; Qin, Z. Mechanobiological Modulation of Blood–Brain Barrier Permeability by Laser Stimulation of Endothelial-Targeted Nanoparticles. </w:t>
      </w:r>
      <w:r w:rsidRPr="00827F8E">
        <w:rPr>
          <w:rFonts w:ascii="Arial" w:hAnsi="Arial" w:cs="Arial"/>
          <w:i/>
          <w:iCs/>
          <w:noProof/>
          <w:sz w:val="24"/>
          <w:szCs w:val="24"/>
        </w:rPr>
        <w:t>Nanoscale</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https://doi.org/10.1039/D2NR05062E.</w:t>
      </w:r>
    </w:p>
    <w:p w14:paraId="4F1A275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(94)</w:t>
      </w:r>
      <w:r w:rsidRPr="00827F8E">
        <w:rPr>
          <w:rFonts w:ascii="Arial" w:hAnsi="Arial" w:cs="Arial"/>
          <w:noProof/>
          <w:sz w:val="24"/>
          <w:szCs w:val="24"/>
        </w:rPr>
        <w:tab/>
        <w:t xml:space="preserve">Villaseñor, R.; Lampe, J.; Schwaninger, M.; Collin, L. Intracellular Transport and Regulation of Transcytosis across the Blood–Brain Barrier. </w:t>
      </w:r>
      <w:r w:rsidRPr="00827F8E">
        <w:rPr>
          <w:rFonts w:ascii="Arial" w:hAnsi="Arial" w:cs="Arial"/>
          <w:i/>
          <w:iCs/>
          <w:noProof/>
          <w:sz w:val="24"/>
          <w:szCs w:val="24"/>
        </w:rPr>
        <w:t>Cell. Mol. Life Sci.</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76</w:t>
      </w:r>
      <w:r w:rsidRPr="00827F8E">
        <w:rPr>
          <w:rFonts w:ascii="Arial" w:hAnsi="Arial" w:cs="Arial"/>
          <w:noProof/>
          <w:sz w:val="24"/>
          <w:szCs w:val="24"/>
        </w:rPr>
        <w:t xml:space="preserve"> (6), 1081–1092. https://doi.org/10.1007/s00018-018-2982-x.</w:t>
      </w:r>
    </w:p>
    <w:p w14:paraId="396543A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(95)</w:t>
      </w:r>
      <w:r w:rsidRPr="00827F8E">
        <w:rPr>
          <w:rFonts w:ascii="Arial" w:hAnsi="Arial" w:cs="Arial"/>
          <w:noProof/>
          <w:sz w:val="24"/>
          <w:szCs w:val="24"/>
        </w:rPr>
        <w:tab/>
        <w:t xml:space="preserve">Liu, X.; Jiang, J.; Meng, H. Transcytosis - An Effective Targeting Strategy That Is Complementary to “EPR Effect” for Pancreatic Cancer Nano Drug Delivery. </w:t>
      </w:r>
      <w:r w:rsidRPr="00827F8E">
        <w:rPr>
          <w:rFonts w:ascii="Arial" w:hAnsi="Arial" w:cs="Arial"/>
          <w:i/>
          <w:iCs/>
          <w:noProof/>
          <w:sz w:val="24"/>
          <w:szCs w:val="24"/>
        </w:rPr>
        <w:t>Theranostics</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(26), 8018–8025. https://doi.org/10.7150/thno.38587.</w:t>
      </w:r>
    </w:p>
    <w:p w14:paraId="7CE2075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(96)</w:t>
      </w:r>
      <w:r w:rsidRPr="00827F8E">
        <w:rPr>
          <w:rFonts w:ascii="Arial" w:hAnsi="Arial" w:cs="Arial"/>
          <w:noProof/>
          <w:sz w:val="24"/>
          <w:szCs w:val="24"/>
        </w:rPr>
        <w:tab/>
        <w:t xml:space="preserve">Nel, A.; Ruoslahti, E.; Meng, H. New Insights into “Permeability” as in the Enhanced Permeability and Retention Effect of Cancer Nanotherapeutics.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(10), 9567–9569. https://doi.org/10.1021/acsnano.7b07214.</w:t>
      </w:r>
    </w:p>
    <w:p w14:paraId="0641212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(97)</w:t>
      </w:r>
      <w:r w:rsidRPr="00827F8E">
        <w:rPr>
          <w:rFonts w:ascii="Arial" w:hAnsi="Arial" w:cs="Arial"/>
          <w:noProof/>
          <w:sz w:val="24"/>
          <w:szCs w:val="24"/>
        </w:rPr>
        <w:tab/>
        <w:t xml:space="preserve">Qiu, L.; Shan, X.; Long, M.; Ahmed, K. S.; Zhao, L.; Mao, J.; Zhang, H.; Sun, C.; You, C.; Lv, G.; Chen, J. Elucidation of Cellular Uptake and Intracellular Trafficking of Heparosan Polysaccharide-Based Micelles in Various Cancer Cells. </w:t>
      </w:r>
      <w:r w:rsidRPr="00827F8E">
        <w:rPr>
          <w:rFonts w:ascii="Arial" w:hAnsi="Arial" w:cs="Arial"/>
          <w:i/>
          <w:iCs/>
          <w:noProof/>
          <w:sz w:val="24"/>
          <w:szCs w:val="24"/>
        </w:rPr>
        <w:t>Int. J. Biol. Macromol.</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130</w:t>
      </w:r>
      <w:r w:rsidRPr="00827F8E">
        <w:rPr>
          <w:rFonts w:ascii="Arial" w:hAnsi="Arial" w:cs="Arial"/>
          <w:noProof/>
          <w:sz w:val="24"/>
          <w:szCs w:val="24"/>
        </w:rPr>
        <w:t>, 755–764. https://doi.org/10.1016/j.ijbiomac.2019.02.133.</w:t>
      </w:r>
    </w:p>
    <w:p w14:paraId="0BA188A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(98)</w:t>
      </w:r>
      <w:r w:rsidRPr="00827F8E">
        <w:rPr>
          <w:rFonts w:ascii="Arial" w:hAnsi="Arial" w:cs="Arial"/>
          <w:noProof/>
          <w:sz w:val="24"/>
          <w:szCs w:val="24"/>
        </w:rPr>
        <w:tab/>
        <w:t xml:space="preserve">Gao, X.; Wang, T.; Wu, B.; Chen, J.; Chen, J.; Yue, Y.; Dai, N.; Chen, H.; Jiang, X. Quantum Dots for Tracking Cellular Transport of Lectin-Functionalized Nanoparticles. </w:t>
      </w:r>
      <w:r w:rsidRPr="00827F8E">
        <w:rPr>
          <w:rFonts w:ascii="Arial" w:hAnsi="Arial" w:cs="Arial"/>
          <w:i/>
          <w:iCs/>
          <w:noProof/>
          <w:sz w:val="24"/>
          <w:szCs w:val="24"/>
        </w:rPr>
        <w:t>Biochem. Biophys. Res. Commun.</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377</w:t>
      </w:r>
      <w:r w:rsidRPr="00827F8E">
        <w:rPr>
          <w:rFonts w:ascii="Arial" w:hAnsi="Arial" w:cs="Arial"/>
          <w:noProof/>
          <w:sz w:val="24"/>
          <w:szCs w:val="24"/>
        </w:rPr>
        <w:t xml:space="preserve"> (1), 35–40. https://doi.org/10.1016/j.bbrc.2008.09.077.</w:t>
      </w:r>
    </w:p>
    <w:p w14:paraId="4F03F39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(99)</w:t>
      </w:r>
      <w:r w:rsidRPr="00827F8E">
        <w:rPr>
          <w:rFonts w:ascii="Arial" w:hAnsi="Arial" w:cs="Arial"/>
          <w:noProof/>
          <w:sz w:val="24"/>
          <w:szCs w:val="24"/>
        </w:rPr>
        <w:tab/>
        <w:t xml:space="preserve">McMahon, H. T.; Boucrot, E. Molecular Mechanism and Physiological Functions of Clathrin-Mediated Endocytosis. </w:t>
      </w:r>
      <w:r w:rsidRPr="00827F8E">
        <w:rPr>
          <w:rFonts w:ascii="Arial" w:hAnsi="Arial" w:cs="Arial"/>
          <w:i/>
          <w:iCs/>
          <w:noProof/>
          <w:sz w:val="24"/>
          <w:szCs w:val="24"/>
        </w:rPr>
        <w:t>Nat. Rev. Mol. Cell Biol.</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(8), 517–533. https://doi.org/10.1038/nrm3151.</w:t>
      </w:r>
    </w:p>
    <w:p w14:paraId="65A5A76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(100)</w:t>
      </w:r>
      <w:r w:rsidRPr="00827F8E">
        <w:rPr>
          <w:rFonts w:ascii="Arial" w:hAnsi="Arial" w:cs="Arial"/>
          <w:noProof/>
          <w:sz w:val="24"/>
          <w:szCs w:val="24"/>
        </w:rPr>
        <w:tab/>
        <w:t xml:space="preserve">Chang, M. P.; Mallet, W. G.; Mostov, K. E.; Brodsky, F. M. Adaptor Self-Aggregation, Adaptor-Receptor Recognition and Binding of Alpha-Adaptin Subunits to the Plasma Membrane Contribute to Recruitment of Adaptor (AP2) Components of Clathrin-Coated Pits. </w:t>
      </w:r>
      <w:r w:rsidRPr="00827F8E">
        <w:rPr>
          <w:rFonts w:ascii="Arial" w:hAnsi="Arial" w:cs="Arial"/>
          <w:i/>
          <w:iCs/>
          <w:noProof/>
          <w:sz w:val="24"/>
          <w:szCs w:val="24"/>
        </w:rPr>
        <w:t>EMBO J.</w:t>
      </w:r>
      <w:r w:rsidRPr="00827F8E">
        <w:rPr>
          <w:rFonts w:ascii="Arial" w:hAnsi="Arial" w:cs="Arial"/>
          <w:noProof/>
          <w:sz w:val="24"/>
          <w:szCs w:val="24"/>
        </w:rPr>
        <w:t xml:space="preserve"> </w:t>
      </w:r>
      <w:r w:rsidRPr="00827F8E">
        <w:rPr>
          <w:rFonts w:ascii="Arial" w:hAnsi="Arial" w:cs="Arial"/>
          <w:b/>
          <w:bCs/>
          <w:noProof/>
          <w:sz w:val="24"/>
          <w:szCs w:val="24"/>
        </w:rPr>
        <w:t>1993</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(5), 2169–2180. https://doi.org/10.1002/j.1460-2075.1993.tb05865.x.</w:t>
      </w:r>
    </w:p>
    <w:p w14:paraId="1F14CED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(101)</w:t>
      </w:r>
      <w:r w:rsidRPr="00827F8E">
        <w:rPr>
          <w:rFonts w:ascii="Arial" w:hAnsi="Arial" w:cs="Arial"/>
          <w:noProof/>
          <w:sz w:val="24"/>
          <w:szCs w:val="24"/>
        </w:rPr>
        <w:tab/>
        <w:t xml:space="preserve">Kelly, B. T.; Graham, S. C.; Liska, N.; Dannhauser, P. N.; Höning, S.; Ungewickell, E. J.; Owen, D. J. AP2 Controls Clathrin Polymerization with a Membrane-Activated Switch. </w:t>
      </w:r>
      <w:r w:rsidRPr="00827F8E">
        <w:rPr>
          <w:rFonts w:ascii="Arial" w:hAnsi="Arial" w:cs="Arial"/>
          <w:i/>
          <w:iCs/>
          <w:noProof/>
          <w:sz w:val="24"/>
          <w:szCs w:val="24"/>
        </w:rPr>
        <w:t>Science (80-. ).</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345</w:t>
      </w:r>
      <w:r w:rsidRPr="00827F8E">
        <w:rPr>
          <w:rFonts w:ascii="Arial" w:hAnsi="Arial" w:cs="Arial"/>
          <w:noProof/>
          <w:sz w:val="24"/>
          <w:szCs w:val="24"/>
        </w:rPr>
        <w:t xml:space="preserve"> (6195), 459–463. https://doi.org/10.1126/science.1254836.</w:t>
      </w:r>
    </w:p>
    <w:p w14:paraId="7C4F406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(102)</w:t>
      </w:r>
      <w:r w:rsidRPr="00827F8E">
        <w:rPr>
          <w:rFonts w:ascii="Arial" w:hAnsi="Arial" w:cs="Arial"/>
          <w:noProof/>
          <w:sz w:val="24"/>
          <w:szCs w:val="24"/>
        </w:rPr>
        <w:tab/>
        <w:t xml:space="preserve">Miller, S. E.; Mathiasen, S.; Bright, N. A.; Pierre, F.; Kelly, B. T.; Kladt, N.; Schauss, A.; Merrifield, C. J.; Stamou, D.; Höning, S.; Owen, D. J. CALM Regulates Clathrin-Coated Vesicle Size and Maturation by Directly Sensing and Driving Membrane Curvature. </w:t>
      </w:r>
      <w:r w:rsidRPr="00827F8E">
        <w:rPr>
          <w:rFonts w:ascii="Arial" w:hAnsi="Arial" w:cs="Arial"/>
          <w:i/>
          <w:iCs/>
          <w:noProof/>
          <w:sz w:val="24"/>
          <w:szCs w:val="24"/>
        </w:rPr>
        <w:t>Dev. Cell</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33</w:t>
      </w:r>
      <w:r w:rsidRPr="00827F8E">
        <w:rPr>
          <w:rFonts w:ascii="Arial" w:hAnsi="Arial" w:cs="Arial"/>
          <w:noProof/>
          <w:sz w:val="24"/>
          <w:szCs w:val="24"/>
        </w:rPr>
        <w:t xml:space="preserve"> (2), 163–175. https://doi.org/10.1016/j.devcel.2015.03.002.</w:t>
      </w:r>
    </w:p>
    <w:p w14:paraId="0766A1C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(103)</w:t>
      </w:r>
      <w:r w:rsidRPr="00827F8E">
        <w:rPr>
          <w:rFonts w:ascii="Arial" w:hAnsi="Arial" w:cs="Arial"/>
          <w:noProof/>
          <w:sz w:val="24"/>
          <w:szCs w:val="24"/>
        </w:rPr>
        <w:tab/>
        <w:t xml:space="preserve">Cocucci, E.; Gaudin, R.; Kirchhausen, T. Dynamin Recruitment and Membrane Scission at the Neck of a Clathrin-Coated Pit.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25</w:t>
      </w:r>
      <w:r w:rsidRPr="00827F8E">
        <w:rPr>
          <w:rFonts w:ascii="Arial" w:hAnsi="Arial" w:cs="Arial"/>
          <w:noProof/>
          <w:sz w:val="24"/>
          <w:szCs w:val="24"/>
        </w:rPr>
        <w:t xml:space="preserve"> (22), 3595–3609. https://doi.org/10.1091/mbc.E14-07-1240.</w:t>
      </w:r>
    </w:p>
    <w:p w14:paraId="0758708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(104)</w:t>
      </w:r>
      <w:r w:rsidRPr="00827F8E">
        <w:rPr>
          <w:rFonts w:ascii="Arial" w:hAnsi="Arial" w:cs="Arial"/>
          <w:noProof/>
          <w:sz w:val="24"/>
          <w:szCs w:val="24"/>
        </w:rPr>
        <w:tab/>
        <w:t xml:space="preserve">Tsuji, T.; Yoshitomi, H.; Usukura, J. Endocytic Mechanism of Transferrin-Conjugated Nanoparticles and the Effects of Their Size and Ligand Number on the Efficiency of Drug Delivery. </w:t>
      </w:r>
      <w:r w:rsidRPr="00827F8E">
        <w:rPr>
          <w:rFonts w:ascii="Arial" w:hAnsi="Arial" w:cs="Arial"/>
          <w:i/>
          <w:iCs/>
          <w:noProof/>
          <w:sz w:val="24"/>
          <w:szCs w:val="24"/>
        </w:rPr>
        <w:t>J. Electron Microsc. (Tokyo).</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62</w:t>
      </w:r>
      <w:r w:rsidRPr="00827F8E">
        <w:rPr>
          <w:rFonts w:ascii="Arial" w:hAnsi="Arial" w:cs="Arial"/>
          <w:noProof/>
          <w:sz w:val="24"/>
          <w:szCs w:val="24"/>
        </w:rPr>
        <w:t xml:space="preserve"> (3), 341–352. https://doi.org/10.1093/jmicro/dfs080.</w:t>
      </w:r>
    </w:p>
    <w:p w14:paraId="66E10DA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(105)</w:t>
      </w:r>
      <w:r w:rsidRPr="00827F8E">
        <w:rPr>
          <w:rFonts w:ascii="Arial" w:hAnsi="Arial" w:cs="Arial"/>
          <w:noProof/>
          <w:sz w:val="24"/>
          <w:szCs w:val="24"/>
        </w:rPr>
        <w:tab/>
        <w:t xml:space="preserve">Krantz, K. C.; Puchalla, J.; Thapa, R.; Kobayashi, C.; Bisher, M.; Viehweg, J.; Carr, C. M.; Rye, H. S. Clathrin Coat Disassembly by the Yeast Hsc70/Ssa1p and Auxilin/Swa2p Proteins Observed by Single-Particle Burst Analysis Spectroscopy.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288</w:t>
      </w:r>
      <w:r w:rsidRPr="00827F8E">
        <w:rPr>
          <w:rFonts w:ascii="Arial" w:hAnsi="Arial" w:cs="Arial"/>
          <w:noProof/>
          <w:sz w:val="24"/>
          <w:szCs w:val="24"/>
        </w:rPr>
        <w:t xml:space="preserve"> (37), 26721–26730. https://doi.org/10.1074/jbc.M113.491753.</w:t>
      </w:r>
    </w:p>
    <w:p w14:paraId="62D6BFF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(106)</w:t>
      </w:r>
      <w:r w:rsidRPr="00827F8E">
        <w:rPr>
          <w:rFonts w:ascii="Arial" w:hAnsi="Arial" w:cs="Arial"/>
          <w:noProof/>
          <w:sz w:val="24"/>
          <w:szCs w:val="24"/>
        </w:rPr>
        <w:tab/>
        <w:t xml:space="preserve">Lakadamyali, M.; Rust, M. J.; Zhuang, X. Ligands for Clathrin-Mediated Endocytosis Are Differentially Sorted into Distinct Populations of Early Endosomes. </w:t>
      </w:r>
      <w:r w:rsidRPr="00827F8E">
        <w:rPr>
          <w:rFonts w:ascii="Arial" w:hAnsi="Arial" w:cs="Arial"/>
          <w:i/>
          <w:iCs/>
          <w:noProof/>
          <w:sz w:val="24"/>
          <w:szCs w:val="24"/>
        </w:rPr>
        <w:t>Cell</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124</w:t>
      </w:r>
      <w:r w:rsidRPr="00827F8E">
        <w:rPr>
          <w:rFonts w:ascii="Arial" w:hAnsi="Arial" w:cs="Arial"/>
          <w:noProof/>
          <w:sz w:val="24"/>
          <w:szCs w:val="24"/>
        </w:rPr>
        <w:t xml:space="preserve"> (5), 997–1009. https://doi.org/10.1016/j.cell.2005.12.038.</w:t>
      </w:r>
    </w:p>
    <w:p w14:paraId="638FA5A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(107)</w:t>
      </w:r>
      <w:r w:rsidRPr="00827F8E">
        <w:rPr>
          <w:rFonts w:ascii="Arial" w:hAnsi="Arial" w:cs="Arial"/>
          <w:noProof/>
          <w:sz w:val="24"/>
          <w:szCs w:val="24"/>
        </w:rPr>
        <w:tab/>
        <w:t xml:space="preserve">Donahue, N. D.; Acar, H.; Wilhelm, S. Concepts of Nanoparticle Cellular Uptake, Intracellular Trafficking, and Kinetics in Nanomedicine.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143</w:t>
      </w:r>
      <w:r w:rsidRPr="00827F8E">
        <w:rPr>
          <w:rFonts w:ascii="Arial" w:hAnsi="Arial" w:cs="Arial"/>
          <w:noProof/>
          <w:sz w:val="24"/>
          <w:szCs w:val="24"/>
        </w:rPr>
        <w:t>, 68–96. https://doi.org/10.1016/j.addr.2019.04.008.</w:t>
      </w:r>
    </w:p>
    <w:p w14:paraId="18D2A44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(108)</w:t>
      </w:r>
      <w:r w:rsidRPr="00827F8E">
        <w:rPr>
          <w:rFonts w:ascii="Arial" w:hAnsi="Arial" w:cs="Arial"/>
          <w:noProof/>
          <w:sz w:val="24"/>
          <w:szCs w:val="24"/>
        </w:rPr>
        <w:tab/>
        <w:t xml:space="preserve">Nazir Hossen, M.; Wang, L.; Chinthalapally, H. R.; Robertson, J. D.; Fung, K. M.; Wilhelm, S.; Bieniasz, M.; Bhattacharya, R.; Mukherjee, P. Switching the Intracellular Pathway and Enhancing the Therapeutic Efficacy of Small Interfering RNA by Auroliposome. </w:t>
      </w:r>
      <w:r w:rsidRPr="00827F8E">
        <w:rPr>
          <w:rFonts w:ascii="Arial" w:hAnsi="Arial" w:cs="Arial"/>
          <w:i/>
          <w:iCs/>
          <w:noProof/>
          <w:sz w:val="24"/>
          <w:szCs w:val="24"/>
        </w:rPr>
        <w:t>Sci. Adv.</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xml:space="preserve"> (30), eaba5379. https://doi.org/10.1126/sciadv.aba5379.</w:t>
      </w:r>
    </w:p>
    <w:p w14:paraId="63F4080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(109)</w:t>
      </w:r>
      <w:r w:rsidRPr="00827F8E">
        <w:rPr>
          <w:rFonts w:ascii="Arial" w:hAnsi="Arial" w:cs="Arial"/>
          <w:noProof/>
          <w:sz w:val="24"/>
          <w:szCs w:val="24"/>
        </w:rPr>
        <w:tab/>
        <w:t xml:space="preserve">Preston, J. E.; Joan Abbott, N.; Begley, D. J. Transcytosis of Macromolecules at the Blood–Brain Barrier. In </w:t>
      </w:r>
      <w:r w:rsidRPr="00827F8E">
        <w:rPr>
          <w:rFonts w:ascii="Arial" w:hAnsi="Arial" w:cs="Arial"/>
          <w:i/>
          <w:iCs/>
          <w:noProof/>
          <w:sz w:val="24"/>
          <w:szCs w:val="24"/>
        </w:rPr>
        <w:t>Physiological Reviews</w:t>
      </w:r>
      <w:r w:rsidRPr="00827F8E">
        <w:rPr>
          <w:rFonts w:ascii="Arial" w:hAnsi="Arial" w:cs="Arial"/>
          <w:noProof/>
          <w:sz w:val="24"/>
          <w:szCs w:val="24"/>
        </w:rPr>
        <w:t>; Elsevier Inc., 2014; Vol. 83, pp 147–163. https://doi.org/10.1016/bs.apha.2014.06.001.</w:t>
      </w:r>
    </w:p>
    <w:p w14:paraId="23E42FF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(110)</w:t>
      </w:r>
      <w:r w:rsidRPr="00827F8E">
        <w:rPr>
          <w:rFonts w:ascii="Arial" w:hAnsi="Arial" w:cs="Arial"/>
          <w:noProof/>
          <w:sz w:val="24"/>
          <w:szCs w:val="24"/>
        </w:rPr>
        <w:tab/>
        <w:t xml:space="preserve">Tuma, P. L.; Hubbard, A. L. Transcytosis: Crossing Cellular Barriers. </w:t>
      </w:r>
      <w:r w:rsidRPr="00827F8E">
        <w:rPr>
          <w:rFonts w:ascii="Arial" w:hAnsi="Arial" w:cs="Arial"/>
          <w:i/>
          <w:iCs/>
          <w:noProof/>
          <w:sz w:val="24"/>
          <w:szCs w:val="24"/>
        </w:rPr>
        <w:t>Physiological Reviews</w:t>
      </w:r>
      <w:r w:rsidRPr="00827F8E">
        <w:rPr>
          <w:rFonts w:ascii="Arial" w:hAnsi="Arial" w:cs="Arial"/>
          <w:noProof/>
          <w:sz w:val="24"/>
          <w:szCs w:val="24"/>
        </w:rPr>
        <w:t>. July 2003, pp 871–932. https://doi.org/10.1152/physrev.00001.2003.</w:t>
      </w:r>
    </w:p>
    <w:p w14:paraId="0411A8A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(111)</w:t>
      </w:r>
      <w:r w:rsidRPr="00827F8E">
        <w:rPr>
          <w:rFonts w:ascii="Arial" w:hAnsi="Arial" w:cs="Arial"/>
          <w:noProof/>
          <w:sz w:val="24"/>
          <w:szCs w:val="24"/>
        </w:rPr>
        <w:tab/>
        <w:t xml:space="preserve">Xiao, G.; Gan, L. S. Receptor-Mediated Endocytosis and Brain Delivery of Therapeutic Biologics. </w:t>
      </w:r>
      <w:r w:rsidRPr="00827F8E">
        <w:rPr>
          <w:rFonts w:ascii="Arial" w:hAnsi="Arial" w:cs="Arial"/>
          <w:i/>
          <w:iCs/>
          <w:noProof/>
          <w:sz w:val="24"/>
          <w:szCs w:val="24"/>
        </w:rPr>
        <w:t>Int. J. Cell Biol.</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2013</w:t>
      </w:r>
      <w:r w:rsidRPr="00827F8E">
        <w:rPr>
          <w:rFonts w:ascii="Arial" w:hAnsi="Arial" w:cs="Arial"/>
          <w:noProof/>
          <w:sz w:val="24"/>
          <w:szCs w:val="24"/>
        </w:rPr>
        <w:t>. https://doi.org/10.1155/2013/703545.</w:t>
      </w:r>
    </w:p>
    <w:p w14:paraId="348084F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(112)</w:t>
      </w:r>
      <w:r w:rsidRPr="00827F8E">
        <w:rPr>
          <w:rFonts w:ascii="Arial" w:hAnsi="Arial" w:cs="Arial"/>
          <w:noProof/>
          <w:sz w:val="24"/>
          <w:szCs w:val="24"/>
        </w:rPr>
        <w:tab/>
        <w:t xml:space="preserve">You, L.; Wang, J.; Liu, T.; Zhang, Y.; Han, X.; Wang, T.; Guo, S.; Dong, T.; Xu, J.; Anderson, G. J.; Liu, Q.; Chang, Y. Z.; Lou, X.; Nie, G. Targeted Brain Delivery of Rabies Virus Glycoprotein 29-Modified Deferoxamine-Loaded Nanoparticles Reverses Functional Deficits in Parkinsonian Mice.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(5), 4123–4139. https://doi.org/10.1021/acsnano.7b08172.</w:t>
      </w:r>
    </w:p>
    <w:p w14:paraId="417986D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(113)</w:t>
      </w:r>
      <w:r w:rsidRPr="00827F8E">
        <w:rPr>
          <w:rFonts w:ascii="Arial" w:hAnsi="Arial" w:cs="Arial"/>
          <w:noProof/>
          <w:sz w:val="24"/>
          <w:szCs w:val="24"/>
        </w:rPr>
        <w:tab/>
        <w:t xml:space="preserve">Gosk, S.; Moos, T.; Gottstein, C.; Bendas, G. VCAM-1 Directed Immunoliposomes Selectively Target Tumor Vasculature in Vivo. </w:t>
      </w:r>
      <w:r w:rsidRPr="00827F8E">
        <w:rPr>
          <w:rFonts w:ascii="Arial" w:hAnsi="Arial" w:cs="Arial"/>
          <w:i/>
          <w:iCs/>
          <w:noProof/>
          <w:sz w:val="24"/>
          <w:szCs w:val="24"/>
        </w:rPr>
        <w:t>Biochim. Biophys. Acta - Biomembr.</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1778</w:t>
      </w:r>
      <w:r w:rsidRPr="00827F8E">
        <w:rPr>
          <w:rFonts w:ascii="Arial" w:hAnsi="Arial" w:cs="Arial"/>
          <w:noProof/>
          <w:sz w:val="24"/>
          <w:szCs w:val="24"/>
        </w:rPr>
        <w:t xml:space="preserve"> (4), 854–863. https://doi.org/10.1016/j.bbamem.2007.12.021.</w:t>
      </w:r>
    </w:p>
    <w:p w14:paraId="6E37C0A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(114)</w:t>
      </w:r>
      <w:r w:rsidRPr="00827F8E">
        <w:rPr>
          <w:rFonts w:ascii="Arial" w:hAnsi="Arial" w:cs="Arial"/>
          <w:noProof/>
          <w:sz w:val="24"/>
          <w:szCs w:val="24"/>
        </w:rPr>
        <w:tab/>
        <w:t xml:space="preserve">Sharma, D. K.; Brown, J. C.; Choudhury, A.; Peterson, T. E.; Holicky, E.; Marks, D. L.; Simari, R.; Parton, R. G.; Pagano, R. E. Selective Stimulation of Caveolar Endocytosis by Glycosphingolipids and Cholesterol.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15</w:t>
      </w:r>
      <w:r w:rsidRPr="00827F8E">
        <w:rPr>
          <w:rFonts w:ascii="Arial" w:hAnsi="Arial" w:cs="Arial"/>
          <w:noProof/>
          <w:sz w:val="24"/>
          <w:szCs w:val="24"/>
        </w:rPr>
        <w:t xml:space="preserve"> (7), 3114–3122. https://doi.org/10.1091/mbc.e04-03-0189.</w:t>
      </w:r>
    </w:p>
    <w:p w14:paraId="6BE67D8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(115)</w:t>
      </w:r>
      <w:r w:rsidRPr="00827F8E">
        <w:rPr>
          <w:rFonts w:ascii="Arial" w:hAnsi="Arial" w:cs="Arial"/>
          <w:noProof/>
          <w:sz w:val="24"/>
          <w:szCs w:val="24"/>
        </w:rPr>
        <w:tab/>
        <w:t xml:space="preserve">Couet, J.; Belanger, M. M.; Roussel, E.; Drolet, M.-C. Cell Biology of Caveolae and Caveolin.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49</w:t>
      </w:r>
      <w:r w:rsidRPr="00827F8E">
        <w:rPr>
          <w:rFonts w:ascii="Arial" w:hAnsi="Arial" w:cs="Arial"/>
          <w:noProof/>
          <w:sz w:val="24"/>
          <w:szCs w:val="24"/>
        </w:rPr>
        <w:t xml:space="preserve"> (3), 223–235. https://doi.org/10.1016/S0169-409X(01)00139-9.</w:t>
      </w:r>
    </w:p>
    <w:p w14:paraId="046A094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(116)</w:t>
      </w:r>
      <w:r w:rsidRPr="00827F8E">
        <w:rPr>
          <w:rFonts w:ascii="Arial" w:hAnsi="Arial" w:cs="Arial"/>
          <w:noProof/>
          <w:sz w:val="24"/>
          <w:szCs w:val="24"/>
        </w:rPr>
        <w:tab/>
        <w:t xml:space="preserve">Sinha, B.; Köster, D.; Ruez, R.; Gonnord, P.; Bastiani, M.; Abankwa, D.; Stan, R. V.; Butler-Browne, G.; Vedie, B.; Johannes, L.; Morone, N.; Parton, R. G.; Raposo, G.; Sens, P.; Lamaze, C.; Nassoy, P. Cells Respond to Mechanical Stress by Rapid Disassembly of Caveolae. </w:t>
      </w:r>
      <w:r w:rsidRPr="00827F8E">
        <w:rPr>
          <w:rFonts w:ascii="Arial" w:hAnsi="Arial" w:cs="Arial"/>
          <w:i/>
          <w:iCs/>
          <w:noProof/>
          <w:sz w:val="24"/>
          <w:szCs w:val="24"/>
        </w:rPr>
        <w:t>Cell</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144</w:t>
      </w:r>
      <w:r w:rsidRPr="00827F8E">
        <w:rPr>
          <w:rFonts w:ascii="Arial" w:hAnsi="Arial" w:cs="Arial"/>
          <w:noProof/>
          <w:sz w:val="24"/>
          <w:szCs w:val="24"/>
        </w:rPr>
        <w:t xml:space="preserve"> (3), 402–413. https://doi.org/10.1016/j.cell.2010.12.031.</w:t>
      </w:r>
    </w:p>
    <w:p w14:paraId="72F3621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(117)</w:t>
      </w:r>
      <w:r w:rsidRPr="00827F8E">
        <w:rPr>
          <w:rFonts w:ascii="Arial" w:hAnsi="Arial" w:cs="Arial"/>
          <w:noProof/>
          <w:sz w:val="24"/>
          <w:szCs w:val="24"/>
        </w:rPr>
        <w:tab/>
        <w:t xml:space="preserve">Fridolfsson, H. N.; Roth, D. M.; Insel, P. A.; Patel, H. H. Regulation of Intracellular Signaling and Function by Caveolin. </w:t>
      </w:r>
      <w:r w:rsidRPr="00827F8E">
        <w:rPr>
          <w:rFonts w:ascii="Arial" w:hAnsi="Arial" w:cs="Arial"/>
          <w:i/>
          <w:iCs/>
          <w:noProof/>
          <w:sz w:val="24"/>
          <w:szCs w:val="24"/>
        </w:rPr>
        <w:t>FASEB J.</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28</w:t>
      </w:r>
      <w:r w:rsidRPr="00827F8E">
        <w:rPr>
          <w:rFonts w:ascii="Arial" w:hAnsi="Arial" w:cs="Arial"/>
          <w:noProof/>
          <w:sz w:val="24"/>
          <w:szCs w:val="24"/>
        </w:rPr>
        <w:t xml:space="preserve"> (9), 3823–3831. https://doi.org/10.1096/fj.14-252320.</w:t>
      </w:r>
    </w:p>
    <w:p w14:paraId="7E067F5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(118)</w:t>
      </w:r>
      <w:r w:rsidRPr="00827F8E">
        <w:rPr>
          <w:rFonts w:ascii="Arial" w:hAnsi="Arial" w:cs="Arial"/>
          <w:noProof/>
          <w:sz w:val="24"/>
          <w:szCs w:val="24"/>
        </w:rPr>
        <w:tab/>
        <w:t xml:space="preserve">Chow, B. W.; Nuñez, V.; Kaplan, L.; Granger, A. J.; Bistrong, K.; Zucker, H. L.; Kumar, P.; Sabatini, B. L.; Gu, C. Caveolae in CNS Arterioles Mediate Neurovascular Coupling. </w:t>
      </w:r>
      <w:r w:rsidRPr="00827F8E">
        <w:rPr>
          <w:rFonts w:ascii="Arial" w:hAnsi="Arial" w:cs="Arial"/>
          <w:i/>
          <w:iCs/>
          <w:noProof/>
          <w:sz w:val="24"/>
          <w:szCs w:val="24"/>
        </w:rPr>
        <w:t>Nature</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579</w:t>
      </w:r>
      <w:r w:rsidRPr="00827F8E">
        <w:rPr>
          <w:rFonts w:ascii="Arial" w:hAnsi="Arial" w:cs="Arial"/>
          <w:noProof/>
          <w:sz w:val="24"/>
          <w:szCs w:val="24"/>
        </w:rPr>
        <w:t xml:space="preserve"> (7797), 106–110. https://doi.org/10.1038/s41586-020-2026-1.</w:t>
      </w:r>
    </w:p>
    <w:p w14:paraId="5A4F2F8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(119)</w:t>
      </w:r>
      <w:r w:rsidRPr="00827F8E">
        <w:rPr>
          <w:rFonts w:ascii="Arial" w:hAnsi="Arial" w:cs="Arial"/>
          <w:noProof/>
          <w:sz w:val="24"/>
          <w:szCs w:val="24"/>
        </w:rPr>
        <w:tab/>
        <w:t xml:space="preserve">Gerbod-Giannone, M. C.; Dallet, L.; Naudin, G.; Sahin, A.; Decossas, M.; Poussard, S.; Lambert, O. Involvement of Caveolin-1 and CD36 in Native LDL Endocytosis by Endothelial Cells. </w:t>
      </w:r>
      <w:r w:rsidRPr="00827F8E">
        <w:rPr>
          <w:rFonts w:ascii="Arial" w:hAnsi="Arial" w:cs="Arial"/>
          <w:i/>
          <w:iCs/>
          <w:noProof/>
          <w:sz w:val="24"/>
          <w:szCs w:val="24"/>
        </w:rPr>
        <w:t>Biochim. Biophys. Acta - Gen. Subj.</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1863</w:t>
      </w:r>
      <w:r w:rsidRPr="00827F8E">
        <w:rPr>
          <w:rFonts w:ascii="Arial" w:hAnsi="Arial" w:cs="Arial"/>
          <w:noProof/>
          <w:sz w:val="24"/>
          <w:szCs w:val="24"/>
        </w:rPr>
        <w:t xml:space="preserve"> (5), 830–838. https://doi.org/10.1016/j.bbagen.2019.01.005.</w:t>
      </w:r>
    </w:p>
    <w:p w14:paraId="2AE0081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(120)</w:t>
      </w:r>
      <w:r w:rsidRPr="00827F8E">
        <w:rPr>
          <w:rFonts w:ascii="Arial" w:hAnsi="Arial" w:cs="Arial"/>
          <w:noProof/>
          <w:sz w:val="24"/>
          <w:szCs w:val="24"/>
        </w:rPr>
        <w:tab/>
        <w:t xml:space="preserve">Sowa, G. Novel Insights into the Role of Caveolin-2 in Cell- and Tissue-Specific Signaling and Function. </w:t>
      </w:r>
      <w:r w:rsidRPr="00827F8E">
        <w:rPr>
          <w:rFonts w:ascii="Arial" w:hAnsi="Arial" w:cs="Arial"/>
          <w:i/>
          <w:iCs/>
          <w:noProof/>
          <w:sz w:val="24"/>
          <w:szCs w:val="24"/>
        </w:rPr>
        <w:t>Biochem. Res. Int.</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2011</w:t>
      </w:r>
      <w:r w:rsidRPr="00827F8E">
        <w:rPr>
          <w:rFonts w:ascii="Arial" w:hAnsi="Arial" w:cs="Arial"/>
          <w:noProof/>
          <w:sz w:val="24"/>
          <w:szCs w:val="24"/>
        </w:rPr>
        <w:t>. https://doi.org/10.1155/2011/809259.</w:t>
      </w:r>
    </w:p>
    <w:p w14:paraId="6FA257D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(121)</w:t>
      </w:r>
      <w:r w:rsidRPr="00827F8E">
        <w:rPr>
          <w:rFonts w:ascii="Arial" w:hAnsi="Arial" w:cs="Arial"/>
          <w:noProof/>
          <w:sz w:val="24"/>
          <w:szCs w:val="24"/>
        </w:rPr>
        <w:tab/>
        <w:t xml:space="preserve">Williams, T. M.; Lisanti, M. P. The Caveolin Proteins. </w:t>
      </w:r>
      <w:r w:rsidRPr="00827F8E">
        <w:rPr>
          <w:rFonts w:ascii="Arial" w:hAnsi="Arial" w:cs="Arial"/>
          <w:i/>
          <w:iCs/>
          <w:noProof/>
          <w:sz w:val="24"/>
          <w:szCs w:val="24"/>
        </w:rPr>
        <w:t>Genome Biol.</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(3), 1–8. https://doi.org/10.1186/gb-2004-5-3-214.</w:t>
      </w:r>
    </w:p>
    <w:p w14:paraId="4210502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(122)</w:t>
      </w:r>
      <w:r w:rsidRPr="00827F8E">
        <w:rPr>
          <w:rFonts w:ascii="Arial" w:hAnsi="Arial" w:cs="Arial"/>
          <w:noProof/>
          <w:sz w:val="24"/>
          <w:szCs w:val="24"/>
        </w:rPr>
        <w:tab/>
        <w:t xml:space="preserve">Kovtun, O.; Tillu, V. A.; Ariotti, N.; Parton, R. G.; Collins, B. M. Cavin Family Proteins and the Assembly of Caveolae.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128</w:t>
      </w:r>
      <w:r w:rsidRPr="00827F8E">
        <w:rPr>
          <w:rFonts w:ascii="Arial" w:hAnsi="Arial" w:cs="Arial"/>
          <w:noProof/>
          <w:sz w:val="24"/>
          <w:szCs w:val="24"/>
        </w:rPr>
        <w:t xml:space="preserve"> (7), 1269–1278. https://doi.org/10.1242/jcs.167866.</w:t>
      </w:r>
    </w:p>
    <w:p w14:paraId="06E0F1C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(123)</w:t>
      </w:r>
      <w:r w:rsidRPr="00827F8E">
        <w:rPr>
          <w:rFonts w:ascii="Arial" w:hAnsi="Arial" w:cs="Arial"/>
          <w:noProof/>
          <w:sz w:val="24"/>
          <w:szCs w:val="24"/>
        </w:rPr>
        <w:tab/>
        <w:t xml:space="preserve">Henley, J. R.; Krueger, E. W. A.; Oswald, B. J.; McNiven, M. A. Dynamin-Mediated Internalization of Caveolae.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1998</w:t>
      </w:r>
      <w:r w:rsidRPr="00827F8E">
        <w:rPr>
          <w:rFonts w:ascii="Arial" w:hAnsi="Arial" w:cs="Arial"/>
          <w:noProof/>
          <w:sz w:val="24"/>
          <w:szCs w:val="24"/>
        </w:rPr>
        <w:t xml:space="preserve">, </w:t>
      </w:r>
      <w:r w:rsidRPr="00827F8E">
        <w:rPr>
          <w:rFonts w:ascii="Arial" w:hAnsi="Arial" w:cs="Arial"/>
          <w:i/>
          <w:iCs/>
          <w:noProof/>
          <w:sz w:val="24"/>
          <w:szCs w:val="24"/>
        </w:rPr>
        <w:t>141</w:t>
      </w:r>
      <w:r w:rsidRPr="00827F8E">
        <w:rPr>
          <w:rFonts w:ascii="Arial" w:hAnsi="Arial" w:cs="Arial"/>
          <w:noProof/>
          <w:sz w:val="24"/>
          <w:szCs w:val="24"/>
        </w:rPr>
        <w:t xml:space="preserve"> (1), 85–99. https://doi.org/10.1083/jcb.141.1.85.</w:t>
      </w:r>
    </w:p>
    <w:p w14:paraId="7EA7CC1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(124)</w:t>
      </w:r>
      <w:r w:rsidRPr="00827F8E">
        <w:rPr>
          <w:rFonts w:ascii="Arial" w:hAnsi="Arial" w:cs="Arial"/>
          <w:noProof/>
          <w:sz w:val="24"/>
          <w:szCs w:val="24"/>
        </w:rPr>
        <w:tab/>
        <w:t xml:space="preserve">Schnitzer, J. E. Caveolae: From Basic Trafficking Mechanisms to Targeting Transcytosis for Tissue-Specific Drug and Gene Delivery in Vivo. </w:t>
      </w:r>
      <w:r w:rsidRPr="00827F8E">
        <w:rPr>
          <w:rFonts w:ascii="Arial" w:hAnsi="Arial" w:cs="Arial"/>
          <w:i/>
          <w:iCs/>
          <w:noProof/>
          <w:sz w:val="24"/>
          <w:szCs w:val="24"/>
        </w:rPr>
        <w:t>Adv. Drug Deliv. Rev.</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49</w:t>
      </w:r>
      <w:r w:rsidRPr="00827F8E">
        <w:rPr>
          <w:rFonts w:ascii="Arial" w:hAnsi="Arial" w:cs="Arial"/>
          <w:noProof/>
          <w:sz w:val="24"/>
          <w:szCs w:val="24"/>
        </w:rPr>
        <w:t xml:space="preserve"> (3), 265–280. https://doi.org/10.1016/S0169-409X(01)00141-7.</w:t>
      </w:r>
    </w:p>
    <w:p w14:paraId="064E3B3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(125)</w:t>
      </w:r>
      <w:r w:rsidRPr="00827F8E">
        <w:rPr>
          <w:rFonts w:ascii="Arial" w:hAnsi="Arial" w:cs="Arial"/>
          <w:noProof/>
          <w:sz w:val="24"/>
          <w:szCs w:val="24"/>
        </w:rPr>
        <w:tab/>
        <w:t xml:space="preserve">Choi, S. Il; Maeng, Y. S.; Kim, T. I.; Lee, Y.; Kim, Y. S.; Kim, E. K. Lysosomal Trafficking of TGFBIp via Caveolae-Mediated Endocytosis. </w:t>
      </w:r>
      <w:r w:rsidRPr="00827F8E">
        <w:rPr>
          <w:rFonts w:ascii="Arial" w:hAnsi="Arial" w:cs="Arial"/>
          <w:i/>
          <w:iCs/>
          <w:noProof/>
          <w:sz w:val="24"/>
          <w:szCs w:val="24"/>
        </w:rPr>
        <w:t>PLoS One</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(4), 1–23. https://doi.org/10.1371/journal.pone.0119561.</w:t>
      </w:r>
    </w:p>
    <w:p w14:paraId="0241ABB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(126)</w:t>
      </w:r>
      <w:r w:rsidRPr="00827F8E">
        <w:rPr>
          <w:rFonts w:ascii="Arial" w:hAnsi="Arial" w:cs="Arial"/>
          <w:noProof/>
          <w:sz w:val="24"/>
          <w:szCs w:val="24"/>
        </w:rPr>
        <w:tab/>
        <w:t xml:space="preserve">Le, P. U.; Nabi, I. R. Distinct Caveolae-Mediated Endocytic Pathways Target the Golgi Apparatus and the Endoplasmic Reticulum.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116</w:t>
      </w:r>
      <w:r w:rsidRPr="00827F8E">
        <w:rPr>
          <w:rFonts w:ascii="Arial" w:hAnsi="Arial" w:cs="Arial"/>
          <w:noProof/>
          <w:sz w:val="24"/>
          <w:szCs w:val="24"/>
        </w:rPr>
        <w:t xml:space="preserve"> (6), 1059–1071. https://doi.org/10.1242/jcs.00327.</w:t>
      </w:r>
    </w:p>
    <w:p w14:paraId="2C65F21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(127)</w:t>
      </w:r>
      <w:r w:rsidRPr="00827F8E">
        <w:rPr>
          <w:rFonts w:ascii="Arial" w:hAnsi="Arial" w:cs="Arial"/>
          <w:noProof/>
          <w:sz w:val="24"/>
          <w:szCs w:val="24"/>
        </w:rPr>
        <w:tab/>
        <w:t xml:space="preserve">Wang, Z.; Tiruppathi, C.; Minshall, R. D.; Malik, A. B. Size and Dynamics of Caveolae Studied Using Nanoparticles in Living Endothelial Cells.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3</w:t>
      </w:r>
      <w:r w:rsidRPr="00827F8E">
        <w:rPr>
          <w:rFonts w:ascii="Arial" w:hAnsi="Arial" w:cs="Arial"/>
          <w:noProof/>
          <w:sz w:val="24"/>
          <w:szCs w:val="24"/>
        </w:rPr>
        <w:t xml:space="preserve"> (12), 4110–4116. https://doi.org/10.1021/nn9012274.</w:t>
      </w:r>
    </w:p>
    <w:p w14:paraId="5E05F97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(128)</w:t>
      </w:r>
      <w:r w:rsidRPr="00827F8E">
        <w:rPr>
          <w:rFonts w:ascii="Arial" w:hAnsi="Arial" w:cs="Arial"/>
          <w:noProof/>
          <w:sz w:val="24"/>
          <w:szCs w:val="24"/>
        </w:rPr>
        <w:tab/>
        <w:t xml:space="preserve">Borlan, R.; Tatar, A.-S.; Soritau, O.; Maniu, D.; Marc, G.; Florea, A.; Focsan, M.; Astilean, S. Design of Fluorophore-Loaded Human Serum Albumin Nanoparticles for Specific Targeting of NIH:OVCAR3 Ovarian Cancer Cells. </w:t>
      </w:r>
      <w:r w:rsidRPr="00827F8E">
        <w:rPr>
          <w:rFonts w:ascii="Arial" w:hAnsi="Arial" w:cs="Arial"/>
          <w:i/>
          <w:iCs/>
          <w:noProof/>
          <w:sz w:val="24"/>
          <w:szCs w:val="24"/>
        </w:rPr>
        <w:t>Nanotechnology</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31</w:t>
      </w:r>
      <w:r w:rsidRPr="00827F8E">
        <w:rPr>
          <w:rFonts w:ascii="Arial" w:hAnsi="Arial" w:cs="Arial"/>
          <w:noProof/>
          <w:sz w:val="24"/>
          <w:szCs w:val="24"/>
        </w:rPr>
        <w:t xml:space="preserve"> (31), 315102. https://doi.org/10.1088/1361-6528/ab8b90.</w:t>
      </w:r>
    </w:p>
    <w:p w14:paraId="263FF3D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(129)</w:t>
      </w:r>
      <w:r w:rsidRPr="00827F8E">
        <w:rPr>
          <w:rFonts w:ascii="Arial" w:hAnsi="Arial" w:cs="Arial"/>
          <w:noProof/>
          <w:sz w:val="24"/>
          <w:szCs w:val="24"/>
        </w:rPr>
        <w:tab/>
        <w:t xml:space="preserve">Suen, W. L. L.; Chau, Y. Size-Dependent Internalisation of Folate-Decorated Nanoparticles via the Pathways of Clathrin and Caveolae-Mediated Endocytosis in ARPE-19 Cells. </w:t>
      </w:r>
      <w:r w:rsidRPr="00827F8E">
        <w:rPr>
          <w:rFonts w:ascii="Arial" w:hAnsi="Arial" w:cs="Arial"/>
          <w:i/>
          <w:iCs/>
          <w:noProof/>
          <w:sz w:val="24"/>
          <w:szCs w:val="24"/>
        </w:rPr>
        <w:t>J. Pharm. Pharmacol.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66</w:t>
      </w:r>
      <w:r w:rsidRPr="00827F8E">
        <w:rPr>
          <w:rFonts w:ascii="Arial" w:hAnsi="Arial" w:cs="Arial"/>
          <w:noProof/>
          <w:sz w:val="24"/>
          <w:szCs w:val="24"/>
        </w:rPr>
        <w:t xml:space="preserve"> (4), 564–573. https://doi.org/10.1111/jphp.12134.</w:t>
      </w:r>
    </w:p>
    <w:p w14:paraId="7E796B7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(130)</w:t>
      </w:r>
      <w:r w:rsidRPr="00827F8E">
        <w:rPr>
          <w:rFonts w:ascii="Arial" w:hAnsi="Arial" w:cs="Arial"/>
          <w:noProof/>
          <w:sz w:val="24"/>
          <w:szCs w:val="24"/>
        </w:rPr>
        <w:tab/>
        <w:t xml:space="preserve">Oh, P.; Borgström, P.; Witkiewicz, H.; Li, Y.; Borgström, B. J.; Chrastina, A.; Iwata, K.; Zinn, K. R.; Baldwin, R.; Testa, J. E.; Schnitzer, J. E. Live Dynamic Imaging of Caveolae Pumping Targeted Antibody Rapidly and Specifically across Endothelium in the Lung.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2007</w:t>
      </w:r>
      <w:r w:rsidRPr="00827F8E">
        <w:rPr>
          <w:rFonts w:ascii="Arial" w:hAnsi="Arial" w:cs="Arial"/>
          <w:noProof/>
          <w:sz w:val="24"/>
          <w:szCs w:val="24"/>
        </w:rPr>
        <w:t xml:space="preserve">, </w:t>
      </w:r>
      <w:r w:rsidRPr="00827F8E">
        <w:rPr>
          <w:rFonts w:ascii="Arial" w:hAnsi="Arial" w:cs="Arial"/>
          <w:i/>
          <w:iCs/>
          <w:noProof/>
          <w:sz w:val="24"/>
          <w:szCs w:val="24"/>
        </w:rPr>
        <w:t>25</w:t>
      </w:r>
      <w:r w:rsidRPr="00827F8E">
        <w:rPr>
          <w:rFonts w:ascii="Arial" w:hAnsi="Arial" w:cs="Arial"/>
          <w:noProof/>
          <w:sz w:val="24"/>
          <w:szCs w:val="24"/>
        </w:rPr>
        <w:t xml:space="preserve"> (3), 327–337. https://doi.org/10.1038/nbt1292.</w:t>
      </w:r>
    </w:p>
    <w:p w14:paraId="131DC76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(131)</w:t>
      </w:r>
      <w:r w:rsidRPr="00827F8E">
        <w:rPr>
          <w:rFonts w:ascii="Arial" w:hAnsi="Arial" w:cs="Arial"/>
          <w:noProof/>
          <w:sz w:val="24"/>
          <w:szCs w:val="24"/>
        </w:rPr>
        <w:tab/>
        <w:t xml:space="preserve">Oh, P.; Testa, J. E.; Borgstrom, P.; Witkiewicz, H.; Li, Y.; Schnitzer, J. E. In Vivo Proteomic Imaging Analysis of Caveolae Reveals Pumping System to Penetrate Solid Tumors. </w:t>
      </w:r>
      <w:r w:rsidRPr="00827F8E">
        <w:rPr>
          <w:rFonts w:ascii="Arial" w:hAnsi="Arial" w:cs="Arial"/>
          <w:i/>
          <w:iCs/>
          <w:noProof/>
          <w:sz w:val="24"/>
          <w:szCs w:val="24"/>
        </w:rPr>
        <w:t>Nat. Med.</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20</w:t>
      </w:r>
      <w:r w:rsidRPr="00827F8E">
        <w:rPr>
          <w:rFonts w:ascii="Arial" w:hAnsi="Arial" w:cs="Arial"/>
          <w:noProof/>
          <w:sz w:val="24"/>
          <w:szCs w:val="24"/>
        </w:rPr>
        <w:t xml:space="preserve"> (9), 1062–1068. https://doi.org/10.1038/nm.3623.</w:t>
      </w:r>
    </w:p>
    <w:p w14:paraId="78783D7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(132)</w:t>
      </w:r>
      <w:r w:rsidRPr="00827F8E">
        <w:rPr>
          <w:rFonts w:ascii="Arial" w:hAnsi="Arial" w:cs="Arial"/>
          <w:noProof/>
          <w:sz w:val="24"/>
          <w:szCs w:val="24"/>
        </w:rPr>
        <w:tab/>
        <w:t xml:space="preserve">Kerr, M. C.; Teasdale, R. D. Defining Macropinocytosis. </w:t>
      </w:r>
      <w:r w:rsidRPr="00827F8E">
        <w:rPr>
          <w:rFonts w:ascii="Arial" w:hAnsi="Arial" w:cs="Arial"/>
          <w:i/>
          <w:iCs/>
          <w:noProof/>
          <w:sz w:val="24"/>
          <w:szCs w:val="24"/>
        </w:rPr>
        <w:t>Traffic</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(4), 364–371. https://doi.org/10.1111/j.1600-0854.2009.00878.x.</w:t>
      </w:r>
    </w:p>
    <w:p w14:paraId="37DA15A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(133)</w:t>
      </w:r>
      <w:r w:rsidRPr="00827F8E">
        <w:rPr>
          <w:rFonts w:ascii="Arial" w:hAnsi="Arial" w:cs="Arial"/>
          <w:noProof/>
          <w:sz w:val="24"/>
          <w:szCs w:val="24"/>
        </w:rPr>
        <w:tab/>
        <w:t xml:space="preserve">Palm, W. Metabolic Functions of Macropinocytosis. </w:t>
      </w:r>
      <w:r w:rsidRPr="00827F8E">
        <w:rPr>
          <w:rFonts w:ascii="Arial" w:hAnsi="Arial" w:cs="Arial"/>
          <w:i/>
          <w:iCs/>
          <w:noProof/>
          <w:sz w:val="24"/>
          <w:szCs w:val="24"/>
        </w:rPr>
        <w:t>Philos. Trans. R. Soc. B Biol. Sci.</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374</w:t>
      </w:r>
      <w:r w:rsidRPr="00827F8E">
        <w:rPr>
          <w:rFonts w:ascii="Arial" w:hAnsi="Arial" w:cs="Arial"/>
          <w:noProof/>
          <w:sz w:val="24"/>
          <w:szCs w:val="24"/>
        </w:rPr>
        <w:t xml:space="preserve"> (1765), 0–3. https://doi.org/10.1098/rstb.2018.0285.</w:t>
      </w:r>
    </w:p>
    <w:p w14:paraId="447CABD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(134)</w:t>
      </w:r>
      <w:r w:rsidRPr="00827F8E">
        <w:rPr>
          <w:rFonts w:ascii="Arial" w:hAnsi="Arial" w:cs="Arial"/>
          <w:noProof/>
          <w:sz w:val="24"/>
          <w:szCs w:val="24"/>
        </w:rPr>
        <w:tab/>
        <w:t xml:space="preserve">Araki, N.; Johnson, M. T.; Swanson, J. A. A Role for Phosphoinositide 3-Kinase in the Completion of Macropinocytosis and Phagocytosis by Macrophages.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1996</w:t>
      </w:r>
      <w:r w:rsidRPr="00827F8E">
        <w:rPr>
          <w:rFonts w:ascii="Arial" w:hAnsi="Arial" w:cs="Arial"/>
          <w:noProof/>
          <w:sz w:val="24"/>
          <w:szCs w:val="24"/>
        </w:rPr>
        <w:t xml:space="preserve">, </w:t>
      </w:r>
      <w:r w:rsidRPr="00827F8E">
        <w:rPr>
          <w:rFonts w:ascii="Arial" w:hAnsi="Arial" w:cs="Arial"/>
          <w:i/>
          <w:iCs/>
          <w:noProof/>
          <w:sz w:val="24"/>
          <w:szCs w:val="24"/>
        </w:rPr>
        <w:t>135</w:t>
      </w:r>
      <w:r w:rsidRPr="00827F8E">
        <w:rPr>
          <w:rFonts w:ascii="Arial" w:hAnsi="Arial" w:cs="Arial"/>
          <w:noProof/>
          <w:sz w:val="24"/>
          <w:szCs w:val="24"/>
        </w:rPr>
        <w:t xml:space="preserve"> (5), 1249–1260. https://doi.org/10.1083/jcb.135.5.1249.</w:t>
      </w:r>
    </w:p>
    <w:p w14:paraId="7DD81AB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(135)</w:t>
      </w:r>
      <w:r w:rsidRPr="00827F8E">
        <w:rPr>
          <w:rFonts w:ascii="Arial" w:hAnsi="Arial" w:cs="Arial"/>
          <w:noProof/>
          <w:sz w:val="24"/>
          <w:szCs w:val="24"/>
        </w:rPr>
        <w:tab/>
        <w:t xml:space="preserve">Hewlett, L. J.; Prescott, A. R.; Watts, C. The Coated Pit and Macropinocytic Pathways Serve Distinct Endosome Populations.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1994</w:t>
      </w:r>
      <w:r w:rsidRPr="00827F8E">
        <w:rPr>
          <w:rFonts w:ascii="Arial" w:hAnsi="Arial" w:cs="Arial"/>
          <w:noProof/>
          <w:sz w:val="24"/>
          <w:szCs w:val="24"/>
        </w:rPr>
        <w:t xml:space="preserve">, </w:t>
      </w:r>
      <w:r w:rsidRPr="00827F8E">
        <w:rPr>
          <w:rFonts w:ascii="Arial" w:hAnsi="Arial" w:cs="Arial"/>
          <w:i/>
          <w:iCs/>
          <w:noProof/>
          <w:sz w:val="24"/>
          <w:szCs w:val="24"/>
        </w:rPr>
        <w:t>124</w:t>
      </w:r>
      <w:r w:rsidRPr="00827F8E">
        <w:rPr>
          <w:rFonts w:ascii="Arial" w:hAnsi="Arial" w:cs="Arial"/>
          <w:noProof/>
          <w:sz w:val="24"/>
          <w:szCs w:val="24"/>
        </w:rPr>
        <w:t xml:space="preserve"> (5), 689–703. https://doi.org/10.1083/jcb.124.5.689.</w:t>
      </w:r>
    </w:p>
    <w:p w14:paraId="668685C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(136)</w:t>
      </w:r>
      <w:r w:rsidRPr="00827F8E">
        <w:rPr>
          <w:rFonts w:ascii="Arial" w:hAnsi="Arial" w:cs="Arial"/>
          <w:noProof/>
          <w:sz w:val="24"/>
          <w:szCs w:val="24"/>
        </w:rPr>
        <w:tab/>
        <w:t xml:space="preserve">Lim, J. P.; Gleeson, P. A. Macropinocytosis: An Endocytic Pathway for Internalising Large Gulps. </w:t>
      </w:r>
      <w:r w:rsidRPr="00827F8E">
        <w:rPr>
          <w:rFonts w:ascii="Arial" w:hAnsi="Arial" w:cs="Arial"/>
          <w:i/>
          <w:iCs/>
          <w:noProof/>
          <w:sz w:val="24"/>
          <w:szCs w:val="24"/>
        </w:rPr>
        <w:t>Immunol. Cell Biol.</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89</w:t>
      </w:r>
      <w:r w:rsidRPr="00827F8E">
        <w:rPr>
          <w:rFonts w:ascii="Arial" w:hAnsi="Arial" w:cs="Arial"/>
          <w:noProof/>
          <w:sz w:val="24"/>
          <w:szCs w:val="24"/>
        </w:rPr>
        <w:t xml:space="preserve"> (8), 836–843. https://doi.org/10.1038/icb.2011.20.</w:t>
      </w:r>
    </w:p>
    <w:p w14:paraId="51C6D0E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(137)</w:t>
      </w:r>
      <w:r w:rsidRPr="00827F8E">
        <w:rPr>
          <w:rFonts w:ascii="Arial" w:hAnsi="Arial" w:cs="Arial"/>
          <w:noProof/>
          <w:sz w:val="24"/>
          <w:szCs w:val="24"/>
        </w:rPr>
        <w:tab/>
        <w:t xml:space="preserve">Kasahara, K.; Nakayama, Y.; Sato, I.; Ikeda, K.; Hoshino, M.; Endo, T.; Yamaguchi, N. Role of Src-Family Kinases in Formation and Trafficking of Macropinosomes. </w:t>
      </w:r>
      <w:r w:rsidRPr="00827F8E">
        <w:rPr>
          <w:rFonts w:ascii="Arial" w:hAnsi="Arial" w:cs="Arial"/>
          <w:i/>
          <w:iCs/>
          <w:noProof/>
          <w:sz w:val="24"/>
          <w:szCs w:val="24"/>
        </w:rPr>
        <w:t>J. Cell. Physiol.</w:t>
      </w:r>
      <w:r w:rsidRPr="00827F8E">
        <w:rPr>
          <w:rFonts w:ascii="Arial" w:hAnsi="Arial" w:cs="Arial"/>
          <w:noProof/>
          <w:sz w:val="24"/>
          <w:szCs w:val="24"/>
        </w:rPr>
        <w:t xml:space="preserve"> </w:t>
      </w:r>
      <w:r w:rsidRPr="00827F8E">
        <w:rPr>
          <w:rFonts w:ascii="Arial" w:hAnsi="Arial" w:cs="Arial"/>
          <w:b/>
          <w:bCs/>
          <w:noProof/>
          <w:sz w:val="24"/>
          <w:szCs w:val="24"/>
        </w:rPr>
        <w:t>2007</w:t>
      </w:r>
      <w:r w:rsidRPr="00827F8E">
        <w:rPr>
          <w:rFonts w:ascii="Arial" w:hAnsi="Arial" w:cs="Arial"/>
          <w:noProof/>
          <w:sz w:val="24"/>
          <w:szCs w:val="24"/>
        </w:rPr>
        <w:t xml:space="preserve">, </w:t>
      </w:r>
      <w:r w:rsidRPr="00827F8E">
        <w:rPr>
          <w:rFonts w:ascii="Arial" w:hAnsi="Arial" w:cs="Arial"/>
          <w:i/>
          <w:iCs/>
          <w:noProof/>
          <w:sz w:val="24"/>
          <w:szCs w:val="24"/>
        </w:rPr>
        <w:t>211</w:t>
      </w:r>
      <w:r w:rsidRPr="00827F8E">
        <w:rPr>
          <w:rFonts w:ascii="Arial" w:hAnsi="Arial" w:cs="Arial"/>
          <w:noProof/>
          <w:sz w:val="24"/>
          <w:szCs w:val="24"/>
        </w:rPr>
        <w:t xml:space="preserve"> (1), 220–232. https://doi.org/10.1002/jcp.20931.</w:t>
      </w:r>
    </w:p>
    <w:p w14:paraId="5349DF5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(138)</w:t>
      </w:r>
      <w:r w:rsidRPr="00827F8E">
        <w:rPr>
          <w:rFonts w:ascii="Arial" w:hAnsi="Arial" w:cs="Arial"/>
          <w:noProof/>
          <w:sz w:val="24"/>
          <w:szCs w:val="24"/>
        </w:rPr>
        <w:tab/>
        <w:t xml:space="preserve">Commisso, C.; Flinn, R. J.; Bar-Sagi, D. Determining the Macropinocytic Index of Cells through a Quantitative Image-Based Assay. </w:t>
      </w:r>
      <w:r w:rsidRPr="00827F8E">
        <w:rPr>
          <w:rFonts w:ascii="Arial" w:hAnsi="Arial" w:cs="Arial"/>
          <w:i/>
          <w:iCs/>
          <w:noProof/>
          <w:sz w:val="24"/>
          <w:szCs w:val="24"/>
        </w:rPr>
        <w:t>Nat. Protoc.</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(1), 182–192. https://doi.org/10.1038/nprot.2014.004.</w:t>
      </w:r>
    </w:p>
    <w:p w14:paraId="54095B1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(139)</w:t>
      </w:r>
      <w:r w:rsidRPr="00827F8E">
        <w:rPr>
          <w:rFonts w:ascii="Arial" w:hAnsi="Arial" w:cs="Arial"/>
          <w:noProof/>
          <w:sz w:val="24"/>
          <w:szCs w:val="24"/>
        </w:rPr>
        <w:tab/>
        <w:t xml:space="preserve">Lee, E.; Knecht, D. A. Visualization of Actin Dynamics during Macropinocytosis and Exocytosis. </w:t>
      </w:r>
      <w:r w:rsidRPr="00827F8E">
        <w:rPr>
          <w:rFonts w:ascii="Arial" w:hAnsi="Arial" w:cs="Arial"/>
          <w:i/>
          <w:iCs/>
          <w:noProof/>
          <w:sz w:val="24"/>
          <w:szCs w:val="24"/>
        </w:rPr>
        <w:t>Traffic</w:t>
      </w:r>
      <w:r w:rsidRPr="00827F8E">
        <w:rPr>
          <w:rFonts w:ascii="Arial" w:hAnsi="Arial" w:cs="Arial"/>
          <w:noProof/>
          <w:sz w:val="24"/>
          <w:szCs w:val="24"/>
        </w:rPr>
        <w:t xml:space="preserve"> </w:t>
      </w:r>
      <w:r w:rsidRPr="00827F8E">
        <w:rPr>
          <w:rFonts w:ascii="Arial" w:hAnsi="Arial" w:cs="Arial"/>
          <w:b/>
          <w:bCs/>
          <w:noProof/>
          <w:sz w:val="24"/>
          <w:szCs w:val="24"/>
        </w:rPr>
        <w:t>2002</w:t>
      </w:r>
      <w:r w:rsidRPr="00827F8E">
        <w:rPr>
          <w:rFonts w:ascii="Arial" w:hAnsi="Arial" w:cs="Arial"/>
          <w:noProof/>
          <w:sz w:val="24"/>
          <w:szCs w:val="24"/>
        </w:rPr>
        <w:t xml:space="preserve">, </w:t>
      </w:r>
      <w:r w:rsidRPr="00827F8E">
        <w:rPr>
          <w:rFonts w:ascii="Arial" w:hAnsi="Arial" w:cs="Arial"/>
          <w:i/>
          <w:iCs/>
          <w:noProof/>
          <w:sz w:val="24"/>
          <w:szCs w:val="24"/>
        </w:rPr>
        <w:t>3</w:t>
      </w:r>
      <w:r w:rsidRPr="00827F8E">
        <w:rPr>
          <w:rFonts w:ascii="Arial" w:hAnsi="Arial" w:cs="Arial"/>
          <w:noProof/>
          <w:sz w:val="24"/>
          <w:szCs w:val="24"/>
        </w:rPr>
        <w:t xml:space="preserve"> (3), 186–192. https://doi.org/10.1034/j.1600-0854.2002.030304.x.</w:t>
      </w:r>
    </w:p>
    <w:p w14:paraId="05F7E5A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(140)</w:t>
      </w:r>
      <w:r w:rsidRPr="00827F8E">
        <w:rPr>
          <w:rFonts w:ascii="Arial" w:hAnsi="Arial" w:cs="Arial"/>
          <w:noProof/>
          <w:sz w:val="24"/>
          <w:szCs w:val="24"/>
        </w:rPr>
        <w:tab/>
        <w:t xml:space="preserve">Recouvreux, M. V.; Commisso, C. Macropinocytosis: A Metabolic Adaptation to Nutrient Stress in Cancer. </w:t>
      </w:r>
      <w:r w:rsidRPr="00827F8E">
        <w:rPr>
          <w:rFonts w:ascii="Arial" w:hAnsi="Arial" w:cs="Arial"/>
          <w:i/>
          <w:iCs/>
          <w:noProof/>
          <w:sz w:val="24"/>
          <w:szCs w:val="24"/>
        </w:rPr>
        <w:t>Front. Endocrinol. (Lausanne).</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(SEP), 1–7. https://doi.org/10.3389/fendo.2017.00261.</w:t>
      </w:r>
    </w:p>
    <w:p w14:paraId="123149C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(141)</w:t>
      </w:r>
      <w:r w:rsidRPr="00827F8E">
        <w:rPr>
          <w:rFonts w:ascii="Arial" w:hAnsi="Arial" w:cs="Arial"/>
          <w:noProof/>
          <w:sz w:val="24"/>
          <w:szCs w:val="24"/>
        </w:rPr>
        <w:tab/>
        <w:t xml:space="preserve">Williams, T. D.; Kay, R. R. The Physiological Regulation of Macropinocytosis during Dictyostelium Growth and Development.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131</w:t>
      </w:r>
      <w:r w:rsidRPr="00827F8E">
        <w:rPr>
          <w:rFonts w:ascii="Arial" w:hAnsi="Arial" w:cs="Arial"/>
          <w:noProof/>
          <w:sz w:val="24"/>
          <w:szCs w:val="24"/>
        </w:rPr>
        <w:t xml:space="preserve"> (6). https://doi.org/10.1242/jcs.213736.</w:t>
      </w:r>
    </w:p>
    <w:p w14:paraId="07E712A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(142)</w:t>
      </w:r>
      <w:r w:rsidRPr="00827F8E">
        <w:rPr>
          <w:rFonts w:ascii="Arial" w:hAnsi="Arial" w:cs="Arial"/>
          <w:noProof/>
          <w:sz w:val="24"/>
          <w:szCs w:val="24"/>
        </w:rPr>
        <w:tab/>
        <w:t xml:space="preserve">Commisso, C.; Davidson, S. M.; Soydaner-Azeloglu, R. G.; Parker, S. J.; Kamphorst, J. J.; Hackett, S.; Grabocka, E.; Nofal, M.; Drebin, J. A.; Thompson, C. B.; Rabinowitz, J. D.; Metallo, C. M.; Vander Heiden, M. G.; Bar-Sagi, D. Macropinocytosis of Protein Is an Amino Acid Supply Route in Ras-Transformed Cells. </w:t>
      </w:r>
      <w:r w:rsidRPr="00827F8E">
        <w:rPr>
          <w:rFonts w:ascii="Arial" w:hAnsi="Arial" w:cs="Arial"/>
          <w:i/>
          <w:iCs/>
          <w:noProof/>
          <w:sz w:val="24"/>
          <w:szCs w:val="24"/>
        </w:rPr>
        <w:t>Nature</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497</w:t>
      </w:r>
      <w:r w:rsidRPr="00827F8E">
        <w:rPr>
          <w:rFonts w:ascii="Arial" w:hAnsi="Arial" w:cs="Arial"/>
          <w:noProof/>
          <w:sz w:val="24"/>
          <w:szCs w:val="24"/>
        </w:rPr>
        <w:t xml:space="preserve"> (7451), 633–637. https://doi.org/10.1038/nature12138.</w:t>
      </w:r>
    </w:p>
    <w:p w14:paraId="46C4857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(143)</w:t>
      </w:r>
      <w:r w:rsidRPr="00827F8E">
        <w:rPr>
          <w:rFonts w:ascii="Arial" w:hAnsi="Arial" w:cs="Arial"/>
          <w:noProof/>
          <w:sz w:val="24"/>
          <w:szCs w:val="24"/>
        </w:rPr>
        <w:tab/>
        <w:t xml:space="preserve">Charpentier, J. C.; Chen, D.; Lapinski, P. E.; Turner, J.; Grigorova, I.; Swanson, J. A.; King, P. D. Macropinocytosis Drives T Cell Growth by Sustaining the Activation of MTORC1.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(1), 1–9. https://doi.org/10.1038/s41467-019-13997-3.</w:t>
      </w:r>
    </w:p>
    <w:p w14:paraId="7C3FE69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(144)</w:t>
      </w:r>
      <w:r w:rsidRPr="00827F8E">
        <w:rPr>
          <w:rFonts w:ascii="Arial" w:hAnsi="Arial" w:cs="Arial"/>
          <w:noProof/>
          <w:sz w:val="24"/>
          <w:szCs w:val="24"/>
        </w:rPr>
        <w:tab/>
        <w:t xml:space="preserve">Flannagan, R. S.; Jaumouillé, V.; Grinstein, S. The Cell Biology of Phagocytosis. </w:t>
      </w:r>
      <w:r w:rsidRPr="00827F8E">
        <w:rPr>
          <w:rFonts w:ascii="Arial" w:hAnsi="Arial" w:cs="Arial"/>
          <w:i/>
          <w:iCs/>
          <w:noProof/>
          <w:sz w:val="24"/>
          <w:szCs w:val="24"/>
        </w:rPr>
        <w:t>Annu. Rev. Pathol. Mech. Dis.</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(1), 61–98. </w:t>
      </w:r>
      <w:r w:rsidRPr="00827F8E">
        <w:rPr>
          <w:rFonts w:ascii="Arial" w:hAnsi="Arial" w:cs="Arial"/>
          <w:noProof/>
          <w:sz w:val="24"/>
          <w:szCs w:val="24"/>
        </w:rPr>
        <w:lastRenderedPageBreak/>
        <w:t>https://doi.org/10.1146/annurev-pathol-011811-132445.</w:t>
      </w:r>
    </w:p>
    <w:p w14:paraId="3A7D0A1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(145)</w:t>
      </w:r>
      <w:r w:rsidRPr="00827F8E">
        <w:rPr>
          <w:rFonts w:ascii="Arial" w:hAnsi="Arial" w:cs="Arial"/>
          <w:noProof/>
          <w:sz w:val="24"/>
          <w:szCs w:val="24"/>
        </w:rPr>
        <w:tab/>
        <w:t xml:space="preserve">Ji, S.; Dong, W.; Qi, Y.; Gao, H.; Zhao, D.; Xu, M.; Li, T.; Yu, H.; Sun, Y.; Ma, R.; Shi, J.; Gao, C. Phagocytosis by Endothelial Cells Inhibits Procoagulant Activity of Platelets of Essential Thrombocythemia in Vitro. </w:t>
      </w:r>
      <w:r w:rsidRPr="00827F8E">
        <w:rPr>
          <w:rFonts w:ascii="Arial" w:hAnsi="Arial" w:cs="Arial"/>
          <w:i/>
          <w:iCs/>
          <w:noProof/>
          <w:sz w:val="24"/>
          <w:szCs w:val="24"/>
        </w:rPr>
        <w:t>J. Thromb. Haemost.</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18</w:t>
      </w:r>
      <w:r w:rsidRPr="00827F8E">
        <w:rPr>
          <w:rFonts w:ascii="Arial" w:hAnsi="Arial" w:cs="Arial"/>
          <w:noProof/>
          <w:sz w:val="24"/>
          <w:szCs w:val="24"/>
        </w:rPr>
        <w:t xml:space="preserve"> (1), 222–233. https://doi.org/10.1111/jth.14617.</w:t>
      </w:r>
    </w:p>
    <w:p w14:paraId="69F8DDD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(146)</w:t>
      </w:r>
      <w:r w:rsidRPr="00827F8E">
        <w:rPr>
          <w:rFonts w:ascii="Arial" w:hAnsi="Arial" w:cs="Arial"/>
          <w:noProof/>
          <w:sz w:val="24"/>
          <w:szCs w:val="24"/>
        </w:rPr>
        <w:tab/>
        <w:t xml:space="preserve">Xie, R.; Gao, C.; Li, W.; Zhu, J.; Novakovic, V.; Wang, J.; Ma, R.; Zhou, J.; Gilbert, G. E.; Shi, J. Phagocytosis by Macrophages and Endothelial Cells Inhibits Procoagulant and Fibrinolytic Activity of Acute Promyelocytic Leukemia Cells. </w:t>
      </w:r>
      <w:r w:rsidRPr="00827F8E">
        <w:rPr>
          <w:rFonts w:ascii="Arial" w:hAnsi="Arial" w:cs="Arial"/>
          <w:i/>
          <w:iCs/>
          <w:noProof/>
          <w:sz w:val="24"/>
          <w:szCs w:val="24"/>
        </w:rPr>
        <w:t>Blood</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119</w:t>
      </w:r>
      <w:r w:rsidRPr="00827F8E">
        <w:rPr>
          <w:rFonts w:ascii="Arial" w:hAnsi="Arial" w:cs="Arial"/>
          <w:noProof/>
          <w:sz w:val="24"/>
          <w:szCs w:val="24"/>
        </w:rPr>
        <w:t xml:space="preserve"> (10), 2325–2334. https://doi.org/10.1182/blood-2011-06-362186.</w:t>
      </w:r>
    </w:p>
    <w:p w14:paraId="0B64220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(147)</w:t>
      </w:r>
      <w:r w:rsidRPr="00827F8E">
        <w:rPr>
          <w:rFonts w:ascii="Arial" w:hAnsi="Arial" w:cs="Arial"/>
          <w:noProof/>
          <w:sz w:val="24"/>
          <w:szCs w:val="24"/>
        </w:rPr>
        <w:tab/>
        <w:t xml:space="preserve">Mayor, S.; Parton, R. G.; Donaldson, J. G. Clathrin-Independent Pathways of Endocytosis. </w:t>
      </w:r>
      <w:r w:rsidRPr="00827F8E">
        <w:rPr>
          <w:rFonts w:ascii="Arial" w:hAnsi="Arial" w:cs="Arial"/>
          <w:i/>
          <w:iCs/>
          <w:noProof/>
          <w:sz w:val="24"/>
          <w:szCs w:val="24"/>
        </w:rPr>
        <w:t>Cold Spring Harb. Perspect. Biol.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xml:space="preserve"> (6), a016758–a016758. https://doi.org/10.1101/cshperspect.a016758.</w:t>
      </w:r>
    </w:p>
    <w:p w14:paraId="1B7A4FF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(148)</w:t>
      </w:r>
      <w:r w:rsidRPr="00827F8E">
        <w:rPr>
          <w:rFonts w:ascii="Arial" w:hAnsi="Arial" w:cs="Arial"/>
          <w:noProof/>
          <w:sz w:val="24"/>
          <w:szCs w:val="24"/>
        </w:rPr>
        <w:tab/>
        <w:t xml:space="preserve">Lundmark, R.; Doherty, G. J.; Howes, M. T.; Cortese, K.; Vallis, Y.; Parton, R. G.; McMahon, H. T. The GTPase-Activating Protein GRAF1 Regulates the CLIC/GEEC Endocytic Pathway. </w:t>
      </w:r>
      <w:r w:rsidRPr="00827F8E">
        <w:rPr>
          <w:rFonts w:ascii="Arial" w:hAnsi="Arial" w:cs="Arial"/>
          <w:i/>
          <w:iCs/>
          <w:noProof/>
          <w:sz w:val="24"/>
          <w:szCs w:val="24"/>
        </w:rPr>
        <w:t>Curr. Biol.</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18</w:t>
      </w:r>
      <w:r w:rsidRPr="00827F8E">
        <w:rPr>
          <w:rFonts w:ascii="Arial" w:hAnsi="Arial" w:cs="Arial"/>
          <w:noProof/>
          <w:sz w:val="24"/>
          <w:szCs w:val="24"/>
        </w:rPr>
        <w:t xml:space="preserve"> (22), 1802–1808. https://doi.org/10.1016/j.cub.2008.10.044.</w:t>
      </w:r>
    </w:p>
    <w:p w14:paraId="3E5AA66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(149)</w:t>
      </w:r>
      <w:r w:rsidRPr="00827F8E">
        <w:rPr>
          <w:rFonts w:ascii="Arial" w:hAnsi="Arial" w:cs="Arial"/>
          <w:noProof/>
          <w:sz w:val="24"/>
          <w:szCs w:val="24"/>
        </w:rPr>
        <w:tab/>
        <w:t xml:space="preserve">Sathe, M.; Muthukrishnan, G.; Rae, J.; Disanza, A.; Thattai, M.; Scita, G.; Parton, R. G.; Mayor, S. Small GTPases and BAR Domain Proteins Regulate Branched Actin Polymerisation for Clathrin and Dynamin-Independent Endocytosis.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(1), 1835. https://doi.org/10.1038/s41467-018-03955-w.</w:t>
      </w:r>
    </w:p>
    <w:p w14:paraId="36AD7D1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(150)</w:t>
      </w:r>
      <w:r w:rsidRPr="00827F8E">
        <w:rPr>
          <w:rFonts w:ascii="Arial" w:hAnsi="Arial" w:cs="Arial"/>
          <w:noProof/>
          <w:sz w:val="24"/>
          <w:szCs w:val="24"/>
        </w:rPr>
        <w:tab/>
        <w:t xml:space="preserve">Wei, X.; She, G.; Wu, T.; Xue, C.; Cao, Y. PEDV Enters Cells through Clathrin-, Caveolae-, and Lipid Raft-Mediated Endocytosis and Traffics via the Endo-/Lysosome Pathway. </w:t>
      </w:r>
      <w:r w:rsidRPr="00827F8E">
        <w:rPr>
          <w:rFonts w:ascii="Arial" w:hAnsi="Arial" w:cs="Arial"/>
          <w:i/>
          <w:iCs/>
          <w:noProof/>
          <w:sz w:val="24"/>
          <w:szCs w:val="24"/>
        </w:rPr>
        <w:t>Vet. Res.</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51</w:t>
      </w:r>
      <w:r w:rsidRPr="00827F8E">
        <w:rPr>
          <w:rFonts w:ascii="Arial" w:hAnsi="Arial" w:cs="Arial"/>
          <w:noProof/>
          <w:sz w:val="24"/>
          <w:szCs w:val="24"/>
        </w:rPr>
        <w:t xml:space="preserve"> (1), 1–18. https://doi.org/10.1186/s13567-020-0739-7.</w:t>
      </w:r>
    </w:p>
    <w:p w14:paraId="38A437B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(151)</w:t>
      </w:r>
      <w:r w:rsidRPr="00827F8E">
        <w:rPr>
          <w:rFonts w:ascii="Arial" w:hAnsi="Arial" w:cs="Arial"/>
          <w:noProof/>
          <w:sz w:val="24"/>
          <w:szCs w:val="24"/>
        </w:rPr>
        <w:tab/>
        <w:t xml:space="preserve">Sevcsik, E.; Brameshuber, M.; Fölser, M.; Weghuber, J.; Honigmann, A.; Schütz, G. J. GPI-Anchored Proteins Do Not Reside in Ordered Domains in the Live Cell Plasma Membrane.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1–10. https://doi.org/10.1038/ncomms7969.</w:t>
      </w:r>
    </w:p>
    <w:p w14:paraId="0EF9497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(152)</w:t>
      </w:r>
      <w:r w:rsidRPr="00827F8E">
        <w:rPr>
          <w:rFonts w:ascii="Arial" w:hAnsi="Arial" w:cs="Arial"/>
          <w:noProof/>
          <w:sz w:val="24"/>
          <w:szCs w:val="24"/>
        </w:rPr>
        <w:tab/>
        <w:t xml:space="preserve">Sugahara, K. N.; Teesalu, T.; Karmali, P. P.; Kotamraju, V. R.; Agemy, L.; Girard, O. M.; Hanahan, D.; Mattrey, R. F.; Ruoslahti, E. Tissue-Penetrating Delivery of Compounds and Nanoparticles into Tumors. </w:t>
      </w:r>
      <w:r w:rsidRPr="00827F8E">
        <w:rPr>
          <w:rFonts w:ascii="Arial" w:hAnsi="Arial" w:cs="Arial"/>
          <w:i/>
          <w:iCs/>
          <w:noProof/>
          <w:sz w:val="24"/>
          <w:szCs w:val="24"/>
        </w:rPr>
        <w:t>Cancer Cell</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16</w:t>
      </w:r>
      <w:r w:rsidRPr="00827F8E">
        <w:rPr>
          <w:rFonts w:ascii="Arial" w:hAnsi="Arial" w:cs="Arial"/>
          <w:noProof/>
          <w:sz w:val="24"/>
          <w:szCs w:val="24"/>
        </w:rPr>
        <w:t xml:space="preserve"> (6), 510–520. https://doi.org/10.1016/j.ccr.2009.10.013.</w:t>
      </w:r>
    </w:p>
    <w:p w14:paraId="0C83E44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(153)</w:t>
      </w:r>
      <w:r w:rsidRPr="00827F8E">
        <w:rPr>
          <w:rFonts w:ascii="Arial" w:hAnsi="Arial" w:cs="Arial"/>
          <w:noProof/>
          <w:sz w:val="24"/>
          <w:szCs w:val="24"/>
        </w:rPr>
        <w:tab/>
        <w:t xml:space="preserve">Pang, H. B.; Braun, G. B.; Ruoslahti, E. Neuropilin-1 and Heparan Sulfate Proteoglycans Cooperate in Cellular Uptake of Nanoparticles Functionalized by Cationic Cell-Penetrating Peptides. </w:t>
      </w:r>
      <w:r w:rsidRPr="00827F8E">
        <w:rPr>
          <w:rFonts w:ascii="Arial" w:hAnsi="Arial" w:cs="Arial"/>
          <w:i/>
          <w:iCs/>
          <w:noProof/>
          <w:sz w:val="24"/>
          <w:szCs w:val="24"/>
        </w:rPr>
        <w:t>Sci. Adv.</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w:t>
      </w:r>
      <w:r w:rsidRPr="00827F8E">
        <w:rPr>
          <w:rFonts w:ascii="Arial" w:hAnsi="Arial" w:cs="Arial"/>
          <w:noProof/>
          <w:sz w:val="24"/>
          <w:szCs w:val="24"/>
        </w:rPr>
        <w:t xml:space="preserve"> (10), 1–8. https://doi.org/10.1126/sciadv.1500821.</w:t>
      </w:r>
    </w:p>
    <w:p w14:paraId="3AD911F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(154)</w:t>
      </w:r>
      <w:r w:rsidRPr="00827F8E">
        <w:rPr>
          <w:rFonts w:ascii="Arial" w:hAnsi="Arial" w:cs="Arial"/>
          <w:noProof/>
          <w:sz w:val="24"/>
          <w:szCs w:val="24"/>
        </w:rPr>
        <w:tab/>
        <w:t xml:space="preserve">Lee, J. C.; Donahue, N. D.; Mao, A. S.; Karim, A.; Komarneni, M.; Thomas, E. E.; Francek, E. R.; Yang, W.; Wilhelm, S. Exploring Maleimide-Based Nanoparticle Surface Engineering to Control Cellular Interactions. </w:t>
      </w:r>
      <w:r w:rsidRPr="00827F8E">
        <w:rPr>
          <w:rFonts w:ascii="Arial" w:hAnsi="Arial" w:cs="Arial"/>
          <w:i/>
          <w:iCs/>
          <w:noProof/>
          <w:sz w:val="24"/>
          <w:szCs w:val="24"/>
        </w:rPr>
        <w:t>ACS Appl. Nano Mater.</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https://doi.org/10.1021/acsanm.9b02541.</w:t>
      </w:r>
    </w:p>
    <w:p w14:paraId="3492337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(155)</w:t>
      </w:r>
      <w:r w:rsidRPr="00827F8E">
        <w:rPr>
          <w:rFonts w:ascii="Arial" w:hAnsi="Arial" w:cs="Arial"/>
          <w:noProof/>
          <w:sz w:val="24"/>
          <w:szCs w:val="24"/>
        </w:rPr>
        <w:tab/>
        <w:t xml:space="preserve">Wilhelm, S.; Hirsch, T.; Patterson, W. M.; Scheucher, E.; Mayr, T.; Wolfbeis, O. S. Multicolor Upconversion Nanoparticles for Protein Conjugation. </w:t>
      </w:r>
      <w:r w:rsidRPr="00827F8E">
        <w:rPr>
          <w:rFonts w:ascii="Arial" w:hAnsi="Arial" w:cs="Arial"/>
          <w:i/>
          <w:iCs/>
          <w:noProof/>
          <w:sz w:val="24"/>
          <w:szCs w:val="24"/>
        </w:rPr>
        <w:t>Theranostics</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3</w:t>
      </w:r>
      <w:r w:rsidRPr="00827F8E">
        <w:rPr>
          <w:rFonts w:ascii="Arial" w:hAnsi="Arial" w:cs="Arial"/>
          <w:noProof/>
          <w:sz w:val="24"/>
          <w:szCs w:val="24"/>
        </w:rPr>
        <w:t xml:space="preserve"> (4), 239–248. https://doi.org/10.7150/thno.5113.</w:t>
      </w:r>
    </w:p>
    <w:p w14:paraId="67CCA80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(156)</w:t>
      </w:r>
      <w:r w:rsidRPr="00827F8E">
        <w:rPr>
          <w:rFonts w:ascii="Arial" w:hAnsi="Arial" w:cs="Arial"/>
          <w:noProof/>
          <w:sz w:val="24"/>
          <w:szCs w:val="24"/>
        </w:rPr>
        <w:tab/>
        <w:t xml:space="preserve">Lazarovits, J.; Chen, Y. Y.; Song, F.; Ngo, W.; Tavares, A. J.; Zhang, Y. N.; Audet, J.; Tang, B.; Lin, Q.; Cruz Tleugabulova, M.; Wilhelm, S.; Krieger, J. R.; Mallevaey, T.; Chan, W. C. W. Synthesis of Patient-Specific Nanomaterials.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(1), 116–123. https://doi.org/10.1021/acs.nanolett.8b03434.</w:t>
      </w:r>
    </w:p>
    <w:p w14:paraId="3156176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(157)</w:t>
      </w:r>
      <w:r w:rsidRPr="00827F8E">
        <w:rPr>
          <w:rFonts w:ascii="Arial" w:hAnsi="Arial" w:cs="Arial"/>
          <w:noProof/>
          <w:sz w:val="24"/>
          <w:szCs w:val="24"/>
        </w:rPr>
        <w:tab/>
        <w:t xml:space="preserve">Merlot, A. M.; Kalinowski, D. S.; Richardson, D. R. Unraveling the Mysteries of Serum Albumin-More than Just a Serum Protein. </w:t>
      </w:r>
      <w:r w:rsidRPr="00827F8E">
        <w:rPr>
          <w:rFonts w:ascii="Arial" w:hAnsi="Arial" w:cs="Arial"/>
          <w:i/>
          <w:iCs/>
          <w:noProof/>
          <w:sz w:val="24"/>
          <w:szCs w:val="24"/>
        </w:rPr>
        <w:t>Front. Physiol.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5 AUG</w:t>
      </w:r>
      <w:r w:rsidRPr="00827F8E">
        <w:rPr>
          <w:rFonts w:ascii="Arial" w:hAnsi="Arial" w:cs="Arial"/>
          <w:noProof/>
          <w:sz w:val="24"/>
          <w:szCs w:val="24"/>
        </w:rPr>
        <w:t xml:space="preserve"> (August), 1–7. https://doi.org/10.3389/fphys.2014.00299.</w:t>
      </w:r>
    </w:p>
    <w:p w14:paraId="4ECD0A4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(158)</w:t>
      </w:r>
      <w:r w:rsidRPr="00827F8E">
        <w:rPr>
          <w:rFonts w:ascii="Arial" w:hAnsi="Arial" w:cs="Arial"/>
          <w:noProof/>
          <w:sz w:val="24"/>
          <w:szCs w:val="24"/>
        </w:rPr>
        <w:tab/>
        <w:t xml:space="preserve">Tiruppathi, C.; Finnegan, A.; Malik, A. B. Isolation and Characterization of a Cell Surface Albumin-Binding Protein from Vascular Endothelial Cells.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1996</w:t>
      </w:r>
      <w:r w:rsidRPr="00827F8E">
        <w:rPr>
          <w:rFonts w:ascii="Arial" w:hAnsi="Arial" w:cs="Arial"/>
          <w:noProof/>
          <w:sz w:val="24"/>
          <w:szCs w:val="24"/>
        </w:rPr>
        <w:t xml:space="preserve">, </w:t>
      </w:r>
      <w:r w:rsidRPr="00827F8E">
        <w:rPr>
          <w:rFonts w:ascii="Arial" w:hAnsi="Arial" w:cs="Arial"/>
          <w:i/>
          <w:iCs/>
          <w:noProof/>
          <w:sz w:val="24"/>
          <w:szCs w:val="24"/>
        </w:rPr>
        <w:t>93</w:t>
      </w:r>
      <w:r w:rsidRPr="00827F8E">
        <w:rPr>
          <w:rFonts w:ascii="Arial" w:hAnsi="Arial" w:cs="Arial"/>
          <w:noProof/>
          <w:sz w:val="24"/>
          <w:szCs w:val="24"/>
        </w:rPr>
        <w:t xml:space="preserve"> (1), 250–254. https://doi.org/10.1073/pnas.93.1.250.</w:t>
      </w:r>
    </w:p>
    <w:p w14:paraId="2B11598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(159)</w:t>
      </w:r>
      <w:r w:rsidRPr="00827F8E">
        <w:rPr>
          <w:rFonts w:ascii="Arial" w:hAnsi="Arial" w:cs="Arial"/>
          <w:noProof/>
          <w:sz w:val="24"/>
          <w:szCs w:val="24"/>
        </w:rPr>
        <w:tab/>
        <w:t xml:space="preserve">Xie, J.; Wang, J.; Niu, G.; Huang, J.; Chen, K.; Li, X.; Chen, X. Human Serum Albumin Coated Iron Oxide Nanoparticles for Efficient Cell Labeling. </w:t>
      </w:r>
      <w:r w:rsidRPr="00827F8E">
        <w:rPr>
          <w:rFonts w:ascii="Arial" w:hAnsi="Arial" w:cs="Arial"/>
          <w:i/>
          <w:iCs/>
          <w:noProof/>
          <w:sz w:val="24"/>
          <w:szCs w:val="24"/>
        </w:rPr>
        <w:t>Chem. Commun.</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46</w:t>
      </w:r>
      <w:r w:rsidRPr="00827F8E">
        <w:rPr>
          <w:rFonts w:ascii="Arial" w:hAnsi="Arial" w:cs="Arial"/>
          <w:noProof/>
          <w:sz w:val="24"/>
          <w:szCs w:val="24"/>
        </w:rPr>
        <w:t xml:space="preserve"> (3), 433–435. https://doi.org/10.1039/b917195a.</w:t>
      </w:r>
    </w:p>
    <w:p w14:paraId="53A39DC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(160)</w:t>
      </w:r>
      <w:r w:rsidRPr="00827F8E">
        <w:rPr>
          <w:rFonts w:ascii="Arial" w:hAnsi="Arial" w:cs="Arial"/>
          <w:noProof/>
          <w:sz w:val="24"/>
          <w:szCs w:val="24"/>
        </w:rPr>
        <w:tab/>
        <w:t xml:space="preserve">Zhang, J.; Nie, S.; Zu, Y.; Abbasi, M.; Cao, J.; Li, C.; Wu, D.; Labib, S.; Brackee, G.; Shen, C.-L.; Wang, S. Anti-Atherogenic Effects of CD36-Targeted Epigallocatechin Gallate-Loaded Nanoparticles. </w:t>
      </w:r>
      <w:r w:rsidRPr="00827F8E">
        <w:rPr>
          <w:rFonts w:ascii="Arial" w:hAnsi="Arial" w:cs="Arial"/>
          <w:i/>
          <w:iCs/>
          <w:noProof/>
          <w:sz w:val="24"/>
          <w:szCs w:val="24"/>
        </w:rPr>
        <w:t>J. Control. Release</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303</w:t>
      </w:r>
      <w:r w:rsidRPr="00827F8E">
        <w:rPr>
          <w:rFonts w:ascii="Arial" w:hAnsi="Arial" w:cs="Arial"/>
          <w:noProof/>
          <w:sz w:val="24"/>
          <w:szCs w:val="24"/>
        </w:rPr>
        <w:t>, 263–273. https://doi.org/10.1016/j.jconrel.2019.04.018.</w:t>
      </w:r>
    </w:p>
    <w:p w14:paraId="46E8B50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(161)</w:t>
      </w:r>
      <w:r w:rsidRPr="00827F8E">
        <w:rPr>
          <w:rFonts w:ascii="Arial" w:hAnsi="Arial" w:cs="Arial"/>
          <w:noProof/>
          <w:sz w:val="24"/>
          <w:szCs w:val="24"/>
        </w:rPr>
        <w:tab/>
        <w:t xml:space="preserve">Kelley, J. L.; Ozment, T. R.; Li, C.; Schweitzer, J. B.; Williams, D. L. Scavenger Receptor-A (CD204): A Two-Edged Sword in Health and Disease. </w:t>
      </w:r>
      <w:r w:rsidRPr="00827F8E">
        <w:rPr>
          <w:rFonts w:ascii="Arial" w:hAnsi="Arial" w:cs="Arial"/>
          <w:i/>
          <w:iCs/>
          <w:noProof/>
          <w:sz w:val="24"/>
          <w:szCs w:val="24"/>
        </w:rPr>
        <w:t>Crit. Rev. Immunol.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34</w:t>
      </w:r>
      <w:r w:rsidRPr="00827F8E">
        <w:rPr>
          <w:rFonts w:ascii="Arial" w:hAnsi="Arial" w:cs="Arial"/>
          <w:noProof/>
          <w:sz w:val="24"/>
          <w:szCs w:val="24"/>
        </w:rPr>
        <w:t xml:space="preserve"> (3), 241–261. https://doi.org/10.1615/CritRevImmunol.2014010267.</w:t>
      </w:r>
    </w:p>
    <w:p w14:paraId="6876CB2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(162)</w:t>
      </w:r>
      <w:r w:rsidRPr="00827F8E">
        <w:rPr>
          <w:rFonts w:ascii="Arial" w:hAnsi="Arial" w:cs="Arial"/>
          <w:noProof/>
          <w:sz w:val="24"/>
          <w:szCs w:val="24"/>
        </w:rPr>
        <w:tab/>
        <w:t xml:space="preserve">Dunzendorfer, S.; Lee, H.-K.; Soldau, K.; Tobias, P. S. TLR4 Is the Signaling but Not the Lipopolysaccharide Uptake Receptor. </w:t>
      </w:r>
      <w:r w:rsidRPr="00827F8E">
        <w:rPr>
          <w:rFonts w:ascii="Arial" w:hAnsi="Arial" w:cs="Arial"/>
          <w:i/>
          <w:iCs/>
          <w:noProof/>
          <w:sz w:val="24"/>
          <w:szCs w:val="24"/>
        </w:rPr>
        <w:t>J. Immunol.</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173</w:t>
      </w:r>
      <w:r w:rsidRPr="00827F8E">
        <w:rPr>
          <w:rFonts w:ascii="Arial" w:hAnsi="Arial" w:cs="Arial"/>
          <w:noProof/>
          <w:sz w:val="24"/>
          <w:szCs w:val="24"/>
        </w:rPr>
        <w:t xml:space="preserve"> (2), 1166–1170. https://doi.org/10.4049/jimmunol.173.2.1166.</w:t>
      </w:r>
    </w:p>
    <w:p w14:paraId="305C74A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(163)</w:t>
      </w:r>
      <w:r w:rsidRPr="00827F8E">
        <w:rPr>
          <w:rFonts w:ascii="Arial" w:hAnsi="Arial" w:cs="Arial"/>
          <w:noProof/>
          <w:sz w:val="24"/>
          <w:szCs w:val="24"/>
        </w:rPr>
        <w:tab/>
        <w:t xml:space="preserve">Lipinski, M. J.; Amirbekian, V.; Frias, J. C.; Aguinaldo, J. G. S.; Mani, V.; Briley-Saebo, K. C.; Fuster, V.; Fallon, J. T.; Fisher, E. A.; Fayad, Z. A. MRI to Detect Atherosclerosis with Gadolinium-Containing Immunomicelles Targeting the Macrophage Scavenger Receptor. </w:t>
      </w:r>
      <w:r w:rsidRPr="00827F8E">
        <w:rPr>
          <w:rFonts w:ascii="Arial" w:hAnsi="Arial" w:cs="Arial"/>
          <w:i/>
          <w:iCs/>
          <w:noProof/>
          <w:sz w:val="24"/>
          <w:szCs w:val="24"/>
        </w:rPr>
        <w:t>Magn. Reson. Med.</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56</w:t>
      </w:r>
      <w:r w:rsidRPr="00827F8E">
        <w:rPr>
          <w:rFonts w:ascii="Arial" w:hAnsi="Arial" w:cs="Arial"/>
          <w:noProof/>
          <w:sz w:val="24"/>
          <w:szCs w:val="24"/>
        </w:rPr>
        <w:t xml:space="preserve"> (3), 601–610. https://doi.org/10.1002/mrm.20995.</w:t>
      </w:r>
    </w:p>
    <w:p w14:paraId="65F5050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(164)</w:t>
      </w:r>
      <w:r w:rsidRPr="00827F8E">
        <w:rPr>
          <w:rFonts w:ascii="Arial" w:hAnsi="Arial" w:cs="Arial"/>
          <w:noProof/>
          <w:sz w:val="24"/>
          <w:szCs w:val="24"/>
        </w:rPr>
        <w:tab/>
        <w:t xml:space="preserve">Zhang, X.; Sessa, W. C.; Fernández-Hernando, C. Endothelial Transcytosis of Lipoproteins in Atherosclerosis. </w:t>
      </w:r>
      <w:r w:rsidRPr="00827F8E">
        <w:rPr>
          <w:rFonts w:ascii="Arial" w:hAnsi="Arial" w:cs="Arial"/>
          <w:i/>
          <w:iCs/>
          <w:noProof/>
          <w:sz w:val="24"/>
          <w:szCs w:val="24"/>
        </w:rPr>
        <w:t>Front. Cardiovasc. Med.</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(September), 1–6. https://doi.org/10.3389/fcvm.2018.00130.</w:t>
      </w:r>
    </w:p>
    <w:p w14:paraId="03D0061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(165)</w:t>
      </w:r>
      <w:r w:rsidRPr="00827F8E">
        <w:rPr>
          <w:rFonts w:ascii="Arial" w:hAnsi="Arial" w:cs="Arial"/>
          <w:noProof/>
          <w:sz w:val="24"/>
          <w:szCs w:val="24"/>
        </w:rPr>
        <w:tab/>
        <w:t xml:space="preserve">Strickland, D. K.; Gonias, S. L.; Argraves, W. S. Diverse Roles for the LDL Receptor Family. </w:t>
      </w:r>
      <w:r w:rsidRPr="00827F8E">
        <w:rPr>
          <w:rFonts w:ascii="Arial" w:hAnsi="Arial" w:cs="Arial"/>
          <w:i/>
          <w:iCs/>
          <w:noProof/>
          <w:sz w:val="24"/>
          <w:szCs w:val="24"/>
        </w:rPr>
        <w:t>Trends Endocrinol. Metab.</w:t>
      </w:r>
      <w:r w:rsidRPr="00827F8E">
        <w:rPr>
          <w:rFonts w:ascii="Arial" w:hAnsi="Arial" w:cs="Arial"/>
          <w:noProof/>
          <w:sz w:val="24"/>
          <w:szCs w:val="24"/>
        </w:rPr>
        <w:t xml:space="preserve"> </w:t>
      </w:r>
      <w:r w:rsidRPr="00827F8E">
        <w:rPr>
          <w:rFonts w:ascii="Arial" w:hAnsi="Arial" w:cs="Arial"/>
          <w:b/>
          <w:bCs/>
          <w:noProof/>
          <w:sz w:val="24"/>
          <w:szCs w:val="24"/>
        </w:rPr>
        <w:t>2002</w:t>
      </w:r>
      <w:r w:rsidRPr="00827F8E">
        <w:rPr>
          <w:rFonts w:ascii="Arial" w:hAnsi="Arial" w:cs="Arial"/>
          <w:noProof/>
          <w:sz w:val="24"/>
          <w:szCs w:val="24"/>
        </w:rPr>
        <w:t xml:space="preserve">, </w:t>
      </w:r>
      <w:r w:rsidRPr="00827F8E">
        <w:rPr>
          <w:rFonts w:ascii="Arial" w:hAnsi="Arial" w:cs="Arial"/>
          <w:i/>
          <w:iCs/>
          <w:noProof/>
          <w:sz w:val="24"/>
          <w:szCs w:val="24"/>
        </w:rPr>
        <w:t>13</w:t>
      </w:r>
      <w:r w:rsidRPr="00827F8E">
        <w:rPr>
          <w:rFonts w:ascii="Arial" w:hAnsi="Arial" w:cs="Arial"/>
          <w:noProof/>
          <w:sz w:val="24"/>
          <w:szCs w:val="24"/>
        </w:rPr>
        <w:t xml:space="preserve"> (2), 66–74. https://doi.org/10.1016/S1043-2760(01)00526-4.</w:t>
      </w:r>
    </w:p>
    <w:p w14:paraId="5E865A9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(166)</w:t>
      </w:r>
      <w:r w:rsidRPr="00827F8E">
        <w:rPr>
          <w:rFonts w:ascii="Arial" w:hAnsi="Arial" w:cs="Arial"/>
          <w:noProof/>
          <w:sz w:val="24"/>
          <w:szCs w:val="24"/>
        </w:rPr>
        <w:tab/>
        <w:t xml:space="preserve">Wang, Z.; Duan, X.; Lv, Y.; Zhao, Y. Low Density Lipoprotein Receptor (LDLR)-Targeted Lipid Nanoparticles for the Delivery of Sorafenib and Dihydroartemisinin </w:t>
      </w:r>
      <w:r w:rsidRPr="00827F8E">
        <w:rPr>
          <w:rFonts w:ascii="Arial" w:hAnsi="Arial" w:cs="Arial"/>
          <w:noProof/>
          <w:sz w:val="24"/>
          <w:szCs w:val="24"/>
        </w:rPr>
        <w:lastRenderedPageBreak/>
        <w:t xml:space="preserve">in Liver Cancers. </w:t>
      </w:r>
      <w:r w:rsidRPr="00827F8E">
        <w:rPr>
          <w:rFonts w:ascii="Arial" w:hAnsi="Arial" w:cs="Arial"/>
          <w:i/>
          <w:iCs/>
          <w:noProof/>
          <w:sz w:val="24"/>
          <w:szCs w:val="24"/>
        </w:rPr>
        <w:t>Life Sci.</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239</w:t>
      </w:r>
      <w:r w:rsidRPr="00827F8E">
        <w:rPr>
          <w:rFonts w:ascii="Arial" w:hAnsi="Arial" w:cs="Arial"/>
          <w:noProof/>
          <w:sz w:val="24"/>
          <w:szCs w:val="24"/>
        </w:rPr>
        <w:t>, 117013. https://doi.org/10.1016/j.lfs.2019.117013.</w:t>
      </w:r>
    </w:p>
    <w:p w14:paraId="634D986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(167)</w:t>
      </w:r>
      <w:r w:rsidRPr="00827F8E">
        <w:rPr>
          <w:rFonts w:ascii="Arial" w:hAnsi="Arial" w:cs="Arial"/>
          <w:noProof/>
          <w:sz w:val="24"/>
          <w:szCs w:val="24"/>
        </w:rPr>
        <w:tab/>
        <w:t xml:space="preserve">Pyzik, M.; Sand, K. M. K.; Hubbard, J. J.; Andersen, J. T.; Sandlie, I.; Blumberg, R. S. The Neonatal Fc Receptor (FcRn): A Misnomer? </w:t>
      </w:r>
      <w:r w:rsidRPr="00827F8E">
        <w:rPr>
          <w:rFonts w:ascii="Arial" w:hAnsi="Arial" w:cs="Arial"/>
          <w:i/>
          <w:iCs/>
          <w:noProof/>
          <w:sz w:val="24"/>
          <w:szCs w:val="24"/>
        </w:rPr>
        <w:t>Front. Immunol.</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(JULY). https://doi.org/10.3389/fimmu.2019.01540.</w:t>
      </w:r>
    </w:p>
    <w:p w14:paraId="32DCDA4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(168)</w:t>
      </w:r>
      <w:r w:rsidRPr="00827F8E">
        <w:rPr>
          <w:rFonts w:ascii="Arial" w:hAnsi="Arial" w:cs="Arial"/>
          <w:noProof/>
          <w:sz w:val="24"/>
          <w:szCs w:val="24"/>
        </w:rPr>
        <w:tab/>
        <w:t xml:space="preserve">Pridgen, E. M.; Alexis, F.; Kuo, T. T.; Levy-Nissenbaum, E.; Karnik, R.; Blumberg, R. S.; Langer, R.; Farokhzad, O. C. Transepithelial Transport of Fc-Targeted Nanoparticles by the Neonatal Fc Receptor for Oral Delivery. </w:t>
      </w:r>
      <w:r w:rsidRPr="00827F8E">
        <w:rPr>
          <w:rFonts w:ascii="Arial" w:hAnsi="Arial" w:cs="Arial"/>
          <w:i/>
          <w:iCs/>
          <w:noProof/>
          <w:sz w:val="24"/>
          <w:szCs w:val="24"/>
        </w:rPr>
        <w:t>Sci. Transl. Med.</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(213), 213ra167-213ra167. https://doi.org/10.1126/scitranslmed.3007049.</w:t>
      </w:r>
    </w:p>
    <w:p w14:paraId="5DAE790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(169)</w:t>
      </w:r>
      <w:r w:rsidRPr="00827F8E">
        <w:rPr>
          <w:rFonts w:ascii="Arial" w:hAnsi="Arial" w:cs="Arial"/>
          <w:noProof/>
          <w:sz w:val="24"/>
          <w:szCs w:val="24"/>
        </w:rPr>
        <w:tab/>
        <w:t xml:space="preserve">Goebl, N. A.; Babbey, C. M.; Datta-Mannan, A.; Witcher, D. R.; Wroblewski, V. J.; Dunn, K. W. Neonatal Fc Receptor Mediates Internalization of Fc in Transfected Human Endothelial Cells.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(12), 5490–5505. https://doi.org/10.1091/mbc.e07-02-0101.</w:t>
      </w:r>
    </w:p>
    <w:p w14:paraId="096529C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(170)</w:t>
      </w:r>
      <w:r w:rsidRPr="00827F8E">
        <w:rPr>
          <w:rFonts w:ascii="Arial" w:hAnsi="Arial" w:cs="Arial"/>
          <w:noProof/>
          <w:sz w:val="24"/>
          <w:szCs w:val="24"/>
        </w:rPr>
        <w:tab/>
        <w:t xml:space="preserve">Mayle, K. M.; Le, A. M.; Kamei, D. T. The Intracellular Trafficking Pathway of Transferrin. </w:t>
      </w:r>
      <w:r w:rsidRPr="00827F8E">
        <w:rPr>
          <w:rFonts w:ascii="Arial" w:hAnsi="Arial" w:cs="Arial"/>
          <w:i/>
          <w:iCs/>
          <w:noProof/>
          <w:sz w:val="24"/>
          <w:szCs w:val="24"/>
        </w:rPr>
        <w:t>Biochim. Biophys. Acta - Gen. Subj.</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1820</w:t>
      </w:r>
      <w:r w:rsidRPr="00827F8E">
        <w:rPr>
          <w:rFonts w:ascii="Arial" w:hAnsi="Arial" w:cs="Arial"/>
          <w:noProof/>
          <w:sz w:val="24"/>
          <w:szCs w:val="24"/>
        </w:rPr>
        <w:t xml:space="preserve"> (3), 264–281. https://doi.org/10.1016/j.bbagen.2011.09.009.</w:t>
      </w:r>
    </w:p>
    <w:p w14:paraId="090182C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(171)</w:t>
      </w:r>
      <w:r w:rsidRPr="00827F8E">
        <w:rPr>
          <w:rFonts w:ascii="Arial" w:hAnsi="Arial" w:cs="Arial"/>
          <w:noProof/>
          <w:sz w:val="24"/>
          <w:szCs w:val="24"/>
        </w:rPr>
        <w:tab/>
        <w:t xml:space="preserve">Li, H.; Qian, Z. M. Transferrin/Transferrin Receptor-Mediated Drug Delivery. </w:t>
      </w:r>
      <w:r w:rsidRPr="00827F8E">
        <w:rPr>
          <w:rFonts w:ascii="Arial" w:hAnsi="Arial" w:cs="Arial"/>
          <w:i/>
          <w:iCs/>
          <w:noProof/>
          <w:sz w:val="24"/>
          <w:szCs w:val="24"/>
        </w:rPr>
        <w:t>Med. Res. Rev.</w:t>
      </w:r>
      <w:r w:rsidRPr="00827F8E">
        <w:rPr>
          <w:rFonts w:ascii="Arial" w:hAnsi="Arial" w:cs="Arial"/>
          <w:noProof/>
          <w:sz w:val="24"/>
          <w:szCs w:val="24"/>
        </w:rPr>
        <w:t xml:space="preserve"> </w:t>
      </w:r>
      <w:r w:rsidRPr="00827F8E">
        <w:rPr>
          <w:rFonts w:ascii="Arial" w:hAnsi="Arial" w:cs="Arial"/>
          <w:b/>
          <w:bCs/>
          <w:noProof/>
          <w:sz w:val="24"/>
          <w:szCs w:val="24"/>
        </w:rPr>
        <w:t>2002</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(3), 225–250. https://doi.org/10.1002/med.10008.</w:t>
      </w:r>
    </w:p>
    <w:p w14:paraId="1A02D5F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(172)</w:t>
      </w:r>
      <w:r w:rsidRPr="00827F8E">
        <w:rPr>
          <w:rFonts w:ascii="Arial" w:hAnsi="Arial" w:cs="Arial"/>
          <w:noProof/>
          <w:sz w:val="24"/>
          <w:szCs w:val="24"/>
        </w:rPr>
        <w:tab/>
        <w:t xml:space="preserve">Chang, J.; Jallouli, Y.; Kroubi, M.; Yuan, X.; Feng, W.; Kang, C.; Pu, P.; Betbeder, D. Characterization of Endocytosis of Transferrin-Coated PLGA Nanoparticles by the Blood–Brain Barrier. </w:t>
      </w:r>
      <w:r w:rsidRPr="00827F8E">
        <w:rPr>
          <w:rFonts w:ascii="Arial" w:hAnsi="Arial" w:cs="Arial"/>
          <w:i/>
          <w:iCs/>
          <w:noProof/>
          <w:sz w:val="24"/>
          <w:szCs w:val="24"/>
        </w:rPr>
        <w:t>Int. J. Pharm.</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379</w:t>
      </w:r>
      <w:r w:rsidRPr="00827F8E">
        <w:rPr>
          <w:rFonts w:ascii="Arial" w:hAnsi="Arial" w:cs="Arial"/>
          <w:noProof/>
          <w:sz w:val="24"/>
          <w:szCs w:val="24"/>
        </w:rPr>
        <w:t xml:space="preserve"> (2), 285–292. https://doi.org/10.1016/j.ijpharm.2009.04.035.</w:t>
      </w:r>
    </w:p>
    <w:p w14:paraId="79D693F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(173)</w:t>
      </w:r>
      <w:r w:rsidRPr="00827F8E">
        <w:rPr>
          <w:rFonts w:ascii="Arial" w:hAnsi="Arial" w:cs="Arial"/>
          <w:noProof/>
          <w:sz w:val="24"/>
          <w:szCs w:val="24"/>
        </w:rPr>
        <w:tab/>
        <w:t xml:space="preserve">Choi, C. H. J.; Alabi, C. A.; Webster, P.; Davis, M. E. Mechanism of Active Targeting in Solid Tumors with Transferrin-Containing Gold Nanoparticles.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107</w:t>
      </w:r>
      <w:r w:rsidRPr="00827F8E">
        <w:rPr>
          <w:rFonts w:ascii="Arial" w:hAnsi="Arial" w:cs="Arial"/>
          <w:noProof/>
          <w:sz w:val="24"/>
          <w:szCs w:val="24"/>
        </w:rPr>
        <w:t xml:space="preserve"> (3), 1235–1240. https://doi.org/10.1073/pnas.0914140107.</w:t>
      </w:r>
    </w:p>
    <w:p w14:paraId="37F6FF3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(174)</w:t>
      </w:r>
      <w:r w:rsidRPr="00827F8E">
        <w:rPr>
          <w:rFonts w:ascii="Arial" w:hAnsi="Arial" w:cs="Arial"/>
          <w:noProof/>
          <w:sz w:val="24"/>
          <w:szCs w:val="24"/>
        </w:rPr>
        <w:tab/>
        <w:t xml:space="preserve">Bryant, D. M.; Kerr, M. C.; Hammond, L. A.; Joseph, S. R.; Mostov, K. E.; Teasdale, R. D.; Stow, J. L. EGF Induces Macropinocytosis and SNX1-Modulated Recycling of E-Cadherin.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2007</w:t>
      </w:r>
      <w:r w:rsidRPr="00827F8E">
        <w:rPr>
          <w:rFonts w:ascii="Arial" w:hAnsi="Arial" w:cs="Arial"/>
          <w:noProof/>
          <w:sz w:val="24"/>
          <w:szCs w:val="24"/>
        </w:rPr>
        <w:t xml:space="preserve">, </w:t>
      </w:r>
      <w:r w:rsidRPr="00827F8E">
        <w:rPr>
          <w:rFonts w:ascii="Arial" w:hAnsi="Arial" w:cs="Arial"/>
          <w:i/>
          <w:iCs/>
          <w:noProof/>
          <w:sz w:val="24"/>
          <w:szCs w:val="24"/>
        </w:rPr>
        <w:t>120</w:t>
      </w:r>
      <w:r w:rsidRPr="00827F8E">
        <w:rPr>
          <w:rFonts w:ascii="Arial" w:hAnsi="Arial" w:cs="Arial"/>
          <w:noProof/>
          <w:sz w:val="24"/>
          <w:szCs w:val="24"/>
        </w:rPr>
        <w:t xml:space="preserve"> (10), 1818–1828. https://doi.org/10.1242/jcs.000653.</w:t>
      </w:r>
    </w:p>
    <w:p w14:paraId="19A89E8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(175)</w:t>
      </w:r>
      <w:r w:rsidRPr="00827F8E">
        <w:rPr>
          <w:rFonts w:ascii="Arial" w:hAnsi="Arial" w:cs="Arial"/>
          <w:noProof/>
          <w:sz w:val="24"/>
          <w:szCs w:val="24"/>
        </w:rPr>
        <w:tab/>
        <w:t xml:space="preserve">Herbst, R. S. Review of Epidermal Growth Factor Receptor Biology. </w:t>
      </w:r>
      <w:r w:rsidRPr="00827F8E">
        <w:rPr>
          <w:rFonts w:ascii="Arial" w:hAnsi="Arial" w:cs="Arial"/>
          <w:i/>
          <w:iCs/>
          <w:noProof/>
          <w:sz w:val="24"/>
          <w:szCs w:val="24"/>
        </w:rPr>
        <w:t>Int. J. Radiat. Oncol. Biol. Phys.</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59</w:t>
      </w:r>
      <w:r w:rsidRPr="00827F8E">
        <w:rPr>
          <w:rFonts w:ascii="Arial" w:hAnsi="Arial" w:cs="Arial"/>
          <w:noProof/>
          <w:sz w:val="24"/>
          <w:szCs w:val="24"/>
        </w:rPr>
        <w:t xml:space="preserve"> (2 SUPPL.), S21–S26. https://doi.org/10.1016/j.ijrobp.2003.11.041.</w:t>
      </w:r>
    </w:p>
    <w:p w14:paraId="74D7069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(176)</w:t>
      </w:r>
      <w:r w:rsidRPr="00827F8E">
        <w:rPr>
          <w:rFonts w:ascii="Arial" w:hAnsi="Arial" w:cs="Arial"/>
          <w:noProof/>
          <w:sz w:val="24"/>
          <w:szCs w:val="24"/>
        </w:rPr>
        <w:tab/>
        <w:t xml:space="preserve">Sugahara, K. N.; Teesalu, T.; Karmali, P. P.; Kotamraju, V. R.; Agemy, L.; Greenwald, D. R.; Ruoslahti, E. Coadministration of a Tumor-Penetrating Peptide Enhances the Efficacy of Cancer Drugs. </w:t>
      </w:r>
      <w:r w:rsidRPr="00827F8E">
        <w:rPr>
          <w:rFonts w:ascii="Arial" w:hAnsi="Arial" w:cs="Arial"/>
          <w:i/>
          <w:iCs/>
          <w:noProof/>
          <w:sz w:val="24"/>
          <w:szCs w:val="24"/>
        </w:rPr>
        <w:t>Science (80-. ).</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328</w:t>
      </w:r>
      <w:r w:rsidRPr="00827F8E">
        <w:rPr>
          <w:rFonts w:ascii="Arial" w:hAnsi="Arial" w:cs="Arial"/>
          <w:noProof/>
          <w:sz w:val="24"/>
          <w:szCs w:val="24"/>
        </w:rPr>
        <w:t xml:space="preserve"> (5981), 1031–1035. https://doi.org/10.1126/science.1183057.</w:t>
      </w:r>
    </w:p>
    <w:p w14:paraId="7825F09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(177)</w:t>
      </w:r>
      <w:r w:rsidRPr="00827F8E">
        <w:rPr>
          <w:rFonts w:ascii="Arial" w:hAnsi="Arial" w:cs="Arial"/>
          <w:noProof/>
          <w:sz w:val="24"/>
          <w:szCs w:val="24"/>
        </w:rPr>
        <w:tab/>
        <w:t xml:space="preserve">Singh, R. D.; Puri, V.; Valiyaveettil, J. T.; Marks, D. L.; Bittman, R.; Pagano, R. E. Selective Caveolin-1–Dependent Endocytosis of Glycosphingolipids.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(8), 3254–3265. https://doi.org/10.1091/mbc.e02-12-0809.</w:t>
      </w:r>
    </w:p>
    <w:p w14:paraId="628B507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(178)</w:t>
      </w:r>
      <w:r w:rsidRPr="00827F8E">
        <w:rPr>
          <w:rFonts w:ascii="Arial" w:hAnsi="Arial" w:cs="Arial"/>
          <w:noProof/>
          <w:sz w:val="24"/>
          <w:szCs w:val="24"/>
        </w:rPr>
        <w:tab/>
        <w:t xml:space="preserve">Lin, H. P.; Singla, B.; Ghoshal, P.; Faulkner, J. L.; Cherian-Shaw, M.; O’Connor, P. M.; She, J. X.; Belin de Chantemele, E. J.; Csányi, G. Identification of Novel Macropinocytosis Inhibitors Using a Rational Screen of Food and Drug Administration-Approved Drugs. </w:t>
      </w:r>
      <w:r w:rsidRPr="00827F8E">
        <w:rPr>
          <w:rFonts w:ascii="Arial" w:hAnsi="Arial" w:cs="Arial"/>
          <w:i/>
          <w:iCs/>
          <w:noProof/>
          <w:sz w:val="24"/>
          <w:szCs w:val="24"/>
        </w:rPr>
        <w:t>Br. J. Pharmacol.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175</w:t>
      </w:r>
      <w:r w:rsidRPr="00827F8E">
        <w:rPr>
          <w:rFonts w:ascii="Arial" w:hAnsi="Arial" w:cs="Arial"/>
          <w:noProof/>
          <w:sz w:val="24"/>
          <w:szCs w:val="24"/>
        </w:rPr>
        <w:t xml:space="preserve"> (18), 3640–3655. https://doi.org/10.1111/bph.14429.</w:t>
      </w:r>
    </w:p>
    <w:p w14:paraId="159B5C1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(179)</w:t>
      </w:r>
      <w:r w:rsidRPr="00827F8E">
        <w:rPr>
          <w:rFonts w:ascii="Arial" w:hAnsi="Arial" w:cs="Arial"/>
          <w:noProof/>
          <w:sz w:val="24"/>
          <w:szCs w:val="24"/>
        </w:rPr>
        <w:tab/>
        <w:t xml:space="preserve">Li, Y.; Monteiro-Riviere, N. A. Mechanisms of Cell Uptake, Inflammatory Potential and Protein Corona Effects with Gold Nanoparticles. </w:t>
      </w:r>
      <w:r w:rsidRPr="00827F8E">
        <w:rPr>
          <w:rFonts w:ascii="Arial" w:hAnsi="Arial" w:cs="Arial"/>
          <w:i/>
          <w:iCs/>
          <w:noProof/>
          <w:sz w:val="24"/>
          <w:szCs w:val="24"/>
        </w:rPr>
        <w:t>Nanomedicine</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(24), 3185–3203. https://doi.org/10.2217/nnm-2016-0303.</w:t>
      </w:r>
    </w:p>
    <w:p w14:paraId="0429D82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(180)</w:t>
      </w:r>
      <w:r w:rsidRPr="00827F8E">
        <w:rPr>
          <w:rFonts w:ascii="Arial" w:hAnsi="Arial" w:cs="Arial"/>
          <w:noProof/>
          <w:sz w:val="24"/>
          <w:szCs w:val="24"/>
        </w:rPr>
        <w:tab/>
        <w:t xml:space="preserve">Donahue, N. D.; Francek, E. R.; Kiyotake, E.; Thomas, E. E.; Yang, W.; Wang, L.; Detamore, M. S.; Wilhelm, S. Assessing Nanoparticle Colloidal Stability with Single-Particle Inductively Coupled Plasma Mass Spectrometry (SP-ICP-MS). </w:t>
      </w:r>
      <w:r w:rsidRPr="00827F8E">
        <w:rPr>
          <w:rFonts w:ascii="Arial" w:hAnsi="Arial" w:cs="Arial"/>
          <w:i/>
          <w:iCs/>
          <w:noProof/>
          <w:sz w:val="24"/>
          <w:szCs w:val="24"/>
        </w:rPr>
        <w:t>Anal. Bioanal. Chem.</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412</w:t>
      </w:r>
      <w:r w:rsidRPr="00827F8E">
        <w:rPr>
          <w:rFonts w:ascii="Arial" w:hAnsi="Arial" w:cs="Arial"/>
          <w:noProof/>
          <w:sz w:val="24"/>
          <w:szCs w:val="24"/>
        </w:rPr>
        <w:t xml:space="preserve"> (22), 5205–5216. https://doi.org/10.1007/s00216-020-02783-6.</w:t>
      </w:r>
    </w:p>
    <w:p w14:paraId="5455D6D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(181)</w:t>
      </w:r>
      <w:r w:rsidRPr="00827F8E">
        <w:rPr>
          <w:rFonts w:ascii="Arial" w:hAnsi="Arial" w:cs="Arial"/>
          <w:noProof/>
          <w:sz w:val="24"/>
          <w:szCs w:val="24"/>
        </w:rPr>
        <w:tab/>
        <w:t>Wilhelm, S.; Bensen, R. C.; Kothapalli, N. R.; Burgett, A. W. G.; Merrifield, R.; Stephan, C. Quantification of Gold Nanoparticle Uptake into Cancer Cells Using Single Cell ICP-MS, PerkinElmer Appl. Note. PerkinElmer Appl. 2018.</w:t>
      </w:r>
    </w:p>
    <w:p w14:paraId="7C1FAFF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(182)</w:t>
      </w:r>
      <w:r w:rsidRPr="00827F8E">
        <w:rPr>
          <w:rFonts w:ascii="Arial" w:hAnsi="Arial" w:cs="Arial"/>
          <w:noProof/>
          <w:sz w:val="24"/>
          <w:szCs w:val="24"/>
        </w:rPr>
        <w:tab/>
        <w:t xml:space="preserve">Schnitzer, J. E.; Oh, P.; Pinney, E.; Allard, J. Filipin-Sensitive Caveolae-Mediated Transport in Endothelium: Reduced Transcytosis, Scavenger Endocytosis, and Capillary Permeability of Select Macromolecules.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1994</w:t>
      </w:r>
      <w:r w:rsidRPr="00827F8E">
        <w:rPr>
          <w:rFonts w:ascii="Arial" w:hAnsi="Arial" w:cs="Arial"/>
          <w:noProof/>
          <w:sz w:val="24"/>
          <w:szCs w:val="24"/>
        </w:rPr>
        <w:t xml:space="preserve">, </w:t>
      </w:r>
      <w:r w:rsidRPr="00827F8E">
        <w:rPr>
          <w:rFonts w:ascii="Arial" w:hAnsi="Arial" w:cs="Arial"/>
          <w:i/>
          <w:iCs/>
          <w:noProof/>
          <w:sz w:val="24"/>
          <w:szCs w:val="24"/>
        </w:rPr>
        <w:t>127</w:t>
      </w:r>
      <w:r w:rsidRPr="00827F8E">
        <w:rPr>
          <w:rFonts w:ascii="Arial" w:hAnsi="Arial" w:cs="Arial"/>
          <w:noProof/>
          <w:sz w:val="24"/>
          <w:szCs w:val="24"/>
        </w:rPr>
        <w:t xml:space="preserve"> (5), 1217–1232. https://doi.org/10.1083/jcb.127.5.1217.</w:t>
      </w:r>
    </w:p>
    <w:p w14:paraId="66ADDFC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(183)</w:t>
      </w:r>
      <w:r w:rsidRPr="00827F8E">
        <w:rPr>
          <w:rFonts w:ascii="Arial" w:hAnsi="Arial" w:cs="Arial"/>
          <w:noProof/>
          <w:sz w:val="24"/>
          <w:szCs w:val="24"/>
        </w:rPr>
        <w:tab/>
        <w:t xml:space="preserve">Chang, C.-C.; Wu, M.; Yuan, F. Role of Specific Endocytic Pathways in Electrotransfection of Cells. </w:t>
      </w:r>
      <w:r w:rsidRPr="00827F8E">
        <w:rPr>
          <w:rFonts w:ascii="Arial" w:hAnsi="Arial" w:cs="Arial"/>
          <w:i/>
          <w:iCs/>
          <w:noProof/>
          <w:sz w:val="24"/>
          <w:szCs w:val="24"/>
        </w:rPr>
        <w:t>Mol. Ther. - Methods Clin. Dev.</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1</w:t>
      </w:r>
      <w:r w:rsidRPr="00827F8E">
        <w:rPr>
          <w:rFonts w:ascii="Arial" w:hAnsi="Arial" w:cs="Arial"/>
          <w:noProof/>
          <w:sz w:val="24"/>
          <w:szCs w:val="24"/>
        </w:rPr>
        <w:t>, 14058. https://doi.org/10.1038/mtm.2014.58.</w:t>
      </w:r>
    </w:p>
    <w:p w14:paraId="376FDCA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(184)</w:t>
      </w:r>
      <w:r w:rsidRPr="00827F8E">
        <w:rPr>
          <w:rFonts w:ascii="Arial" w:hAnsi="Arial" w:cs="Arial"/>
          <w:noProof/>
          <w:sz w:val="24"/>
          <w:szCs w:val="24"/>
        </w:rPr>
        <w:tab/>
        <w:t xml:space="preserve">Ho, Y. T.; Kamm, R. D.; Kah, J. C. Y. Influence of Protein Corona and Caveolae-Mediated Endocytosis on Nanoparticle Uptake and Transcytosis. </w:t>
      </w:r>
      <w:r w:rsidRPr="00827F8E">
        <w:rPr>
          <w:rFonts w:ascii="Arial" w:hAnsi="Arial" w:cs="Arial"/>
          <w:i/>
          <w:iCs/>
          <w:noProof/>
          <w:sz w:val="24"/>
          <w:szCs w:val="24"/>
        </w:rPr>
        <w:t>Nanoscale</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(26), 12386–12397. https://doi.org/10.1039/c8nr02393j.</w:t>
      </w:r>
    </w:p>
    <w:p w14:paraId="5970749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(185)</w:t>
      </w:r>
      <w:r w:rsidRPr="00827F8E">
        <w:rPr>
          <w:rFonts w:ascii="Arial" w:hAnsi="Arial" w:cs="Arial"/>
          <w:noProof/>
          <w:sz w:val="24"/>
          <w:szCs w:val="24"/>
        </w:rPr>
        <w:tab/>
        <w:t xml:space="preserve">Ao, M.; Wu, L.; Zhou, X.; Chen, Y. Methyl-β-Cyclodextrin Impairs the Monocyte-Adhering Ability of Endothelial Cells by down-Regulating Adhesion Molecules and Caveolae and Reorganizing the Actin Cytoskeleton. </w:t>
      </w:r>
      <w:r w:rsidRPr="00827F8E">
        <w:rPr>
          <w:rFonts w:ascii="Arial" w:hAnsi="Arial" w:cs="Arial"/>
          <w:i/>
          <w:iCs/>
          <w:noProof/>
          <w:sz w:val="24"/>
          <w:szCs w:val="24"/>
        </w:rPr>
        <w:t>Biol. Pharm. Bull.</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39</w:t>
      </w:r>
      <w:r w:rsidRPr="00827F8E">
        <w:rPr>
          <w:rFonts w:ascii="Arial" w:hAnsi="Arial" w:cs="Arial"/>
          <w:noProof/>
          <w:sz w:val="24"/>
          <w:szCs w:val="24"/>
        </w:rPr>
        <w:t xml:space="preserve"> (6), 1029–1034. https://doi.org/10.1248/bpb.b16-00047.</w:t>
      </w:r>
    </w:p>
    <w:p w14:paraId="4A36A09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(186)</w:t>
      </w:r>
      <w:r w:rsidRPr="00827F8E">
        <w:rPr>
          <w:rFonts w:ascii="Arial" w:hAnsi="Arial" w:cs="Arial"/>
          <w:noProof/>
          <w:sz w:val="24"/>
          <w:szCs w:val="24"/>
        </w:rPr>
        <w:tab/>
        <w:t xml:space="preserve">Rodal, S. K.; Skretting, G.; Garred, Ø.; Vilhardt, F.; van Deurs, B.; Sandvig, K. Extraction of Cholesterol with Methyl-β-Cyclodextrin Perturbs Formation of Clathrin-Coated Endocytic Vesicles.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1999</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(4), 961–974. https://doi.org/10.1091/mbc.10.4.961.</w:t>
      </w:r>
    </w:p>
    <w:p w14:paraId="2CBBE73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(187)</w:t>
      </w:r>
      <w:r w:rsidRPr="00827F8E">
        <w:rPr>
          <w:rFonts w:ascii="Arial" w:hAnsi="Arial" w:cs="Arial"/>
          <w:noProof/>
          <w:sz w:val="24"/>
          <w:szCs w:val="24"/>
        </w:rPr>
        <w:tab/>
        <w:t xml:space="preserve">Schnitzer, J. E.; Allard, J.; Oh, P. NEM Inhibits Transcytosis, Endocytosis, and Capillary Permeability: Implication of Caveolae Fusion in Endothelia. </w:t>
      </w:r>
      <w:r w:rsidRPr="00827F8E">
        <w:rPr>
          <w:rFonts w:ascii="Arial" w:hAnsi="Arial" w:cs="Arial"/>
          <w:i/>
          <w:iCs/>
          <w:noProof/>
          <w:sz w:val="24"/>
          <w:szCs w:val="24"/>
        </w:rPr>
        <w:t>Am. J. Physiol. Circ. Physiol.</w:t>
      </w:r>
      <w:r w:rsidRPr="00827F8E">
        <w:rPr>
          <w:rFonts w:ascii="Arial" w:hAnsi="Arial" w:cs="Arial"/>
          <w:noProof/>
          <w:sz w:val="24"/>
          <w:szCs w:val="24"/>
        </w:rPr>
        <w:t xml:space="preserve"> </w:t>
      </w:r>
      <w:r w:rsidRPr="00827F8E">
        <w:rPr>
          <w:rFonts w:ascii="Arial" w:hAnsi="Arial" w:cs="Arial"/>
          <w:b/>
          <w:bCs/>
          <w:noProof/>
          <w:sz w:val="24"/>
          <w:szCs w:val="24"/>
        </w:rPr>
        <w:t>1995</w:t>
      </w:r>
      <w:r w:rsidRPr="00827F8E">
        <w:rPr>
          <w:rFonts w:ascii="Arial" w:hAnsi="Arial" w:cs="Arial"/>
          <w:noProof/>
          <w:sz w:val="24"/>
          <w:szCs w:val="24"/>
        </w:rPr>
        <w:t xml:space="preserve">, </w:t>
      </w:r>
      <w:r w:rsidRPr="00827F8E">
        <w:rPr>
          <w:rFonts w:ascii="Arial" w:hAnsi="Arial" w:cs="Arial"/>
          <w:i/>
          <w:iCs/>
          <w:noProof/>
          <w:sz w:val="24"/>
          <w:szCs w:val="24"/>
        </w:rPr>
        <w:t>268</w:t>
      </w:r>
      <w:r w:rsidRPr="00827F8E">
        <w:rPr>
          <w:rFonts w:ascii="Arial" w:hAnsi="Arial" w:cs="Arial"/>
          <w:noProof/>
          <w:sz w:val="24"/>
          <w:szCs w:val="24"/>
        </w:rPr>
        <w:t xml:space="preserve"> (1), H48–H55. https://doi.org/10.1152/ajpheart.1995.268.1.H48.</w:t>
      </w:r>
    </w:p>
    <w:p w14:paraId="3FA14C4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(188)</w:t>
      </w:r>
      <w:r w:rsidRPr="00827F8E">
        <w:rPr>
          <w:rFonts w:ascii="Arial" w:hAnsi="Arial" w:cs="Arial"/>
          <w:noProof/>
          <w:sz w:val="24"/>
          <w:szCs w:val="24"/>
        </w:rPr>
        <w:tab/>
        <w:t xml:space="preserve">Predescu, S. A.; Predescu, D. N.; Palade, G. E. Endothelial Transcytotic Machinery Involves Supramolecular Protein-Lipid Complexes.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(4), 1019–1033. https://doi.org/10.1091/mbc.12.4.1019.</w:t>
      </w:r>
    </w:p>
    <w:p w14:paraId="29F8BF0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(189)</w:t>
      </w:r>
      <w:r w:rsidRPr="00827F8E">
        <w:rPr>
          <w:rFonts w:ascii="Arial" w:hAnsi="Arial" w:cs="Arial"/>
          <w:noProof/>
          <w:sz w:val="24"/>
          <w:szCs w:val="24"/>
        </w:rPr>
        <w:tab/>
        <w:t xml:space="preserve">Huang, Y. Z.; Gao, J. Q.; Chen, J. L.; Liang, W. Q. Cationic Liposomes Modified with Non-Ionic Surfactants as Effective Non-Viral Carrier for Gene Transfer. </w:t>
      </w:r>
      <w:r w:rsidRPr="00827F8E">
        <w:rPr>
          <w:rFonts w:ascii="Arial" w:hAnsi="Arial" w:cs="Arial"/>
          <w:i/>
          <w:iCs/>
          <w:noProof/>
          <w:sz w:val="24"/>
          <w:szCs w:val="24"/>
        </w:rPr>
        <w:t>Colloids Surfaces B Biointerfaces</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49</w:t>
      </w:r>
      <w:r w:rsidRPr="00827F8E">
        <w:rPr>
          <w:rFonts w:ascii="Arial" w:hAnsi="Arial" w:cs="Arial"/>
          <w:noProof/>
          <w:sz w:val="24"/>
          <w:szCs w:val="24"/>
        </w:rPr>
        <w:t xml:space="preserve"> (2), 158–164. https://doi.org/10.1016/j.colsurfb.2006.03.014.</w:t>
      </w:r>
    </w:p>
    <w:p w14:paraId="46C4301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(190)</w:t>
      </w:r>
      <w:r w:rsidRPr="00827F8E">
        <w:rPr>
          <w:rFonts w:ascii="Arial" w:hAnsi="Arial" w:cs="Arial"/>
          <w:noProof/>
          <w:sz w:val="24"/>
          <w:szCs w:val="24"/>
        </w:rPr>
        <w:tab/>
        <w:t xml:space="preserve">Sandvig, K.; Llorente, A.; Rodal, S. K.; Eker, P.; Garred, Ø.; Stahlhut, M.; Van Deurs, B. Apical Macropinocytosis in Polarized MDCK Cells: Regulation by N-Ethylmaleimide-Sensitive Proteins. </w:t>
      </w:r>
      <w:r w:rsidRPr="00827F8E">
        <w:rPr>
          <w:rFonts w:ascii="Arial" w:hAnsi="Arial" w:cs="Arial"/>
          <w:i/>
          <w:iCs/>
          <w:noProof/>
          <w:sz w:val="24"/>
          <w:szCs w:val="24"/>
        </w:rPr>
        <w:t>Eur. J. Cell Biol.</w:t>
      </w:r>
      <w:r w:rsidRPr="00827F8E">
        <w:rPr>
          <w:rFonts w:ascii="Arial" w:hAnsi="Arial" w:cs="Arial"/>
          <w:noProof/>
          <w:sz w:val="24"/>
          <w:szCs w:val="24"/>
        </w:rPr>
        <w:t xml:space="preserve"> </w:t>
      </w:r>
      <w:r w:rsidRPr="00827F8E">
        <w:rPr>
          <w:rFonts w:ascii="Arial" w:hAnsi="Arial" w:cs="Arial"/>
          <w:b/>
          <w:bCs/>
          <w:noProof/>
          <w:sz w:val="24"/>
          <w:szCs w:val="24"/>
        </w:rPr>
        <w:t>2000</w:t>
      </w:r>
      <w:r w:rsidRPr="00827F8E">
        <w:rPr>
          <w:rFonts w:ascii="Arial" w:hAnsi="Arial" w:cs="Arial"/>
          <w:noProof/>
          <w:sz w:val="24"/>
          <w:szCs w:val="24"/>
        </w:rPr>
        <w:t xml:space="preserve">, </w:t>
      </w:r>
      <w:r w:rsidRPr="00827F8E">
        <w:rPr>
          <w:rFonts w:ascii="Arial" w:hAnsi="Arial" w:cs="Arial"/>
          <w:i/>
          <w:iCs/>
          <w:noProof/>
          <w:sz w:val="24"/>
          <w:szCs w:val="24"/>
        </w:rPr>
        <w:t>79</w:t>
      </w:r>
      <w:r w:rsidRPr="00827F8E">
        <w:rPr>
          <w:rFonts w:ascii="Arial" w:hAnsi="Arial" w:cs="Arial"/>
          <w:noProof/>
          <w:sz w:val="24"/>
          <w:szCs w:val="24"/>
        </w:rPr>
        <w:t xml:space="preserve"> (7), 447–457. https://doi.org/10.1078/0171-9335-00071.</w:t>
      </w:r>
    </w:p>
    <w:p w14:paraId="6F762BC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(191)</w:t>
      </w:r>
      <w:r w:rsidRPr="00827F8E">
        <w:rPr>
          <w:rFonts w:ascii="Arial" w:hAnsi="Arial" w:cs="Arial"/>
          <w:noProof/>
          <w:sz w:val="24"/>
          <w:szCs w:val="24"/>
        </w:rPr>
        <w:tab/>
        <w:t xml:space="preserve">Malyukova, I.; Murray, K. F.; Zhu, C.; Boedeker, E.; Kane, A.; Patterson, K.; Peterson, J. R.; Donowitz, M.; Kovbasnjuk, O. Macropinocytosis in Shiga Toxin 1 Uptake by Human Intestinal Epithelial Cells and Transcellular Transcytosis. </w:t>
      </w:r>
      <w:r w:rsidRPr="00827F8E">
        <w:rPr>
          <w:rFonts w:ascii="Arial" w:hAnsi="Arial" w:cs="Arial"/>
          <w:i/>
          <w:iCs/>
          <w:noProof/>
          <w:sz w:val="24"/>
          <w:szCs w:val="24"/>
        </w:rPr>
        <w:t>Am. J. Physiol. Liver Physiol.</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296</w:t>
      </w:r>
      <w:r w:rsidRPr="00827F8E">
        <w:rPr>
          <w:rFonts w:ascii="Arial" w:hAnsi="Arial" w:cs="Arial"/>
          <w:noProof/>
          <w:sz w:val="24"/>
          <w:szCs w:val="24"/>
        </w:rPr>
        <w:t xml:space="preserve"> (1), G78–G92. https://doi.org/10.1152/ajpgi.90347.2008.</w:t>
      </w:r>
    </w:p>
    <w:p w14:paraId="2379BB4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(192)</w:t>
      </w:r>
      <w:r w:rsidRPr="00827F8E">
        <w:rPr>
          <w:rFonts w:ascii="Arial" w:hAnsi="Arial" w:cs="Arial"/>
          <w:noProof/>
          <w:sz w:val="24"/>
          <w:szCs w:val="24"/>
        </w:rPr>
        <w:tab/>
        <w:t xml:space="preserve">Rothberg, K. G.; Heuser, J. E.; Donzell, W. C.; Ying, Y. S.; Glenney, J. R.; Anderson, R. G. W. Caveolin, a Protein Component of Caveolae Membrane Coats. </w:t>
      </w:r>
      <w:r w:rsidRPr="00827F8E">
        <w:rPr>
          <w:rFonts w:ascii="Arial" w:hAnsi="Arial" w:cs="Arial"/>
          <w:i/>
          <w:iCs/>
          <w:noProof/>
          <w:sz w:val="24"/>
          <w:szCs w:val="24"/>
        </w:rPr>
        <w:t>Cell</w:t>
      </w:r>
      <w:r w:rsidRPr="00827F8E">
        <w:rPr>
          <w:rFonts w:ascii="Arial" w:hAnsi="Arial" w:cs="Arial"/>
          <w:noProof/>
          <w:sz w:val="24"/>
          <w:szCs w:val="24"/>
        </w:rPr>
        <w:t xml:space="preserve"> </w:t>
      </w:r>
      <w:r w:rsidRPr="00827F8E">
        <w:rPr>
          <w:rFonts w:ascii="Arial" w:hAnsi="Arial" w:cs="Arial"/>
          <w:b/>
          <w:bCs/>
          <w:noProof/>
          <w:sz w:val="24"/>
          <w:szCs w:val="24"/>
        </w:rPr>
        <w:t>1992</w:t>
      </w:r>
      <w:r w:rsidRPr="00827F8E">
        <w:rPr>
          <w:rFonts w:ascii="Arial" w:hAnsi="Arial" w:cs="Arial"/>
          <w:noProof/>
          <w:sz w:val="24"/>
          <w:szCs w:val="24"/>
        </w:rPr>
        <w:t xml:space="preserve">, </w:t>
      </w:r>
      <w:r w:rsidRPr="00827F8E">
        <w:rPr>
          <w:rFonts w:ascii="Arial" w:hAnsi="Arial" w:cs="Arial"/>
          <w:i/>
          <w:iCs/>
          <w:noProof/>
          <w:sz w:val="24"/>
          <w:szCs w:val="24"/>
        </w:rPr>
        <w:t>68</w:t>
      </w:r>
      <w:r w:rsidRPr="00827F8E">
        <w:rPr>
          <w:rFonts w:ascii="Arial" w:hAnsi="Arial" w:cs="Arial"/>
          <w:noProof/>
          <w:sz w:val="24"/>
          <w:szCs w:val="24"/>
        </w:rPr>
        <w:t xml:space="preserve"> (4), 673–682. https://doi.org/10.1016/0092-8674(92)90143-Z.</w:t>
      </w:r>
    </w:p>
    <w:p w14:paraId="1012216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(193)</w:t>
      </w:r>
      <w:r w:rsidRPr="00827F8E">
        <w:rPr>
          <w:rFonts w:ascii="Arial" w:hAnsi="Arial" w:cs="Arial"/>
          <w:noProof/>
          <w:sz w:val="24"/>
          <w:szCs w:val="24"/>
        </w:rPr>
        <w:tab/>
        <w:t xml:space="preserve">Kim, J. H.; Singh, A.; Del Poeta, M.; Brown, D. A.; London, E. The Effect of Sterol Structure upon Clathrin-Mediated and Clathrin-Independent Endocytosis.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130</w:t>
      </w:r>
      <w:r w:rsidRPr="00827F8E">
        <w:rPr>
          <w:rFonts w:ascii="Arial" w:hAnsi="Arial" w:cs="Arial"/>
          <w:noProof/>
          <w:sz w:val="24"/>
          <w:szCs w:val="24"/>
        </w:rPr>
        <w:t xml:space="preserve"> (16), 2682–2695. https://doi.org/10.1242/jcs.201731.</w:t>
      </w:r>
    </w:p>
    <w:p w14:paraId="2298565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(194)</w:t>
      </w:r>
      <w:r w:rsidRPr="00827F8E">
        <w:rPr>
          <w:rFonts w:ascii="Arial" w:hAnsi="Arial" w:cs="Arial"/>
          <w:noProof/>
          <w:sz w:val="24"/>
          <w:szCs w:val="24"/>
        </w:rPr>
        <w:tab/>
        <w:t xml:space="preserve">Zhu, X.-D.; Zhuang, Y.; Ben, J.-J.; Qian, L.-L.; Huang, H.-P.; Bai, H.; Sha, J.-H.; He, Z.-G.; Chen, Q. Caveolae-Dependent Endocytosis Is Required for Class A Macrophage Scavenger Receptor-Mediated Apoptosis in Macrophages.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286</w:t>
      </w:r>
      <w:r w:rsidRPr="00827F8E">
        <w:rPr>
          <w:rFonts w:ascii="Arial" w:hAnsi="Arial" w:cs="Arial"/>
          <w:noProof/>
          <w:sz w:val="24"/>
          <w:szCs w:val="24"/>
        </w:rPr>
        <w:t xml:space="preserve"> (10), 8231–8239. https://doi.org/10.1074/jbc.M110.145888.</w:t>
      </w:r>
    </w:p>
    <w:p w14:paraId="493627D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(195)</w:t>
      </w:r>
      <w:r w:rsidRPr="00827F8E">
        <w:rPr>
          <w:rFonts w:ascii="Arial" w:hAnsi="Arial" w:cs="Arial"/>
          <w:noProof/>
          <w:sz w:val="24"/>
          <w:szCs w:val="24"/>
        </w:rPr>
        <w:tab/>
        <w:t xml:space="preserve">Puri, V.; Watanabe, R.; Singh, R. D.; Dominguez, M.; Brown, J. C.; Wheatley, C. L.; Marks, D. L.; Pagano, R. E. Clathrin-Dependent and -Independent Internalization of Plasma Membrane Sphingolipids Initiates Two Golgi Targeting Pathways.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154</w:t>
      </w:r>
      <w:r w:rsidRPr="00827F8E">
        <w:rPr>
          <w:rFonts w:ascii="Arial" w:hAnsi="Arial" w:cs="Arial"/>
          <w:noProof/>
          <w:sz w:val="24"/>
          <w:szCs w:val="24"/>
        </w:rPr>
        <w:t xml:space="preserve"> (3), 535–547. https://doi.org/10.1083/jcb.200102084.</w:t>
      </w:r>
    </w:p>
    <w:p w14:paraId="3DA35F3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(196)</w:t>
      </w:r>
      <w:r w:rsidRPr="00827F8E">
        <w:rPr>
          <w:rFonts w:ascii="Arial" w:hAnsi="Arial" w:cs="Arial"/>
          <w:noProof/>
          <w:sz w:val="24"/>
          <w:szCs w:val="24"/>
        </w:rPr>
        <w:tab/>
        <w:t xml:space="preserve">Kim, H. R.; Gil, S.; Andrieux, K.; Nicolas, V.; Appel, M.; Chacun, H.; Desmaële, D.; Taran, F.; Georgin, D.; Couvreur, P. Low-Density Lipoprotein Receptor-Mediated Endocytosis of PEGylated Nanoparticles in Rat Brain Endothelial Cells. </w:t>
      </w:r>
      <w:r w:rsidRPr="00827F8E">
        <w:rPr>
          <w:rFonts w:ascii="Arial" w:hAnsi="Arial" w:cs="Arial"/>
          <w:i/>
          <w:iCs/>
          <w:noProof/>
          <w:sz w:val="24"/>
          <w:szCs w:val="24"/>
        </w:rPr>
        <w:t>Cell. Mol. Life Sci.</w:t>
      </w:r>
      <w:r w:rsidRPr="00827F8E">
        <w:rPr>
          <w:rFonts w:ascii="Arial" w:hAnsi="Arial" w:cs="Arial"/>
          <w:noProof/>
          <w:sz w:val="24"/>
          <w:szCs w:val="24"/>
        </w:rPr>
        <w:t xml:space="preserve"> </w:t>
      </w:r>
      <w:r w:rsidRPr="00827F8E">
        <w:rPr>
          <w:rFonts w:ascii="Arial" w:hAnsi="Arial" w:cs="Arial"/>
          <w:b/>
          <w:bCs/>
          <w:noProof/>
          <w:sz w:val="24"/>
          <w:szCs w:val="24"/>
        </w:rPr>
        <w:t>2007</w:t>
      </w:r>
      <w:r w:rsidRPr="00827F8E">
        <w:rPr>
          <w:rFonts w:ascii="Arial" w:hAnsi="Arial" w:cs="Arial"/>
          <w:noProof/>
          <w:sz w:val="24"/>
          <w:szCs w:val="24"/>
        </w:rPr>
        <w:t xml:space="preserve">, </w:t>
      </w:r>
      <w:r w:rsidRPr="00827F8E">
        <w:rPr>
          <w:rFonts w:ascii="Arial" w:hAnsi="Arial" w:cs="Arial"/>
          <w:i/>
          <w:iCs/>
          <w:noProof/>
          <w:sz w:val="24"/>
          <w:szCs w:val="24"/>
        </w:rPr>
        <w:t>64</w:t>
      </w:r>
      <w:r w:rsidRPr="00827F8E">
        <w:rPr>
          <w:rFonts w:ascii="Arial" w:hAnsi="Arial" w:cs="Arial"/>
          <w:noProof/>
          <w:sz w:val="24"/>
          <w:szCs w:val="24"/>
        </w:rPr>
        <w:t xml:space="preserve"> (3), 356–364. https://doi.org/10.1007/s00018-007-6390-x.</w:t>
      </w:r>
    </w:p>
    <w:p w14:paraId="3F87867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(197)</w:t>
      </w:r>
      <w:r w:rsidRPr="00827F8E">
        <w:rPr>
          <w:rFonts w:ascii="Arial" w:hAnsi="Arial" w:cs="Arial"/>
          <w:noProof/>
          <w:sz w:val="24"/>
          <w:szCs w:val="24"/>
        </w:rPr>
        <w:tab/>
        <w:t xml:space="preserve">Vercauteren, D.; Vandenbroucke, R. E.; Jones, A. T.; Rejman, J.; Demeester, J.; De Smedt, S. C.; Sanders, N. N.; Braeckmans, K. The Use of Inhibitors to Study Endocytic Pathways of Gene Carriers: Optimization and Pitfalls. </w:t>
      </w:r>
      <w:r w:rsidRPr="00827F8E">
        <w:rPr>
          <w:rFonts w:ascii="Arial" w:hAnsi="Arial" w:cs="Arial"/>
          <w:i/>
          <w:iCs/>
          <w:noProof/>
          <w:sz w:val="24"/>
          <w:szCs w:val="24"/>
        </w:rPr>
        <w:t>Mol. Ther.</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18</w:t>
      </w:r>
      <w:r w:rsidRPr="00827F8E">
        <w:rPr>
          <w:rFonts w:ascii="Arial" w:hAnsi="Arial" w:cs="Arial"/>
          <w:noProof/>
          <w:sz w:val="24"/>
          <w:szCs w:val="24"/>
        </w:rPr>
        <w:t xml:space="preserve"> (3), 561–569. https://doi.org/10.1038/mt.2009.281.</w:t>
      </w:r>
    </w:p>
    <w:p w14:paraId="4D3F18E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(198)</w:t>
      </w:r>
      <w:r w:rsidRPr="00827F8E">
        <w:rPr>
          <w:rFonts w:ascii="Arial" w:hAnsi="Arial" w:cs="Arial"/>
          <w:noProof/>
          <w:sz w:val="24"/>
          <w:szCs w:val="24"/>
        </w:rPr>
        <w:tab/>
        <w:t xml:space="preserve">Sandvig, K.; Kavaliauskiene, S.; Skotland, T. Clathrin-Independent Endocytosis: An Increasing Degree of Complexity. </w:t>
      </w:r>
      <w:r w:rsidRPr="00827F8E">
        <w:rPr>
          <w:rFonts w:ascii="Arial" w:hAnsi="Arial" w:cs="Arial"/>
          <w:i/>
          <w:iCs/>
          <w:noProof/>
          <w:sz w:val="24"/>
          <w:szCs w:val="24"/>
        </w:rPr>
        <w:t>Histochem. Cell Biol.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150</w:t>
      </w:r>
      <w:r w:rsidRPr="00827F8E">
        <w:rPr>
          <w:rFonts w:ascii="Arial" w:hAnsi="Arial" w:cs="Arial"/>
          <w:noProof/>
          <w:sz w:val="24"/>
          <w:szCs w:val="24"/>
        </w:rPr>
        <w:t xml:space="preserve"> (2), 107–118. https://doi.org/10.1007/s00418-018-1678-5.</w:t>
      </w:r>
    </w:p>
    <w:p w14:paraId="08ABA8F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(199)</w:t>
      </w:r>
      <w:r w:rsidRPr="00827F8E">
        <w:rPr>
          <w:rFonts w:ascii="Arial" w:hAnsi="Arial" w:cs="Arial"/>
          <w:noProof/>
          <w:sz w:val="24"/>
          <w:szCs w:val="24"/>
        </w:rPr>
        <w:tab/>
        <w:t xml:space="preserve">Shu, L. Glycosphingolipid Mediated Caveolin-1 Oligomerization. </w:t>
      </w:r>
      <w:r w:rsidRPr="00827F8E">
        <w:rPr>
          <w:rFonts w:ascii="Arial" w:hAnsi="Arial" w:cs="Arial"/>
          <w:i/>
          <w:iCs/>
          <w:noProof/>
          <w:sz w:val="24"/>
          <w:szCs w:val="24"/>
        </w:rPr>
        <w:t>J. Glycomics Lipidomics</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01</w:t>
      </w:r>
      <w:r w:rsidRPr="00827F8E">
        <w:rPr>
          <w:rFonts w:ascii="Arial" w:hAnsi="Arial" w:cs="Arial"/>
          <w:noProof/>
          <w:sz w:val="24"/>
          <w:szCs w:val="24"/>
        </w:rPr>
        <w:t xml:space="preserve"> (S1), 3197–3210. https://doi.org/10.4172/2153-0637.S2-003.</w:t>
      </w:r>
    </w:p>
    <w:p w14:paraId="3C7EE5E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(200)</w:t>
      </w:r>
      <w:r w:rsidRPr="00827F8E">
        <w:rPr>
          <w:rFonts w:ascii="Arial" w:hAnsi="Arial" w:cs="Arial"/>
          <w:noProof/>
          <w:sz w:val="24"/>
          <w:szCs w:val="24"/>
        </w:rPr>
        <w:tab/>
        <w:t xml:space="preserve">Cheng, Z.-J.; Singh, R. D.; Sharma, D. K.; Holicky, E. L.; Hanada, K.; Marks, D. L.; Pagano, R. E. Distinct Mechanisms of Clathrin-Independent Endocytosis Have Unique Sphingolipid Requirements. </w:t>
      </w:r>
      <w:r w:rsidRPr="00827F8E">
        <w:rPr>
          <w:rFonts w:ascii="Arial" w:hAnsi="Arial" w:cs="Arial"/>
          <w:i/>
          <w:iCs/>
          <w:noProof/>
          <w:sz w:val="24"/>
          <w:szCs w:val="24"/>
        </w:rPr>
        <w:t>Mol. Biol. Cell</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17</w:t>
      </w:r>
      <w:r w:rsidRPr="00827F8E">
        <w:rPr>
          <w:rFonts w:ascii="Arial" w:hAnsi="Arial" w:cs="Arial"/>
          <w:noProof/>
          <w:sz w:val="24"/>
          <w:szCs w:val="24"/>
        </w:rPr>
        <w:t xml:space="preserve"> (7), 3197–3210. https://doi.org/10.1091/mbc.e05-12-1101.</w:t>
      </w:r>
    </w:p>
    <w:p w14:paraId="6B46894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(201)</w:t>
      </w:r>
      <w:r w:rsidRPr="00827F8E">
        <w:rPr>
          <w:rFonts w:ascii="Arial" w:hAnsi="Arial" w:cs="Arial"/>
          <w:noProof/>
          <w:sz w:val="24"/>
          <w:szCs w:val="24"/>
        </w:rPr>
        <w:tab/>
        <w:t xml:space="preserve">Bhattacharyya, S.; Singh, R. D.; Pagano, R.; Robertson, J. D.; Bhattacharya, R.; Mukherjee, P. Switching the Targeting Pathways of a Therapeutic Antibody by Nanodesign. </w:t>
      </w:r>
      <w:r w:rsidRPr="00827F8E">
        <w:rPr>
          <w:rFonts w:ascii="Arial" w:hAnsi="Arial" w:cs="Arial"/>
          <w:i/>
          <w:iCs/>
          <w:noProof/>
          <w:sz w:val="24"/>
          <w:szCs w:val="24"/>
        </w:rPr>
        <w:t>Angew. Chemie - Int. Ed.</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51</w:t>
      </w:r>
      <w:r w:rsidRPr="00827F8E">
        <w:rPr>
          <w:rFonts w:ascii="Arial" w:hAnsi="Arial" w:cs="Arial"/>
          <w:noProof/>
          <w:sz w:val="24"/>
          <w:szCs w:val="24"/>
        </w:rPr>
        <w:t xml:space="preserve"> (7), 1563–1567. https://doi.org/10.1002/anie.201105432.</w:t>
      </w:r>
    </w:p>
    <w:p w14:paraId="0C0DA27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(202)</w:t>
      </w:r>
      <w:r w:rsidRPr="00827F8E">
        <w:rPr>
          <w:rFonts w:ascii="Arial" w:hAnsi="Arial" w:cs="Arial"/>
          <w:noProof/>
          <w:sz w:val="24"/>
          <w:szCs w:val="24"/>
        </w:rPr>
        <w:tab/>
        <w:t xml:space="preserve">Smart, E. J.; Ying, Y. S.; Anderson, R. G. W. Hormonal Regulation of Caveolae Internalization.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1995</w:t>
      </w:r>
      <w:r w:rsidRPr="00827F8E">
        <w:rPr>
          <w:rFonts w:ascii="Arial" w:hAnsi="Arial" w:cs="Arial"/>
          <w:noProof/>
          <w:sz w:val="24"/>
          <w:szCs w:val="24"/>
        </w:rPr>
        <w:t xml:space="preserve">, </w:t>
      </w:r>
      <w:r w:rsidRPr="00827F8E">
        <w:rPr>
          <w:rFonts w:ascii="Arial" w:hAnsi="Arial" w:cs="Arial"/>
          <w:i/>
          <w:iCs/>
          <w:noProof/>
          <w:sz w:val="24"/>
          <w:szCs w:val="24"/>
        </w:rPr>
        <w:t>131</w:t>
      </w:r>
      <w:r w:rsidRPr="00827F8E">
        <w:rPr>
          <w:rFonts w:ascii="Arial" w:hAnsi="Arial" w:cs="Arial"/>
          <w:noProof/>
          <w:sz w:val="24"/>
          <w:szCs w:val="24"/>
        </w:rPr>
        <w:t xml:space="preserve"> (4), 929–938. https://doi.org/10.1083/jcb.131.4.929.</w:t>
      </w:r>
    </w:p>
    <w:p w14:paraId="021E8D4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(203)</w:t>
      </w:r>
      <w:r w:rsidRPr="00827F8E">
        <w:rPr>
          <w:rFonts w:ascii="Arial" w:hAnsi="Arial" w:cs="Arial"/>
          <w:noProof/>
          <w:sz w:val="24"/>
          <w:szCs w:val="24"/>
        </w:rPr>
        <w:tab/>
        <w:t xml:space="preserve">Smart, E. J.; Estes, K.; Anderson, R. G. W. Inhibitors That Block Both the Internalization of Caveolae and the Return of Plasmalemmal Vesicles. </w:t>
      </w:r>
      <w:r w:rsidRPr="00827F8E">
        <w:rPr>
          <w:rFonts w:ascii="Arial" w:hAnsi="Arial" w:cs="Arial"/>
          <w:i/>
          <w:iCs/>
          <w:noProof/>
          <w:sz w:val="24"/>
          <w:szCs w:val="24"/>
        </w:rPr>
        <w:t>Cold Spring Harb. Symp. Quant. Biol.</w:t>
      </w:r>
      <w:r w:rsidRPr="00827F8E">
        <w:rPr>
          <w:rFonts w:ascii="Arial" w:hAnsi="Arial" w:cs="Arial"/>
          <w:noProof/>
          <w:sz w:val="24"/>
          <w:szCs w:val="24"/>
        </w:rPr>
        <w:t xml:space="preserve"> </w:t>
      </w:r>
      <w:r w:rsidRPr="00827F8E">
        <w:rPr>
          <w:rFonts w:ascii="Arial" w:hAnsi="Arial" w:cs="Arial"/>
          <w:b/>
          <w:bCs/>
          <w:noProof/>
          <w:sz w:val="24"/>
          <w:szCs w:val="24"/>
        </w:rPr>
        <w:t>1995</w:t>
      </w:r>
      <w:r w:rsidRPr="00827F8E">
        <w:rPr>
          <w:rFonts w:ascii="Arial" w:hAnsi="Arial" w:cs="Arial"/>
          <w:noProof/>
          <w:sz w:val="24"/>
          <w:szCs w:val="24"/>
        </w:rPr>
        <w:t xml:space="preserve">, </w:t>
      </w:r>
      <w:r w:rsidRPr="00827F8E">
        <w:rPr>
          <w:rFonts w:ascii="Arial" w:hAnsi="Arial" w:cs="Arial"/>
          <w:i/>
          <w:iCs/>
          <w:noProof/>
          <w:sz w:val="24"/>
          <w:szCs w:val="24"/>
        </w:rPr>
        <w:t>60</w:t>
      </w:r>
      <w:r w:rsidRPr="00827F8E">
        <w:rPr>
          <w:rFonts w:ascii="Arial" w:hAnsi="Arial" w:cs="Arial"/>
          <w:noProof/>
          <w:sz w:val="24"/>
          <w:szCs w:val="24"/>
        </w:rPr>
        <w:t xml:space="preserve"> (Anderson 1993), 243–248. https://doi.org/10.1101/SQB.1995.060.01.028.</w:t>
      </w:r>
    </w:p>
    <w:p w14:paraId="691E41F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(204)</w:t>
      </w:r>
      <w:r w:rsidRPr="00827F8E">
        <w:rPr>
          <w:rFonts w:ascii="Arial" w:hAnsi="Arial" w:cs="Arial"/>
          <w:noProof/>
          <w:sz w:val="24"/>
          <w:szCs w:val="24"/>
        </w:rPr>
        <w:tab/>
        <w:t xml:space="preserve">Kamen, B. A.; Johnson, C. A.; Wang, M. T.; Anderson, R. G. W. Regulation of the Cytoplasmic Accumulation of 5-Methyltetrahydrofolate in MA104 Cells Is Independent of Folate Receptor Regulation. </w:t>
      </w:r>
      <w:r w:rsidRPr="00827F8E">
        <w:rPr>
          <w:rFonts w:ascii="Arial" w:hAnsi="Arial" w:cs="Arial"/>
          <w:i/>
          <w:iCs/>
          <w:noProof/>
          <w:sz w:val="24"/>
          <w:szCs w:val="24"/>
        </w:rPr>
        <w:t>J. Clin. Invest.</w:t>
      </w:r>
      <w:r w:rsidRPr="00827F8E">
        <w:rPr>
          <w:rFonts w:ascii="Arial" w:hAnsi="Arial" w:cs="Arial"/>
          <w:noProof/>
          <w:sz w:val="24"/>
          <w:szCs w:val="24"/>
        </w:rPr>
        <w:t xml:space="preserve"> </w:t>
      </w:r>
      <w:r w:rsidRPr="00827F8E">
        <w:rPr>
          <w:rFonts w:ascii="Arial" w:hAnsi="Arial" w:cs="Arial"/>
          <w:b/>
          <w:bCs/>
          <w:noProof/>
          <w:sz w:val="24"/>
          <w:szCs w:val="24"/>
        </w:rPr>
        <w:t>1989</w:t>
      </w:r>
      <w:r w:rsidRPr="00827F8E">
        <w:rPr>
          <w:rFonts w:ascii="Arial" w:hAnsi="Arial" w:cs="Arial"/>
          <w:noProof/>
          <w:sz w:val="24"/>
          <w:szCs w:val="24"/>
        </w:rPr>
        <w:t xml:space="preserve">, </w:t>
      </w:r>
      <w:r w:rsidRPr="00827F8E">
        <w:rPr>
          <w:rFonts w:ascii="Arial" w:hAnsi="Arial" w:cs="Arial"/>
          <w:i/>
          <w:iCs/>
          <w:noProof/>
          <w:sz w:val="24"/>
          <w:szCs w:val="24"/>
        </w:rPr>
        <w:t>84</w:t>
      </w:r>
      <w:r w:rsidRPr="00827F8E">
        <w:rPr>
          <w:rFonts w:ascii="Arial" w:hAnsi="Arial" w:cs="Arial"/>
          <w:noProof/>
          <w:sz w:val="24"/>
          <w:szCs w:val="24"/>
        </w:rPr>
        <w:t xml:space="preserve"> (5), 1379–1386. https://doi.org/10.1172/JCI114310.</w:t>
      </w:r>
    </w:p>
    <w:p w14:paraId="48D59FE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(205)</w:t>
      </w:r>
      <w:r w:rsidRPr="00827F8E">
        <w:rPr>
          <w:rFonts w:ascii="Arial" w:hAnsi="Arial" w:cs="Arial"/>
          <w:noProof/>
          <w:sz w:val="24"/>
          <w:szCs w:val="24"/>
        </w:rPr>
        <w:tab/>
        <w:t xml:space="preserve">Yumoto, R.; Nishikawa, H.; Okamoto, M.; Katayama, H.; Nagai, J.; Takano, M. Clathrin-Mediated Endocytosis of FITC-Albumin in Alveolar Type II Epithelial Cell Line RLE-6TN. </w:t>
      </w:r>
      <w:r w:rsidRPr="00827F8E">
        <w:rPr>
          <w:rFonts w:ascii="Arial" w:hAnsi="Arial" w:cs="Arial"/>
          <w:i/>
          <w:iCs/>
          <w:noProof/>
          <w:sz w:val="24"/>
          <w:szCs w:val="24"/>
        </w:rPr>
        <w:t>Am. J. Physiol. Cell. Mol. Physiol.</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290</w:t>
      </w:r>
      <w:r w:rsidRPr="00827F8E">
        <w:rPr>
          <w:rFonts w:ascii="Arial" w:hAnsi="Arial" w:cs="Arial"/>
          <w:noProof/>
          <w:sz w:val="24"/>
          <w:szCs w:val="24"/>
        </w:rPr>
        <w:t xml:space="preserve"> (5), L946–L955. https://doi.org/10.1152/ajplung.00173.2005.</w:t>
      </w:r>
    </w:p>
    <w:p w14:paraId="46639B4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(206)</w:t>
      </w:r>
      <w:r w:rsidRPr="00827F8E">
        <w:rPr>
          <w:rFonts w:ascii="Arial" w:hAnsi="Arial" w:cs="Arial"/>
          <w:noProof/>
          <w:sz w:val="24"/>
          <w:szCs w:val="24"/>
        </w:rPr>
        <w:tab/>
        <w:t xml:space="preserve">Francia, V.; Reker-Smit, C.; Boel, G.; Salvati, A. Limits and Challenges in Using Transport Inhibitors to Characterize How Nano-Sized Drug Carriers Enter Cells. </w:t>
      </w:r>
      <w:r w:rsidRPr="00827F8E">
        <w:rPr>
          <w:rFonts w:ascii="Arial" w:hAnsi="Arial" w:cs="Arial"/>
          <w:i/>
          <w:iCs/>
          <w:noProof/>
          <w:sz w:val="24"/>
          <w:szCs w:val="24"/>
        </w:rPr>
        <w:t>Nanomedicine</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(12), 1533–1549. https://doi.org/10.2217/nnm-2018-0446.</w:t>
      </w:r>
    </w:p>
    <w:p w14:paraId="764A095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(207)</w:t>
      </w:r>
      <w:r w:rsidRPr="00827F8E">
        <w:rPr>
          <w:rFonts w:ascii="Arial" w:hAnsi="Arial" w:cs="Arial"/>
          <w:noProof/>
          <w:sz w:val="24"/>
          <w:szCs w:val="24"/>
        </w:rPr>
        <w:tab/>
        <w:t xml:space="preserve">Huang, M.; Ma, Z.; Khor, E.; Lim, L. Y. Uptake of FITC-Chitosan Nanoparticles by A549 Cells. </w:t>
      </w:r>
      <w:r w:rsidRPr="00827F8E">
        <w:rPr>
          <w:rFonts w:ascii="Arial" w:hAnsi="Arial" w:cs="Arial"/>
          <w:i/>
          <w:iCs/>
          <w:noProof/>
          <w:sz w:val="24"/>
          <w:szCs w:val="24"/>
        </w:rPr>
        <w:t>Pharm. Res.</w:t>
      </w:r>
      <w:r w:rsidRPr="00827F8E">
        <w:rPr>
          <w:rFonts w:ascii="Arial" w:hAnsi="Arial" w:cs="Arial"/>
          <w:noProof/>
          <w:sz w:val="24"/>
          <w:szCs w:val="24"/>
        </w:rPr>
        <w:t xml:space="preserve"> </w:t>
      </w:r>
      <w:r w:rsidRPr="00827F8E">
        <w:rPr>
          <w:rFonts w:ascii="Arial" w:hAnsi="Arial" w:cs="Arial"/>
          <w:b/>
          <w:bCs/>
          <w:noProof/>
          <w:sz w:val="24"/>
          <w:szCs w:val="24"/>
        </w:rPr>
        <w:t>2002</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(10), 1488–1494. https://doi.org/10.1023/A:1020404615898.</w:t>
      </w:r>
    </w:p>
    <w:p w14:paraId="1155B1D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(208)</w:t>
      </w:r>
      <w:r w:rsidRPr="00827F8E">
        <w:rPr>
          <w:rFonts w:ascii="Arial" w:hAnsi="Arial" w:cs="Arial"/>
          <w:noProof/>
          <w:sz w:val="24"/>
          <w:szCs w:val="24"/>
        </w:rPr>
        <w:tab/>
        <w:t xml:space="preserve">Macia, E.; Ehrlich, M.; Massol, R.; Boucrot, E.; Brunner, C.; Kirchhausen, T. Dynasore, a Cell-Permeable Inhibitor of Dynamin. </w:t>
      </w:r>
      <w:r w:rsidRPr="00827F8E">
        <w:rPr>
          <w:rFonts w:ascii="Arial" w:hAnsi="Arial" w:cs="Arial"/>
          <w:i/>
          <w:iCs/>
          <w:noProof/>
          <w:sz w:val="24"/>
          <w:szCs w:val="24"/>
        </w:rPr>
        <w:t>Dev. Cell</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(6), 839–850. https://doi.org/10.1016/j.devcel.2006.04.002.</w:t>
      </w:r>
    </w:p>
    <w:p w14:paraId="1F9541F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(209)</w:t>
      </w:r>
      <w:r w:rsidRPr="00827F8E">
        <w:rPr>
          <w:rFonts w:ascii="Arial" w:hAnsi="Arial" w:cs="Arial"/>
          <w:noProof/>
          <w:sz w:val="24"/>
          <w:szCs w:val="24"/>
        </w:rPr>
        <w:tab/>
        <w:t xml:space="preserve">Smith, P. J.; Giroud, M.; Wiggins, H. L.; Gower, F.; Thorley, J. A.; Stolpe, B.; Mazzolini, J.; Dyson, R. J.; Rappoport, J. Z. Cellular Entry of Nanoparticles via Serum Sensitive Clathrin-Mediated Endocytosis, and Plasma Membrane Permeabilization. </w:t>
      </w:r>
      <w:r w:rsidRPr="00827F8E">
        <w:rPr>
          <w:rFonts w:ascii="Arial" w:hAnsi="Arial" w:cs="Arial"/>
          <w:i/>
          <w:iCs/>
          <w:noProof/>
          <w:sz w:val="24"/>
          <w:szCs w:val="24"/>
        </w:rPr>
        <w:t>Int. J. Nanomedicine</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2045–2055. https://doi.org/10.2147/IJN.S29334.</w:t>
      </w:r>
    </w:p>
    <w:p w14:paraId="3C10F3B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(210)</w:t>
      </w:r>
      <w:r w:rsidRPr="00827F8E">
        <w:rPr>
          <w:rFonts w:ascii="Arial" w:hAnsi="Arial" w:cs="Arial"/>
          <w:noProof/>
          <w:sz w:val="24"/>
          <w:szCs w:val="24"/>
        </w:rPr>
        <w:tab/>
        <w:t xml:space="preserve">Chen, C. L.; Hou, W. H.; Liu, I. H.; Hsiao, G.; Huang, S. S.; Huang, J. S. Inhibitors </w:t>
      </w:r>
      <w:r w:rsidRPr="00827F8E">
        <w:rPr>
          <w:rFonts w:ascii="Arial" w:hAnsi="Arial" w:cs="Arial"/>
          <w:noProof/>
          <w:sz w:val="24"/>
          <w:szCs w:val="24"/>
        </w:rPr>
        <w:lastRenderedPageBreak/>
        <w:t xml:space="preserve">of Clathrin-Dependent Endocytosis Enhance TGFβ Signaling and Responses.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122</w:t>
      </w:r>
      <w:r w:rsidRPr="00827F8E">
        <w:rPr>
          <w:rFonts w:ascii="Arial" w:hAnsi="Arial" w:cs="Arial"/>
          <w:noProof/>
          <w:sz w:val="24"/>
          <w:szCs w:val="24"/>
        </w:rPr>
        <w:t xml:space="preserve"> (11), 1863–1871. https://doi.org/10.1242/jcs.038729.</w:t>
      </w:r>
    </w:p>
    <w:p w14:paraId="7163139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(211)</w:t>
      </w:r>
      <w:r w:rsidRPr="00827F8E">
        <w:rPr>
          <w:rFonts w:ascii="Arial" w:hAnsi="Arial" w:cs="Arial"/>
          <w:noProof/>
          <w:sz w:val="24"/>
          <w:szCs w:val="24"/>
        </w:rPr>
        <w:tab/>
        <w:t xml:space="preserve">Sarkar, K.; Kruhlak, M. J.; Erlandsen, S. L.; Shaw, S. Selective Inhibition by Rottlerin of Macropinocytosis in Monocyte-Derived Dendritic Cells. </w:t>
      </w:r>
      <w:r w:rsidRPr="00827F8E">
        <w:rPr>
          <w:rFonts w:ascii="Arial" w:hAnsi="Arial" w:cs="Arial"/>
          <w:i/>
          <w:iCs/>
          <w:noProof/>
          <w:sz w:val="24"/>
          <w:szCs w:val="24"/>
        </w:rPr>
        <w:t>Immunology</w:t>
      </w:r>
      <w:r w:rsidRPr="00827F8E">
        <w:rPr>
          <w:rFonts w:ascii="Arial" w:hAnsi="Arial" w:cs="Arial"/>
          <w:noProof/>
          <w:sz w:val="24"/>
          <w:szCs w:val="24"/>
        </w:rPr>
        <w:t xml:space="preserve"> </w:t>
      </w:r>
      <w:r w:rsidRPr="00827F8E">
        <w:rPr>
          <w:rFonts w:ascii="Arial" w:hAnsi="Arial" w:cs="Arial"/>
          <w:b/>
          <w:bCs/>
          <w:noProof/>
          <w:sz w:val="24"/>
          <w:szCs w:val="24"/>
        </w:rPr>
        <w:t>2005</w:t>
      </w:r>
      <w:r w:rsidRPr="00827F8E">
        <w:rPr>
          <w:rFonts w:ascii="Arial" w:hAnsi="Arial" w:cs="Arial"/>
          <w:noProof/>
          <w:sz w:val="24"/>
          <w:szCs w:val="24"/>
        </w:rPr>
        <w:t xml:space="preserve">, </w:t>
      </w:r>
      <w:r w:rsidRPr="00827F8E">
        <w:rPr>
          <w:rFonts w:ascii="Arial" w:hAnsi="Arial" w:cs="Arial"/>
          <w:i/>
          <w:iCs/>
          <w:noProof/>
          <w:sz w:val="24"/>
          <w:szCs w:val="24"/>
        </w:rPr>
        <w:t>116</w:t>
      </w:r>
      <w:r w:rsidRPr="00827F8E">
        <w:rPr>
          <w:rFonts w:ascii="Arial" w:hAnsi="Arial" w:cs="Arial"/>
          <w:noProof/>
          <w:sz w:val="24"/>
          <w:szCs w:val="24"/>
        </w:rPr>
        <w:t xml:space="preserve"> (4), 513–524. https://doi.org/10.1111/j.1365-2567.2005.02253.x.</w:t>
      </w:r>
    </w:p>
    <w:p w14:paraId="00F36CB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(212)</w:t>
      </w:r>
      <w:r w:rsidRPr="00827F8E">
        <w:rPr>
          <w:rFonts w:ascii="Arial" w:hAnsi="Arial" w:cs="Arial"/>
          <w:noProof/>
          <w:sz w:val="24"/>
          <w:szCs w:val="24"/>
        </w:rPr>
        <w:tab/>
        <w:t xml:space="preserve">Cooper, J. A. Effects of Cytochalasin and Phalloidin on Actin.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1987</w:t>
      </w:r>
      <w:r w:rsidRPr="00827F8E">
        <w:rPr>
          <w:rFonts w:ascii="Arial" w:hAnsi="Arial" w:cs="Arial"/>
          <w:noProof/>
          <w:sz w:val="24"/>
          <w:szCs w:val="24"/>
        </w:rPr>
        <w:t xml:space="preserve">, </w:t>
      </w:r>
      <w:r w:rsidRPr="00827F8E">
        <w:rPr>
          <w:rFonts w:ascii="Arial" w:hAnsi="Arial" w:cs="Arial"/>
          <w:i/>
          <w:iCs/>
          <w:noProof/>
          <w:sz w:val="24"/>
          <w:szCs w:val="24"/>
        </w:rPr>
        <w:t>105</w:t>
      </w:r>
      <w:r w:rsidRPr="00827F8E">
        <w:rPr>
          <w:rFonts w:ascii="Arial" w:hAnsi="Arial" w:cs="Arial"/>
          <w:noProof/>
          <w:sz w:val="24"/>
          <w:szCs w:val="24"/>
        </w:rPr>
        <w:t xml:space="preserve"> (4), 1473–1478. https://doi.org/10.1083/jcb.105.4.1473.</w:t>
      </w:r>
    </w:p>
    <w:p w14:paraId="159E487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(213)</w:t>
      </w:r>
      <w:r w:rsidRPr="00827F8E">
        <w:rPr>
          <w:rFonts w:ascii="Arial" w:hAnsi="Arial" w:cs="Arial"/>
          <w:noProof/>
          <w:sz w:val="24"/>
          <w:szCs w:val="24"/>
        </w:rPr>
        <w:tab/>
        <w:t xml:space="preserve">Qaddoumi, M. G.; Ueda, H.; Yang, J.; Davda, J.; Labhasetwar, V.; Lee, V. H. L. The Characteristics and Mechanisms of Uptake of PLGA Nanoparticles in Rabbit Conjunctival Epithelial Cell Layers. </w:t>
      </w:r>
      <w:r w:rsidRPr="00827F8E">
        <w:rPr>
          <w:rFonts w:ascii="Arial" w:hAnsi="Arial" w:cs="Arial"/>
          <w:i/>
          <w:iCs/>
          <w:noProof/>
          <w:sz w:val="24"/>
          <w:szCs w:val="24"/>
        </w:rPr>
        <w:t>Pharm. Res.</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21</w:t>
      </w:r>
      <w:r w:rsidRPr="00827F8E">
        <w:rPr>
          <w:rFonts w:ascii="Arial" w:hAnsi="Arial" w:cs="Arial"/>
          <w:noProof/>
          <w:sz w:val="24"/>
          <w:szCs w:val="24"/>
        </w:rPr>
        <w:t xml:space="preserve"> (4), 641–648. https://doi.org/10.1023/B:PHAM.0000022411.47059.76.</w:t>
      </w:r>
    </w:p>
    <w:p w14:paraId="744F394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(214)</w:t>
      </w:r>
      <w:r w:rsidRPr="00827F8E">
        <w:rPr>
          <w:rFonts w:ascii="Arial" w:hAnsi="Arial" w:cs="Arial"/>
          <w:noProof/>
          <w:sz w:val="24"/>
          <w:szCs w:val="24"/>
        </w:rPr>
        <w:tab/>
        <w:t xml:space="preserve">Koivusalo, M.; Welch, C.; Hayashi, H.; Scott, C. C.; Kim, M.; Alexander, T.; Touret, N.; Hahn, K. M.; Grinstein, S. Amiloride Inhibits Macropinocytosis by Lowering Submembranous PH and Preventing Rac1 and Cdc42 Signaling. </w:t>
      </w:r>
      <w:r w:rsidRPr="00827F8E">
        <w:rPr>
          <w:rFonts w:ascii="Arial" w:hAnsi="Arial" w:cs="Arial"/>
          <w:i/>
          <w:iCs/>
          <w:noProof/>
          <w:sz w:val="24"/>
          <w:szCs w:val="24"/>
        </w:rPr>
        <w:t>J. Cell Biol.</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188</w:t>
      </w:r>
      <w:r w:rsidRPr="00827F8E">
        <w:rPr>
          <w:rFonts w:ascii="Arial" w:hAnsi="Arial" w:cs="Arial"/>
          <w:noProof/>
          <w:sz w:val="24"/>
          <w:szCs w:val="24"/>
        </w:rPr>
        <w:t xml:space="preserve"> (4), 547–563. https://doi.org/10.1083/jcb.200908086.</w:t>
      </w:r>
    </w:p>
    <w:p w14:paraId="1E56212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(215)</w:t>
      </w:r>
      <w:r w:rsidRPr="00827F8E">
        <w:rPr>
          <w:rFonts w:ascii="Arial" w:hAnsi="Arial" w:cs="Arial"/>
          <w:noProof/>
          <w:sz w:val="24"/>
          <w:szCs w:val="24"/>
        </w:rPr>
        <w:tab/>
        <w:t xml:space="preserve">Dausend, J.; Musyanovych, A.; Dass, M.; Walther, P.; Schrezenmeier, H.; Landfester, K.; Mailänder, V. Uptake Mechanism of Oppositely Charged Fluorescent Nanoparticles in Hela Cells. </w:t>
      </w:r>
      <w:r w:rsidRPr="00827F8E">
        <w:rPr>
          <w:rFonts w:ascii="Arial" w:hAnsi="Arial" w:cs="Arial"/>
          <w:i/>
          <w:iCs/>
          <w:noProof/>
          <w:sz w:val="24"/>
          <w:szCs w:val="24"/>
        </w:rPr>
        <w:t>Macromol. Biosci.</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(12), 1135–1143. https://doi.org/10.1002/mabi.200800123.</w:t>
      </w:r>
    </w:p>
    <w:p w14:paraId="694336E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(216)</w:t>
      </w:r>
      <w:r w:rsidRPr="00827F8E">
        <w:rPr>
          <w:rFonts w:ascii="Arial" w:hAnsi="Arial" w:cs="Arial"/>
          <w:noProof/>
          <w:sz w:val="24"/>
          <w:szCs w:val="24"/>
        </w:rPr>
        <w:tab/>
        <w:t xml:space="preserve">Fernando, L. P.; Kandel, P. K.; Yu, J.; McNeill, J.; Ackroyd, P. C.; Christensen, K. A. Mechanism of Cellular Uptake of Highly Fluorescent Conjugated Polymer Nanoparticles. </w:t>
      </w:r>
      <w:r w:rsidRPr="00827F8E">
        <w:rPr>
          <w:rFonts w:ascii="Arial" w:hAnsi="Arial" w:cs="Arial"/>
          <w:i/>
          <w:iCs/>
          <w:noProof/>
          <w:sz w:val="24"/>
          <w:szCs w:val="24"/>
        </w:rPr>
        <w:t>Biomacromolecules</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(10), 2675–2682. https://doi.org/10.1021/bm1007103.</w:t>
      </w:r>
    </w:p>
    <w:p w14:paraId="529F06C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(217)</w:t>
      </w:r>
      <w:r w:rsidRPr="00827F8E">
        <w:rPr>
          <w:rFonts w:ascii="Arial" w:hAnsi="Arial" w:cs="Arial"/>
          <w:noProof/>
          <w:sz w:val="24"/>
          <w:szCs w:val="24"/>
        </w:rPr>
        <w:tab/>
        <w:t xml:space="preserve">Kjeken, R.; Mousavi, S. A.; Brech, A.; Griffiths, G.; Berg, T. Wortmannin-Sensitive Trafficking Steps in the Endocytic Pathway in Rat Liver Endothelial Cells. </w:t>
      </w:r>
      <w:r w:rsidRPr="00827F8E">
        <w:rPr>
          <w:rFonts w:ascii="Arial" w:hAnsi="Arial" w:cs="Arial"/>
          <w:i/>
          <w:iCs/>
          <w:noProof/>
          <w:sz w:val="24"/>
          <w:szCs w:val="24"/>
        </w:rPr>
        <w:t>Biochem. J.</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357</w:t>
      </w:r>
      <w:r w:rsidRPr="00827F8E">
        <w:rPr>
          <w:rFonts w:ascii="Arial" w:hAnsi="Arial" w:cs="Arial"/>
          <w:noProof/>
          <w:sz w:val="24"/>
          <w:szCs w:val="24"/>
        </w:rPr>
        <w:t xml:space="preserve"> (2), 497. https://doi.org/10.1042/0264-6021:3570497.</w:t>
      </w:r>
    </w:p>
    <w:p w14:paraId="39D4C51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(218)</w:t>
      </w:r>
      <w:r w:rsidRPr="00827F8E">
        <w:rPr>
          <w:rFonts w:ascii="Arial" w:hAnsi="Arial" w:cs="Arial"/>
          <w:noProof/>
          <w:sz w:val="24"/>
          <w:szCs w:val="24"/>
        </w:rPr>
        <w:tab/>
        <w:t xml:space="preserve">van der Hoeven, D.; Cho, K.; Zhou, Y.; Ma, X.; Chen, W.; Naji, A.; Montufar-Solis, D.; Zuo, Y.; Kovar, S. E.; Levental, K. R.; Frost, J. A.; van der Hoeven, R.; Hancock, J. F. Sphingomyelin Metabolism Is a Regulator of K-Ras Function. </w:t>
      </w:r>
      <w:r w:rsidRPr="00827F8E">
        <w:rPr>
          <w:rFonts w:ascii="Arial" w:hAnsi="Arial" w:cs="Arial"/>
          <w:i/>
          <w:iCs/>
          <w:noProof/>
          <w:sz w:val="24"/>
          <w:szCs w:val="24"/>
        </w:rPr>
        <w:t>Mol. Cell. Biol.</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38</w:t>
      </w:r>
      <w:r w:rsidRPr="00827F8E">
        <w:rPr>
          <w:rFonts w:ascii="Arial" w:hAnsi="Arial" w:cs="Arial"/>
          <w:noProof/>
          <w:sz w:val="24"/>
          <w:szCs w:val="24"/>
        </w:rPr>
        <w:t xml:space="preserve"> (3), 1–17. https://doi.org/10.1128/mcb.00373-17.</w:t>
      </w:r>
    </w:p>
    <w:p w14:paraId="329A867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(219)</w:t>
      </w:r>
      <w:r w:rsidRPr="00827F8E">
        <w:rPr>
          <w:rFonts w:ascii="Arial" w:hAnsi="Arial" w:cs="Arial"/>
          <w:noProof/>
          <w:sz w:val="24"/>
          <w:szCs w:val="24"/>
        </w:rPr>
        <w:tab/>
        <w:t xml:space="preserve">Valberg, P. A.; Brain, J. D.; Kane, D. Effects of Colchicine or Cytochalasin B on Pulmonary Macrophage Endocytosis in Vivo. </w:t>
      </w:r>
      <w:r w:rsidRPr="00827F8E">
        <w:rPr>
          <w:rFonts w:ascii="Arial" w:hAnsi="Arial" w:cs="Arial"/>
          <w:i/>
          <w:iCs/>
          <w:noProof/>
          <w:sz w:val="24"/>
          <w:szCs w:val="24"/>
        </w:rPr>
        <w:t>J. Appl. Physiol. Respir. Environ. Exerc. Physiol.</w:t>
      </w:r>
      <w:r w:rsidRPr="00827F8E">
        <w:rPr>
          <w:rFonts w:ascii="Arial" w:hAnsi="Arial" w:cs="Arial"/>
          <w:noProof/>
          <w:sz w:val="24"/>
          <w:szCs w:val="24"/>
        </w:rPr>
        <w:t xml:space="preserve"> </w:t>
      </w:r>
      <w:r w:rsidRPr="00827F8E">
        <w:rPr>
          <w:rFonts w:ascii="Arial" w:hAnsi="Arial" w:cs="Arial"/>
          <w:b/>
          <w:bCs/>
          <w:noProof/>
          <w:sz w:val="24"/>
          <w:szCs w:val="24"/>
        </w:rPr>
        <w:t>1981</w:t>
      </w:r>
      <w:r w:rsidRPr="00827F8E">
        <w:rPr>
          <w:rFonts w:ascii="Arial" w:hAnsi="Arial" w:cs="Arial"/>
          <w:noProof/>
          <w:sz w:val="24"/>
          <w:szCs w:val="24"/>
        </w:rPr>
        <w:t xml:space="preserve">, </w:t>
      </w:r>
      <w:r w:rsidRPr="00827F8E">
        <w:rPr>
          <w:rFonts w:ascii="Arial" w:hAnsi="Arial" w:cs="Arial"/>
          <w:i/>
          <w:iCs/>
          <w:noProof/>
          <w:sz w:val="24"/>
          <w:szCs w:val="24"/>
        </w:rPr>
        <w:t>50</w:t>
      </w:r>
      <w:r w:rsidRPr="00827F8E">
        <w:rPr>
          <w:rFonts w:ascii="Arial" w:hAnsi="Arial" w:cs="Arial"/>
          <w:noProof/>
          <w:sz w:val="24"/>
          <w:szCs w:val="24"/>
        </w:rPr>
        <w:t xml:space="preserve"> (3), 621–629. https://doi.org/10.1152/jappl.1981.50.3.621.</w:t>
      </w:r>
    </w:p>
    <w:p w14:paraId="6D2514B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(220)</w:t>
      </w:r>
      <w:r w:rsidRPr="00827F8E">
        <w:rPr>
          <w:rFonts w:ascii="Arial" w:hAnsi="Arial" w:cs="Arial"/>
          <w:noProof/>
          <w:sz w:val="24"/>
          <w:szCs w:val="24"/>
        </w:rPr>
        <w:tab/>
        <w:t xml:space="preserve">Zhang, J.; Yu, J.; Jiang, J.; Chen, X.; Sun, Y.; Yang, Z.; Yang, T.; Cai, C.; Zhao, X.; Ding, P. Uptake Pathways of Guandinylated Disulfide Containing Polymers as Nonviral Gene Carrier Delivering DNA to Cells. </w:t>
      </w:r>
      <w:r w:rsidRPr="00827F8E">
        <w:rPr>
          <w:rFonts w:ascii="Arial" w:hAnsi="Arial" w:cs="Arial"/>
          <w:i/>
          <w:iCs/>
          <w:noProof/>
          <w:sz w:val="24"/>
          <w:szCs w:val="24"/>
        </w:rPr>
        <w:t>J. Cell. Biochem.</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118</w:t>
      </w:r>
      <w:r w:rsidRPr="00827F8E">
        <w:rPr>
          <w:rFonts w:ascii="Arial" w:hAnsi="Arial" w:cs="Arial"/>
          <w:noProof/>
          <w:sz w:val="24"/>
          <w:szCs w:val="24"/>
        </w:rPr>
        <w:t xml:space="preserve"> (4), 903–913. https://doi.org/10.1002/jcb.25769.</w:t>
      </w:r>
    </w:p>
    <w:p w14:paraId="42978A2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(221)</w:t>
      </w:r>
      <w:r w:rsidRPr="00827F8E">
        <w:rPr>
          <w:rFonts w:ascii="Arial" w:hAnsi="Arial" w:cs="Arial"/>
          <w:noProof/>
          <w:sz w:val="24"/>
          <w:szCs w:val="24"/>
        </w:rPr>
        <w:tab/>
        <w:t xml:space="preserve">Singla, B.; Ghoshal, P.; Lin, H.; Wei, Q.; Dong, Z.; Csányi, G. PKCδ-Mediated Nox2 Activation Promotes Fluid-Phase Pinocytosis of Antigens by Immature </w:t>
      </w:r>
      <w:r w:rsidRPr="00827F8E">
        <w:rPr>
          <w:rFonts w:ascii="Arial" w:hAnsi="Arial" w:cs="Arial"/>
          <w:noProof/>
          <w:sz w:val="24"/>
          <w:szCs w:val="24"/>
        </w:rPr>
        <w:lastRenderedPageBreak/>
        <w:t xml:space="preserve">Dendritic Cells. </w:t>
      </w:r>
      <w:r w:rsidRPr="00827F8E">
        <w:rPr>
          <w:rFonts w:ascii="Arial" w:hAnsi="Arial" w:cs="Arial"/>
          <w:i/>
          <w:iCs/>
          <w:noProof/>
          <w:sz w:val="24"/>
          <w:szCs w:val="24"/>
        </w:rPr>
        <w:t>Front. Immunol.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(MAR). https://doi.org/10.3389/fimmu.2018.00537.</w:t>
      </w:r>
    </w:p>
    <w:p w14:paraId="4A9B57A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(222)</w:t>
      </w:r>
      <w:r w:rsidRPr="00827F8E">
        <w:rPr>
          <w:rFonts w:ascii="Arial" w:hAnsi="Arial" w:cs="Arial"/>
          <w:noProof/>
          <w:sz w:val="24"/>
          <w:szCs w:val="24"/>
        </w:rPr>
        <w:tab/>
        <w:t xml:space="preserve">Alvarez, C.; Sztul, E. S. Brefeldin A (BFA) Disrupts the Organization of the Micuotubule and the Actin Cytoskeletons. </w:t>
      </w:r>
      <w:r w:rsidRPr="00827F8E">
        <w:rPr>
          <w:rFonts w:ascii="Arial" w:hAnsi="Arial" w:cs="Arial"/>
          <w:i/>
          <w:iCs/>
          <w:noProof/>
          <w:sz w:val="24"/>
          <w:szCs w:val="24"/>
        </w:rPr>
        <w:t>Eur. J. Cell Biol.</w:t>
      </w:r>
      <w:r w:rsidRPr="00827F8E">
        <w:rPr>
          <w:rFonts w:ascii="Arial" w:hAnsi="Arial" w:cs="Arial"/>
          <w:noProof/>
          <w:sz w:val="24"/>
          <w:szCs w:val="24"/>
        </w:rPr>
        <w:t xml:space="preserve"> </w:t>
      </w:r>
      <w:r w:rsidRPr="00827F8E">
        <w:rPr>
          <w:rFonts w:ascii="Arial" w:hAnsi="Arial" w:cs="Arial"/>
          <w:b/>
          <w:bCs/>
          <w:noProof/>
          <w:sz w:val="24"/>
          <w:szCs w:val="24"/>
        </w:rPr>
        <w:t>1999</w:t>
      </w:r>
      <w:r w:rsidRPr="00827F8E">
        <w:rPr>
          <w:rFonts w:ascii="Arial" w:hAnsi="Arial" w:cs="Arial"/>
          <w:noProof/>
          <w:sz w:val="24"/>
          <w:szCs w:val="24"/>
        </w:rPr>
        <w:t xml:space="preserve">, </w:t>
      </w:r>
      <w:r w:rsidRPr="00827F8E">
        <w:rPr>
          <w:rFonts w:ascii="Arial" w:hAnsi="Arial" w:cs="Arial"/>
          <w:i/>
          <w:iCs/>
          <w:noProof/>
          <w:sz w:val="24"/>
          <w:szCs w:val="24"/>
        </w:rPr>
        <w:t>78</w:t>
      </w:r>
      <w:r w:rsidRPr="00827F8E">
        <w:rPr>
          <w:rFonts w:ascii="Arial" w:hAnsi="Arial" w:cs="Arial"/>
          <w:noProof/>
          <w:sz w:val="24"/>
          <w:szCs w:val="24"/>
        </w:rPr>
        <w:t xml:space="preserve"> (1), 1–14. https://doi.org/10.1016/S0171-9335(99)80002-8.</w:t>
      </w:r>
    </w:p>
    <w:p w14:paraId="447D791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(223)</w:t>
      </w:r>
      <w:r w:rsidRPr="00827F8E">
        <w:rPr>
          <w:rFonts w:ascii="Arial" w:hAnsi="Arial" w:cs="Arial"/>
          <w:noProof/>
          <w:sz w:val="24"/>
          <w:szCs w:val="24"/>
        </w:rPr>
        <w:tab/>
        <w:t xml:space="preserve">Cam, A.; Sivaguru, M.; Gonzalez de Mejia, E. Endocytic Mechanism of Internalization of Dietary Peptide Lunasin into Macrophages in Inflammatory Condition Associated with Cardiovascular Disease. </w:t>
      </w:r>
      <w:r w:rsidRPr="00827F8E">
        <w:rPr>
          <w:rFonts w:ascii="Arial" w:hAnsi="Arial" w:cs="Arial"/>
          <w:i/>
          <w:iCs/>
          <w:noProof/>
          <w:sz w:val="24"/>
          <w:szCs w:val="24"/>
        </w:rPr>
        <w:t>PLoS One</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(9). https://doi.org/10.1371/journal.pone.0072115.</w:t>
      </w:r>
    </w:p>
    <w:p w14:paraId="1C9AD9F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(224)</w:t>
      </w:r>
      <w:r w:rsidRPr="00827F8E">
        <w:rPr>
          <w:rFonts w:ascii="Arial" w:hAnsi="Arial" w:cs="Arial"/>
          <w:noProof/>
          <w:sz w:val="24"/>
          <w:szCs w:val="24"/>
        </w:rPr>
        <w:tab/>
        <w:t xml:space="preserve">Hunziker, W.; Andrew Whitney, J.; Mellman, I. Selective Inhibition of Transcytosis by Brefeldin A in MDCK Cells. </w:t>
      </w:r>
      <w:r w:rsidRPr="00827F8E">
        <w:rPr>
          <w:rFonts w:ascii="Arial" w:hAnsi="Arial" w:cs="Arial"/>
          <w:i/>
          <w:iCs/>
          <w:noProof/>
          <w:sz w:val="24"/>
          <w:szCs w:val="24"/>
        </w:rPr>
        <w:t>Cell</w:t>
      </w:r>
      <w:r w:rsidRPr="00827F8E">
        <w:rPr>
          <w:rFonts w:ascii="Arial" w:hAnsi="Arial" w:cs="Arial"/>
          <w:noProof/>
          <w:sz w:val="24"/>
          <w:szCs w:val="24"/>
        </w:rPr>
        <w:t xml:space="preserve"> </w:t>
      </w:r>
      <w:r w:rsidRPr="00827F8E">
        <w:rPr>
          <w:rFonts w:ascii="Arial" w:hAnsi="Arial" w:cs="Arial"/>
          <w:b/>
          <w:bCs/>
          <w:noProof/>
          <w:sz w:val="24"/>
          <w:szCs w:val="24"/>
        </w:rPr>
        <w:t>1991</w:t>
      </w:r>
      <w:r w:rsidRPr="00827F8E">
        <w:rPr>
          <w:rFonts w:ascii="Arial" w:hAnsi="Arial" w:cs="Arial"/>
          <w:noProof/>
          <w:sz w:val="24"/>
          <w:szCs w:val="24"/>
        </w:rPr>
        <w:t xml:space="preserve">, </w:t>
      </w:r>
      <w:r w:rsidRPr="00827F8E">
        <w:rPr>
          <w:rFonts w:ascii="Arial" w:hAnsi="Arial" w:cs="Arial"/>
          <w:i/>
          <w:iCs/>
          <w:noProof/>
          <w:sz w:val="24"/>
          <w:szCs w:val="24"/>
        </w:rPr>
        <w:t>67</w:t>
      </w:r>
      <w:r w:rsidRPr="00827F8E">
        <w:rPr>
          <w:rFonts w:ascii="Arial" w:hAnsi="Arial" w:cs="Arial"/>
          <w:noProof/>
          <w:sz w:val="24"/>
          <w:szCs w:val="24"/>
        </w:rPr>
        <w:t xml:space="preserve"> (3), 617–627. https://doi.org/10.1016/0092-8674(91)90535-7.</w:t>
      </w:r>
    </w:p>
    <w:p w14:paraId="7BA7DF0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(225)</w:t>
      </w:r>
      <w:r w:rsidRPr="00827F8E">
        <w:rPr>
          <w:rFonts w:ascii="Arial" w:hAnsi="Arial" w:cs="Arial"/>
          <w:noProof/>
          <w:sz w:val="24"/>
          <w:szCs w:val="24"/>
        </w:rPr>
        <w:tab/>
        <w:t xml:space="preserve">Tokuda, H.; Masuda, S.; Takakura, Y.; Sezaki, H.; Hashida, M. Specific Uptake of Succinylated Proteins Via a Scavenger Receptor-Mediated Mechanism in Cultured Brain Microvessel Endothelial Cells. </w:t>
      </w:r>
      <w:r w:rsidRPr="00827F8E">
        <w:rPr>
          <w:rFonts w:ascii="Arial" w:hAnsi="Arial" w:cs="Arial"/>
          <w:i/>
          <w:iCs/>
          <w:noProof/>
          <w:sz w:val="24"/>
          <w:szCs w:val="24"/>
        </w:rPr>
        <w:t>Biochem. Biophys. Res. Commun.</w:t>
      </w:r>
      <w:r w:rsidRPr="00827F8E">
        <w:rPr>
          <w:rFonts w:ascii="Arial" w:hAnsi="Arial" w:cs="Arial"/>
          <w:noProof/>
          <w:sz w:val="24"/>
          <w:szCs w:val="24"/>
        </w:rPr>
        <w:t xml:space="preserve"> </w:t>
      </w:r>
      <w:r w:rsidRPr="00827F8E">
        <w:rPr>
          <w:rFonts w:ascii="Arial" w:hAnsi="Arial" w:cs="Arial"/>
          <w:b/>
          <w:bCs/>
          <w:noProof/>
          <w:sz w:val="24"/>
          <w:szCs w:val="24"/>
        </w:rPr>
        <w:t>1993</w:t>
      </w:r>
      <w:r w:rsidRPr="00827F8E">
        <w:rPr>
          <w:rFonts w:ascii="Arial" w:hAnsi="Arial" w:cs="Arial"/>
          <w:noProof/>
          <w:sz w:val="24"/>
          <w:szCs w:val="24"/>
        </w:rPr>
        <w:t xml:space="preserve">, </w:t>
      </w:r>
      <w:r w:rsidRPr="00827F8E">
        <w:rPr>
          <w:rFonts w:ascii="Arial" w:hAnsi="Arial" w:cs="Arial"/>
          <w:i/>
          <w:iCs/>
          <w:noProof/>
          <w:sz w:val="24"/>
          <w:szCs w:val="24"/>
        </w:rPr>
        <w:t>196</w:t>
      </w:r>
      <w:r w:rsidRPr="00827F8E">
        <w:rPr>
          <w:rFonts w:ascii="Arial" w:hAnsi="Arial" w:cs="Arial"/>
          <w:noProof/>
          <w:sz w:val="24"/>
          <w:szCs w:val="24"/>
        </w:rPr>
        <w:t xml:space="preserve"> (1), 18–24. https://doi.org/10.1006/bbrc.1993.2210.</w:t>
      </w:r>
    </w:p>
    <w:p w14:paraId="7224A9C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(226)</w:t>
      </w:r>
      <w:r w:rsidRPr="00827F8E">
        <w:rPr>
          <w:rFonts w:ascii="Arial" w:hAnsi="Arial" w:cs="Arial"/>
          <w:noProof/>
          <w:sz w:val="24"/>
          <w:szCs w:val="24"/>
        </w:rPr>
        <w:tab/>
        <w:t xml:space="preserve">Campbell, F.; Bos, F. L.; Sieber, S.; Arias-Alpizar, G.; Koch, B. E.; Huwyler, J.; Kros, A.; Bussmann, J. Directing Nanoparticle Biodistribution through Evasion and Exploitation of Stab2-Dependent Nanoparticle Uptake.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(3), 2138–2150. https://doi.org/10.1021/acsnano.7b06995.</w:t>
      </w:r>
    </w:p>
    <w:p w14:paraId="0392DA3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(227)</w:t>
      </w:r>
      <w:r w:rsidRPr="00827F8E">
        <w:rPr>
          <w:rFonts w:ascii="Arial" w:hAnsi="Arial" w:cs="Arial"/>
          <w:noProof/>
          <w:sz w:val="24"/>
          <w:szCs w:val="24"/>
        </w:rPr>
        <w:tab/>
        <w:t xml:space="preserve">Jang, S. J.; Ohtani, K.; Fukuoh, A.; Yoshizaki, T.; Fukuda, M.; Motomura, W.; Mori, K.; Fukuzawa, J.; Kitamoto, N.; Yoshida, I.; Suzuki, Y.; Wakamiya, N. Scavenger Receptor Collectin Placenta 1 (CL-P1) Predominantly Mediates Zymosan Phagocytosis by Human Vascular Endothelial Cells.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284</w:t>
      </w:r>
      <w:r w:rsidRPr="00827F8E">
        <w:rPr>
          <w:rFonts w:ascii="Arial" w:hAnsi="Arial" w:cs="Arial"/>
          <w:noProof/>
          <w:sz w:val="24"/>
          <w:szCs w:val="24"/>
        </w:rPr>
        <w:t xml:space="preserve"> (6), 3956–3965. https://doi.org/10.1074/jbc.M807477200.</w:t>
      </w:r>
    </w:p>
    <w:p w14:paraId="33CB3BF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(228)</w:t>
      </w:r>
      <w:r w:rsidRPr="00827F8E">
        <w:rPr>
          <w:rFonts w:ascii="Arial" w:hAnsi="Arial" w:cs="Arial"/>
          <w:noProof/>
          <w:sz w:val="24"/>
          <w:szCs w:val="24"/>
        </w:rPr>
        <w:tab/>
        <w:t xml:space="preserve">Jansen, R. W.; Molema, G.; Ching, T. L.; Oosting, R.; Harms, G.; Moolenaar, F.; Hardonk, M. J.; Meijer, D. K. F. Hepatic Endocytosis of Various Types of Mannose-Terminated Albumins: What Is Important, Sugar Recognition, Net Charge, or the Combination of These Features.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1991</w:t>
      </w:r>
      <w:r w:rsidRPr="00827F8E">
        <w:rPr>
          <w:rFonts w:ascii="Arial" w:hAnsi="Arial" w:cs="Arial"/>
          <w:noProof/>
          <w:sz w:val="24"/>
          <w:szCs w:val="24"/>
        </w:rPr>
        <w:t xml:space="preserve">, </w:t>
      </w:r>
      <w:r w:rsidRPr="00827F8E">
        <w:rPr>
          <w:rFonts w:ascii="Arial" w:hAnsi="Arial" w:cs="Arial"/>
          <w:i/>
          <w:iCs/>
          <w:noProof/>
          <w:sz w:val="24"/>
          <w:szCs w:val="24"/>
        </w:rPr>
        <w:t>266</w:t>
      </w:r>
      <w:r w:rsidRPr="00827F8E">
        <w:rPr>
          <w:rFonts w:ascii="Arial" w:hAnsi="Arial" w:cs="Arial"/>
          <w:noProof/>
          <w:sz w:val="24"/>
          <w:szCs w:val="24"/>
        </w:rPr>
        <w:t xml:space="preserve"> (5), 3343–3348.</w:t>
      </w:r>
    </w:p>
    <w:p w14:paraId="16C92CF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(229)</w:t>
      </w:r>
      <w:r w:rsidRPr="00827F8E">
        <w:rPr>
          <w:rFonts w:ascii="Arial" w:hAnsi="Arial" w:cs="Arial"/>
          <w:noProof/>
          <w:sz w:val="24"/>
          <w:szCs w:val="24"/>
        </w:rPr>
        <w:tab/>
        <w:t xml:space="preserve">Meyer, S. G. E.; Wendt, A. E.; Scherer, M.; Liebisch, G.; Kerkweg, U.; Schmitz, G.; De Groot, H. Myriocin, an Inhibitor of Serine Palmitoyl Transferase, Impairs the Uptake of Transferrin and Low-Density Lipoprotein in Mammalian Cells. </w:t>
      </w:r>
      <w:r w:rsidRPr="00827F8E">
        <w:rPr>
          <w:rFonts w:ascii="Arial" w:hAnsi="Arial" w:cs="Arial"/>
          <w:i/>
          <w:iCs/>
          <w:noProof/>
          <w:sz w:val="24"/>
          <w:szCs w:val="24"/>
        </w:rPr>
        <w:t>Arch. Biochem. Biophys.</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526</w:t>
      </w:r>
      <w:r w:rsidRPr="00827F8E">
        <w:rPr>
          <w:rFonts w:ascii="Arial" w:hAnsi="Arial" w:cs="Arial"/>
          <w:noProof/>
          <w:sz w:val="24"/>
          <w:szCs w:val="24"/>
        </w:rPr>
        <w:t xml:space="preserve"> (1), 60–68. https://doi.org/10.1016/j.abb.2012.07.006.</w:t>
      </w:r>
    </w:p>
    <w:p w14:paraId="3ECF6B6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(230)</w:t>
      </w:r>
      <w:r w:rsidRPr="00827F8E">
        <w:rPr>
          <w:rFonts w:ascii="Arial" w:hAnsi="Arial" w:cs="Arial"/>
          <w:noProof/>
          <w:sz w:val="24"/>
          <w:szCs w:val="24"/>
        </w:rPr>
        <w:tab/>
        <w:t xml:space="preserve">Ma, Y.; Jin, J.; Dong, C.; Cheng, E. C.; Lin, H.; Huang, Y.; Qiu, C. High-Efficiency SiRNA-Based Gene Knockdown in Human Embryonic Stem Cells. </w:t>
      </w:r>
      <w:r w:rsidRPr="00827F8E">
        <w:rPr>
          <w:rFonts w:ascii="Arial" w:hAnsi="Arial" w:cs="Arial"/>
          <w:i/>
          <w:iCs/>
          <w:noProof/>
          <w:sz w:val="24"/>
          <w:szCs w:val="24"/>
        </w:rPr>
        <w:t>Rna</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16</w:t>
      </w:r>
      <w:r w:rsidRPr="00827F8E">
        <w:rPr>
          <w:rFonts w:ascii="Arial" w:hAnsi="Arial" w:cs="Arial"/>
          <w:noProof/>
          <w:sz w:val="24"/>
          <w:szCs w:val="24"/>
        </w:rPr>
        <w:t xml:space="preserve"> (12), 2564–2569. https://doi.org/10.1261/rna.2350710.</w:t>
      </w:r>
    </w:p>
    <w:p w14:paraId="36574C0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(231)</w:t>
      </w:r>
      <w:r w:rsidRPr="00827F8E">
        <w:rPr>
          <w:rFonts w:ascii="Arial" w:hAnsi="Arial" w:cs="Arial"/>
          <w:noProof/>
          <w:sz w:val="24"/>
          <w:szCs w:val="24"/>
        </w:rPr>
        <w:tab/>
        <w:t xml:space="preserve">Scherer, L. J.; Rossi, J. J. Approaches for the Sequence-Specific Knockdown of MRNA.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21</w:t>
      </w:r>
      <w:r w:rsidRPr="00827F8E">
        <w:rPr>
          <w:rFonts w:ascii="Arial" w:hAnsi="Arial" w:cs="Arial"/>
          <w:noProof/>
          <w:sz w:val="24"/>
          <w:szCs w:val="24"/>
        </w:rPr>
        <w:t xml:space="preserve"> (12), 1457–1465. https://doi.org/10.1038/nbt915.</w:t>
      </w:r>
    </w:p>
    <w:p w14:paraId="4E0D19B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(232)</w:t>
      </w:r>
      <w:r w:rsidRPr="00827F8E">
        <w:rPr>
          <w:rFonts w:ascii="Arial" w:hAnsi="Arial" w:cs="Arial"/>
          <w:noProof/>
          <w:sz w:val="24"/>
          <w:szCs w:val="24"/>
        </w:rPr>
        <w:tab/>
        <w:t xml:space="preserve">Gonzalez, E.; Nagiel, A.; Lin, A. J.; Golan, D. E.; Michel, T. Small Interfering RNA-Mediated down-Regulation of Caveolin-1 Differentially Modulates Signaling Pathways in Endothelial Cells.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279</w:t>
      </w:r>
      <w:r w:rsidRPr="00827F8E">
        <w:rPr>
          <w:rFonts w:ascii="Arial" w:hAnsi="Arial" w:cs="Arial"/>
          <w:noProof/>
          <w:sz w:val="24"/>
          <w:szCs w:val="24"/>
        </w:rPr>
        <w:t xml:space="preserve"> (39), 40659–40669. https://doi.org/10.1074/jbc.M407051200.</w:t>
      </w:r>
    </w:p>
    <w:p w14:paraId="67A1360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(233)</w:t>
      </w:r>
      <w:r w:rsidRPr="00827F8E">
        <w:rPr>
          <w:rFonts w:ascii="Arial" w:hAnsi="Arial" w:cs="Arial"/>
          <w:noProof/>
          <w:sz w:val="24"/>
          <w:szCs w:val="24"/>
        </w:rPr>
        <w:tab/>
        <w:t xml:space="preserve">Miyawaki-Shimizu, K.; Predescu, D.; Shimizu, J.; Broman, M.; Predescu, S.; Malik, A. B. SiRNA-Induced Caveolin-1 Knockdown in Mice Increases Lung Vascular Permeability via the Junctional Pathway. </w:t>
      </w:r>
      <w:r w:rsidRPr="00827F8E">
        <w:rPr>
          <w:rFonts w:ascii="Arial" w:hAnsi="Arial" w:cs="Arial"/>
          <w:i/>
          <w:iCs/>
          <w:noProof/>
          <w:sz w:val="24"/>
          <w:szCs w:val="24"/>
        </w:rPr>
        <w:t>Am. J. Physiol. - Lung Cell. Mol. Physiol.</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290</w:t>
      </w:r>
      <w:r w:rsidRPr="00827F8E">
        <w:rPr>
          <w:rFonts w:ascii="Arial" w:hAnsi="Arial" w:cs="Arial"/>
          <w:noProof/>
          <w:sz w:val="24"/>
          <w:szCs w:val="24"/>
        </w:rPr>
        <w:t xml:space="preserve"> (2), 405–413. https://doi.org/10.1152/ajplung.00292.2005.</w:t>
      </w:r>
    </w:p>
    <w:p w14:paraId="2EA2D0F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(234)</w:t>
      </w:r>
      <w:r w:rsidRPr="00827F8E">
        <w:rPr>
          <w:rFonts w:ascii="Arial" w:hAnsi="Arial" w:cs="Arial"/>
          <w:noProof/>
          <w:sz w:val="24"/>
          <w:szCs w:val="24"/>
        </w:rPr>
        <w:tab/>
        <w:t xml:space="preserve">Hinrichsen, L.; Harborth, J.; Andrees, L.; Weber, K.; Ungewickell, E. J. Effect of Clathrin Heavy Chain- and α-Adaptin-Specific Small Inhibitory RNAs on Endocytic Accessory Proteins and Receptor Trafficking in HeLa Cells.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278</w:t>
      </w:r>
      <w:r w:rsidRPr="00827F8E">
        <w:rPr>
          <w:rFonts w:ascii="Arial" w:hAnsi="Arial" w:cs="Arial"/>
          <w:noProof/>
          <w:sz w:val="24"/>
          <w:szCs w:val="24"/>
        </w:rPr>
        <w:t xml:space="preserve"> (46), 45160–45170. https://doi.org/10.1074/jbc.M307290200.</w:t>
      </w:r>
    </w:p>
    <w:p w14:paraId="3737311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(235)</w:t>
      </w:r>
      <w:r w:rsidRPr="00827F8E">
        <w:rPr>
          <w:rFonts w:ascii="Arial" w:hAnsi="Arial" w:cs="Arial"/>
          <w:noProof/>
          <w:sz w:val="24"/>
          <w:szCs w:val="24"/>
        </w:rPr>
        <w:tab/>
        <w:t xml:space="preserve">Maekawa, M.; Terasaka, S.; Mochizuki, Y.; Kawai, K.; Ikeda, Y.; Araki, N.; Skolnik, E. Y.; Taguchi, T.; Arai, H. Sequential Breakdown of 3-Phosphorylated Phosphoinositides Is Essential for the Completion of Macropinocytosis. </w:t>
      </w:r>
      <w:r w:rsidRPr="00827F8E">
        <w:rPr>
          <w:rFonts w:ascii="Arial" w:hAnsi="Arial" w:cs="Arial"/>
          <w:i/>
          <w:iCs/>
          <w:noProof/>
          <w:sz w:val="24"/>
          <w:szCs w:val="24"/>
        </w:rPr>
        <w:t>Proc. Natl. Acad. Sci. U. S. A.</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111</w:t>
      </w:r>
      <w:r w:rsidRPr="00827F8E">
        <w:rPr>
          <w:rFonts w:ascii="Arial" w:hAnsi="Arial" w:cs="Arial"/>
          <w:noProof/>
          <w:sz w:val="24"/>
          <w:szCs w:val="24"/>
        </w:rPr>
        <w:t xml:space="preserve"> (11). https://doi.org/10.1073/pnas.1311029111.</w:t>
      </w:r>
    </w:p>
    <w:p w14:paraId="5B63941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(236)</w:t>
      </w:r>
      <w:r w:rsidRPr="00827F8E">
        <w:rPr>
          <w:rFonts w:ascii="Arial" w:hAnsi="Arial" w:cs="Arial"/>
          <w:noProof/>
          <w:sz w:val="24"/>
          <w:szCs w:val="24"/>
        </w:rPr>
        <w:tab/>
        <w:t xml:space="preserve">Razani, B.; Engelman, J. A.; Wang, X. B.; Schubert, W.; Zhang, X. L.; Marks, C. B.; Macalusol, F.; Russell, R. G.; Li, M.; Pestell, R. G.; Di Vizio, D.; Hou, H.; Kneitz, B.; Lagaud, G.; Christ, G. J.; Edelmann, W.; Lisanti, M. P. Caveolin-1 Null Mice Are Viable but Show Evidence of Hyperproliferative and Vascular Abnormalities. </w:t>
      </w:r>
      <w:r w:rsidRPr="00827F8E">
        <w:rPr>
          <w:rFonts w:ascii="Arial" w:hAnsi="Arial" w:cs="Arial"/>
          <w:i/>
          <w:iCs/>
          <w:noProof/>
          <w:sz w:val="24"/>
          <w:szCs w:val="24"/>
        </w:rPr>
        <w:t>J. Biol. Chem.</w:t>
      </w:r>
      <w:r w:rsidRPr="00827F8E">
        <w:rPr>
          <w:rFonts w:ascii="Arial" w:hAnsi="Arial" w:cs="Arial"/>
          <w:noProof/>
          <w:sz w:val="24"/>
          <w:szCs w:val="24"/>
        </w:rPr>
        <w:t xml:space="preserve"> </w:t>
      </w:r>
      <w:r w:rsidRPr="00827F8E">
        <w:rPr>
          <w:rFonts w:ascii="Arial" w:hAnsi="Arial" w:cs="Arial"/>
          <w:b/>
          <w:bCs/>
          <w:noProof/>
          <w:sz w:val="24"/>
          <w:szCs w:val="24"/>
        </w:rPr>
        <w:t>2001</w:t>
      </w:r>
      <w:r w:rsidRPr="00827F8E">
        <w:rPr>
          <w:rFonts w:ascii="Arial" w:hAnsi="Arial" w:cs="Arial"/>
          <w:noProof/>
          <w:sz w:val="24"/>
          <w:szCs w:val="24"/>
        </w:rPr>
        <w:t xml:space="preserve">, </w:t>
      </w:r>
      <w:r w:rsidRPr="00827F8E">
        <w:rPr>
          <w:rFonts w:ascii="Arial" w:hAnsi="Arial" w:cs="Arial"/>
          <w:i/>
          <w:iCs/>
          <w:noProof/>
          <w:sz w:val="24"/>
          <w:szCs w:val="24"/>
        </w:rPr>
        <w:t>276</w:t>
      </w:r>
      <w:r w:rsidRPr="00827F8E">
        <w:rPr>
          <w:rFonts w:ascii="Arial" w:hAnsi="Arial" w:cs="Arial"/>
          <w:noProof/>
          <w:sz w:val="24"/>
          <w:szCs w:val="24"/>
        </w:rPr>
        <w:t xml:space="preserve"> (41), 38121–38138. https://doi.org/10.1074/jbc.M105408200.</w:t>
      </w:r>
    </w:p>
    <w:p w14:paraId="163490B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(237)</w:t>
      </w:r>
      <w:r w:rsidRPr="00827F8E">
        <w:rPr>
          <w:rFonts w:ascii="Arial" w:hAnsi="Arial" w:cs="Arial"/>
          <w:noProof/>
          <w:sz w:val="24"/>
          <w:szCs w:val="24"/>
        </w:rPr>
        <w:tab/>
        <w:t xml:space="preserve">Gao, C.; Li, R.; Huan, J.; Li, W. Caveolin-1 SiRNA Increases the Pulmonary Microvascular and Alveolar Epithelial Permeability in Rats. </w:t>
      </w:r>
      <w:r w:rsidRPr="00827F8E">
        <w:rPr>
          <w:rFonts w:ascii="Arial" w:hAnsi="Arial" w:cs="Arial"/>
          <w:i/>
          <w:iCs/>
          <w:noProof/>
          <w:sz w:val="24"/>
          <w:szCs w:val="24"/>
        </w:rPr>
        <w:t>J. Trauma - Inj. Infect. Crit. Care</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70</w:t>
      </w:r>
      <w:r w:rsidRPr="00827F8E">
        <w:rPr>
          <w:rFonts w:ascii="Arial" w:hAnsi="Arial" w:cs="Arial"/>
          <w:noProof/>
          <w:sz w:val="24"/>
          <w:szCs w:val="24"/>
        </w:rPr>
        <w:t xml:space="preserve"> (1), 210–219. https://doi.org/10.1097/TA.0b013e3181e7432d.</w:t>
      </w:r>
    </w:p>
    <w:p w14:paraId="79A19BD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(238)</w:t>
      </w:r>
      <w:r w:rsidRPr="00827F8E">
        <w:rPr>
          <w:rFonts w:ascii="Arial" w:hAnsi="Arial" w:cs="Arial"/>
          <w:noProof/>
          <w:sz w:val="24"/>
          <w:szCs w:val="24"/>
        </w:rPr>
        <w:tab/>
        <w:t xml:space="preserve">Tatiparti, K.; Sau, S.; Kashaw, S. K.; Iyer, A. K. SiRNA Delivery Strategies: A Comprehensive Review of Recent Developments. </w:t>
      </w:r>
      <w:r w:rsidRPr="00827F8E">
        <w:rPr>
          <w:rFonts w:ascii="Arial" w:hAnsi="Arial" w:cs="Arial"/>
          <w:i/>
          <w:iCs/>
          <w:noProof/>
          <w:sz w:val="24"/>
          <w:szCs w:val="24"/>
        </w:rPr>
        <w:t>Nanomaterials</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xml:space="preserve"> (4), 1–17. https://doi.org/10.3390/nano7040077.</w:t>
      </w:r>
    </w:p>
    <w:p w14:paraId="47E3961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(239)</w:t>
      </w:r>
      <w:r w:rsidRPr="00827F8E">
        <w:rPr>
          <w:rFonts w:ascii="Arial" w:hAnsi="Arial" w:cs="Arial"/>
          <w:noProof/>
          <w:sz w:val="24"/>
          <w:szCs w:val="24"/>
        </w:rPr>
        <w:tab/>
        <w:t xml:space="preserve">Dalby, B. Advanced Transfection with Lipofectamine 2000 Reagent: Primary Neurons, SiRNA, and High-Throughput Applications. </w:t>
      </w:r>
      <w:r w:rsidRPr="00827F8E">
        <w:rPr>
          <w:rFonts w:ascii="Arial" w:hAnsi="Arial" w:cs="Arial"/>
          <w:i/>
          <w:iCs/>
          <w:noProof/>
          <w:sz w:val="24"/>
          <w:szCs w:val="24"/>
        </w:rPr>
        <w:t>Methods</w:t>
      </w:r>
      <w:r w:rsidRPr="00827F8E">
        <w:rPr>
          <w:rFonts w:ascii="Arial" w:hAnsi="Arial" w:cs="Arial"/>
          <w:noProof/>
          <w:sz w:val="24"/>
          <w:szCs w:val="24"/>
        </w:rPr>
        <w:t xml:space="preserve"> </w:t>
      </w:r>
      <w:r w:rsidRPr="00827F8E">
        <w:rPr>
          <w:rFonts w:ascii="Arial" w:hAnsi="Arial" w:cs="Arial"/>
          <w:b/>
          <w:bCs/>
          <w:noProof/>
          <w:sz w:val="24"/>
          <w:szCs w:val="24"/>
        </w:rPr>
        <w:t>2004</w:t>
      </w:r>
      <w:r w:rsidRPr="00827F8E">
        <w:rPr>
          <w:rFonts w:ascii="Arial" w:hAnsi="Arial" w:cs="Arial"/>
          <w:noProof/>
          <w:sz w:val="24"/>
          <w:szCs w:val="24"/>
        </w:rPr>
        <w:t xml:space="preserve">, </w:t>
      </w:r>
      <w:r w:rsidRPr="00827F8E">
        <w:rPr>
          <w:rFonts w:ascii="Arial" w:hAnsi="Arial" w:cs="Arial"/>
          <w:i/>
          <w:iCs/>
          <w:noProof/>
          <w:sz w:val="24"/>
          <w:szCs w:val="24"/>
        </w:rPr>
        <w:t>33</w:t>
      </w:r>
      <w:r w:rsidRPr="00827F8E">
        <w:rPr>
          <w:rFonts w:ascii="Arial" w:hAnsi="Arial" w:cs="Arial"/>
          <w:noProof/>
          <w:sz w:val="24"/>
          <w:szCs w:val="24"/>
        </w:rPr>
        <w:t xml:space="preserve"> (2), 95–103. https://doi.org/10.1016/j.ymeth.2003.11.023.</w:t>
      </w:r>
    </w:p>
    <w:p w14:paraId="0102B3A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(240)</w:t>
      </w:r>
      <w:r w:rsidRPr="00827F8E">
        <w:rPr>
          <w:rFonts w:ascii="Arial" w:hAnsi="Arial" w:cs="Arial"/>
          <w:noProof/>
          <w:sz w:val="24"/>
          <w:szCs w:val="24"/>
        </w:rPr>
        <w:tab/>
        <w:t xml:space="preserve">Li, D.; Qiu, Z.; Shao, Y.; Chen, Y.; Guan, Y.; Liu, M.; Li, Y.; Gao, N.; Wang, L.; Lu, X.; Zhao, Y.; Liu, M. Heritable Gene Targeting in the Mouse and Rat Using a CRISPR-Cas System.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31</w:t>
      </w:r>
      <w:r w:rsidRPr="00827F8E">
        <w:rPr>
          <w:rFonts w:ascii="Arial" w:hAnsi="Arial" w:cs="Arial"/>
          <w:noProof/>
          <w:sz w:val="24"/>
          <w:szCs w:val="24"/>
        </w:rPr>
        <w:t xml:space="preserve"> (8), 681–683. https://doi.org/10.1038/nbt.2661.</w:t>
      </w:r>
    </w:p>
    <w:p w14:paraId="5FB39ED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(241)</w:t>
      </w:r>
      <w:r w:rsidRPr="00827F8E">
        <w:rPr>
          <w:rFonts w:ascii="Arial" w:hAnsi="Arial" w:cs="Arial"/>
          <w:noProof/>
          <w:sz w:val="24"/>
          <w:szCs w:val="24"/>
        </w:rPr>
        <w:tab/>
        <w:t xml:space="preserve">Betzig, E.; Trautman, J. K. Near-Field Optics: Microscopy, Spectroscopy, and Surface Modification beyond the Diffraction Limit. </w:t>
      </w:r>
      <w:r w:rsidRPr="00827F8E">
        <w:rPr>
          <w:rFonts w:ascii="Arial" w:hAnsi="Arial" w:cs="Arial"/>
          <w:i/>
          <w:iCs/>
          <w:noProof/>
          <w:sz w:val="24"/>
          <w:szCs w:val="24"/>
        </w:rPr>
        <w:t>Science (80-. ).</w:t>
      </w:r>
      <w:r w:rsidRPr="00827F8E">
        <w:rPr>
          <w:rFonts w:ascii="Arial" w:hAnsi="Arial" w:cs="Arial"/>
          <w:noProof/>
          <w:sz w:val="24"/>
          <w:szCs w:val="24"/>
        </w:rPr>
        <w:t xml:space="preserve"> </w:t>
      </w:r>
      <w:r w:rsidRPr="00827F8E">
        <w:rPr>
          <w:rFonts w:ascii="Arial" w:hAnsi="Arial" w:cs="Arial"/>
          <w:b/>
          <w:bCs/>
          <w:noProof/>
          <w:sz w:val="24"/>
          <w:szCs w:val="24"/>
        </w:rPr>
        <w:t>1992</w:t>
      </w:r>
      <w:r w:rsidRPr="00827F8E">
        <w:rPr>
          <w:rFonts w:ascii="Arial" w:hAnsi="Arial" w:cs="Arial"/>
          <w:noProof/>
          <w:sz w:val="24"/>
          <w:szCs w:val="24"/>
        </w:rPr>
        <w:t xml:space="preserve">, </w:t>
      </w:r>
      <w:r w:rsidRPr="00827F8E">
        <w:rPr>
          <w:rFonts w:ascii="Arial" w:hAnsi="Arial" w:cs="Arial"/>
          <w:i/>
          <w:iCs/>
          <w:noProof/>
          <w:sz w:val="24"/>
          <w:szCs w:val="24"/>
        </w:rPr>
        <w:t>257</w:t>
      </w:r>
      <w:r w:rsidRPr="00827F8E">
        <w:rPr>
          <w:rFonts w:ascii="Arial" w:hAnsi="Arial" w:cs="Arial"/>
          <w:noProof/>
          <w:sz w:val="24"/>
          <w:szCs w:val="24"/>
        </w:rPr>
        <w:t xml:space="preserve"> (5067), 189–195. https://doi.org/10.1126/science.257.5067.189.</w:t>
      </w:r>
    </w:p>
    <w:p w14:paraId="08E21B7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(242)</w:t>
      </w:r>
      <w:r w:rsidRPr="00827F8E">
        <w:rPr>
          <w:rFonts w:ascii="Arial" w:hAnsi="Arial" w:cs="Arial"/>
          <w:noProof/>
          <w:sz w:val="24"/>
          <w:szCs w:val="24"/>
        </w:rPr>
        <w:tab/>
        <w:t xml:space="preserve">Smith, D. J. Ultimate Resolution in the Electron Microscope? </w:t>
      </w:r>
      <w:r w:rsidRPr="00827F8E">
        <w:rPr>
          <w:rFonts w:ascii="Arial" w:hAnsi="Arial" w:cs="Arial"/>
          <w:i/>
          <w:iCs/>
          <w:noProof/>
          <w:sz w:val="24"/>
          <w:szCs w:val="24"/>
        </w:rPr>
        <w:t>Mater. Today</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(SUPPL.), 30–38. https://doi.org/10.1016/S1369-7021(09)70005-7.</w:t>
      </w:r>
    </w:p>
    <w:p w14:paraId="654381D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(243)</w:t>
      </w:r>
      <w:r w:rsidRPr="00827F8E">
        <w:rPr>
          <w:rFonts w:ascii="Arial" w:hAnsi="Arial" w:cs="Arial"/>
          <w:noProof/>
          <w:sz w:val="24"/>
          <w:szCs w:val="24"/>
        </w:rPr>
        <w:tab/>
        <w:t xml:space="preserve">Titze, B.; Genoud, C. Volume Scanning Electron Microscopy for Imaging Biological Ultrastructure. </w:t>
      </w:r>
      <w:r w:rsidRPr="00827F8E">
        <w:rPr>
          <w:rFonts w:ascii="Arial" w:hAnsi="Arial" w:cs="Arial"/>
          <w:i/>
          <w:iCs/>
          <w:noProof/>
          <w:sz w:val="24"/>
          <w:szCs w:val="24"/>
        </w:rPr>
        <w:t>Biol. Cell</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108</w:t>
      </w:r>
      <w:r w:rsidRPr="00827F8E">
        <w:rPr>
          <w:rFonts w:ascii="Arial" w:hAnsi="Arial" w:cs="Arial"/>
          <w:noProof/>
          <w:sz w:val="24"/>
          <w:szCs w:val="24"/>
        </w:rPr>
        <w:t xml:space="preserve"> (11), 307–323. https://doi.org/10.1111/boc.201600024.</w:t>
      </w:r>
    </w:p>
    <w:p w14:paraId="69D9BD8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(244)</w:t>
      </w:r>
      <w:r w:rsidRPr="00827F8E">
        <w:rPr>
          <w:rFonts w:ascii="Arial" w:hAnsi="Arial" w:cs="Arial"/>
          <w:noProof/>
          <w:sz w:val="24"/>
          <w:szCs w:val="24"/>
        </w:rPr>
        <w:tab/>
        <w:t xml:space="preserve">Lereu, A. L.; Passian, A.; Dumas, P. Near Field Optical Microscopy: A Brief Review. </w:t>
      </w:r>
      <w:r w:rsidRPr="00827F8E">
        <w:rPr>
          <w:rFonts w:ascii="Arial" w:hAnsi="Arial" w:cs="Arial"/>
          <w:i/>
          <w:iCs/>
          <w:noProof/>
          <w:sz w:val="24"/>
          <w:szCs w:val="24"/>
        </w:rPr>
        <w:t>Int. J. Nanotechnol.</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(3–7), 488–501. https://doi.org/10.1504/IJNT.2012.045353.</w:t>
      </w:r>
    </w:p>
    <w:p w14:paraId="6148870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(245)</w:t>
      </w:r>
      <w:r w:rsidRPr="00827F8E">
        <w:rPr>
          <w:rFonts w:ascii="Arial" w:hAnsi="Arial" w:cs="Arial"/>
          <w:noProof/>
          <w:sz w:val="24"/>
          <w:szCs w:val="24"/>
        </w:rPr>
        <w:tab/>
        <w:t xml:space="preserve">Tam, J.; Merino, D. Stochastic Optical Reconstruction Microscopy (STORM) in Comparison with Stimulated Emission Depletion (STED) and Other Imaging Methods. </w:t>
      </w:r>
      <w:r w:rsidRPr="00827F8E">
        <w:rPr>
          <w:rFonts w:ascii="Arial" w:hAnsi="Arial" w:cs="Arial"/>
          <w:i/>
          <w:iCs/>
          <w:noProof/>
          <w:sz w:val="24"/>
          <w:szCs w:val="24"/>
        </w:rPr>
        <w:t>J. Neurochem.</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135</w:t>
      </w:r>
      <w:r w:rsidRPr="00827F8E">
        <w:rPr>
          <w:rFonts w:ascii="Arial" w:hAnsi="Arial" w:cs="Arial"/>
          <w:noProof/>
          <w:sz w:val="24"/>
          <w:szCs w:val="24"/>
        </w:rPr>
        <w:t xml:space="preserve"> (4), 643–658. https://doi.org/10.1111/jnc.13257.</w:t>
      </w:r>
    </w:p>
    <w:p w14:paraId="3671377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(246)</w:t>
      </w:r>
      <w:r w:rsidRPr="00827F8E">
        <w:rPr>
          <w:rFonts w:ascii="Arial" w:hAnsi="Arial" w:cs="Arial"/>
          <w:noProof/>
          <w:sz w:val="24"/>
          <w:szCs w:val="24"/>
        </w:rPr>
        <w:tab/>
        <w:t xml:space="preserve">Chen, F.; Tillberg, P. W.; Boyden, E. S. Expansion Microscopy. </w:t>
      </w:r>
      <w:r w:rsidRPr="00827F8E">
        <w:rPr>
          <w:rFonts w:ascii="Arial" w:hAnsi="Arial" w:cs="Arial"/>
          <w:i/>
          <w:iCs/>
          <w:noProof/>
          <w:sz w:val="24"/>
          <w:szCs w:val="24"/>
        </w:rPr>
        <w:t>Science (80-. ).</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347</w:t>
      </w:r>
      <w:r w:rsidRPr="00827F8E">
        <w:rPr>
          <w:rFonts w:ascii="Arial" w:hAnsi="Arial" w:cs="Arial"/>
          <w:noProof/>
          <w:sz w:val="24"/>
          <w:szCs w:val="24"/>
        </w:rPr>
        <w:t xml:space="preserve"> (6221), 543–548. https://doi.org/10.1126/science.1260088.</w:t>
      </w:r>
    </w:p>
    <w:p w14:paraId="3068B55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(247)</w:t>
      </w:r>
      <w:r w:rsidRPr="00827F8E">
        <w:rPr>
          <w:rFonts w:ascii="Arial" w:hAnsi="Arial" w:cs="Arial"/>
          <w:noProof/>
          <w:sz w:val="24"/>
          <w:szCs w:val="24"/>
        </w:rPr>
        <w:tab/>
        <w:t xml:space="preserve">Zhao, Y.; Bucur, O.; Irshad, H.; Chen, F.; Weins, A.; Stancu, A. L.; Oh, E. Y.; Distasio, M.; Torous, V.; Glass, B.; Stillman, I. E.; Schnitt, S. J.; Beck, A. H.; Boyden, E. S. Nanoscale Imaging of Clinical Specimens Using Pathology-Optimized Expansion Microscopy.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35</w:t>
      </w:r>
      <w:r w:rsidRPr="00827F8E">
        <w:rPr>
          <w:rFonts w:ascii="Arial" w:hAnsi="Arial" w:cs="Arial"/>
          <w:noProof/>
          <w:sz w:val="24"/>
          <w:szCs w:val="24"/>
        </w:rPr>
        <w:t xml:space="preserve"> (8), 757–764. https://doi.org/10.1038/nbt.3892.</w:t>
      </w:r>
    </w:p>
    <w:p w14:paraId="3C022C9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(248)</w:t>
      </w:r>
      <w:r w:rsidRPr="00827F8E">
        <w:rPr>
          <w:rFonts w:ascii="Arial" w:hAnsi="Arial" w:cs="Arial"/>
          <w:noProof/>
          <w:sz w:val="24"/>
          <w:szCs w:val="24"/>
        </w:rPr>
        <w:tab/>
        <w:t xml:space="preserve">Dewey, C. F.; Bussolari, S. R.; Gimbrone, M. A.; Davies, P. F. The Dynamic Response of Vascular Endothelial Cells to Fluid Shear Stress. </w:t>
      </w:r>
      <w:r w:rsidRPr="00827F8E">
        <w:rPr>
          <w:rFonts w:ascii="Arial" w:hAnsi="Arial" w:cs="Arial"/>
          <w:i/>
          <w:iCs/>
          <w:noProof/>
          <w:sz w:val="24"/>
          <w:szCs w:val="24"/>
        </w:rPr>
        <w:t>J. Biomech. Eng.</w:t>
      </w:r>
      <w:r w:rsidRPr="00827F8E">
        <w:rPr>
          <w:rFonts w:ascii="Arial" w:hAnsi="Arial" w:cs="Arial"/>
          <w:noProof/>
          <w:sz w:val="24"/>
          <w:szCs w:val="24"/>
        </w:rPr>
        <w:t xml:space="preserve"> </w:t>
      </w:r>
      <w:r w:rsidRPr="00827F8E">
        <w:rPr>
          <w:rFonts w:ascii="Arial" w:hAnsi="Arial" w:cs="Arial"/>
          <w:b/>
          <w:bCs/>
          <w:noProof/>
          <w:sz w:val="24"/>
          <w:szCs w:val="24"/>
        </w:rPr>
        <w:t>1981</w:t>
      </w:r>
      <w:r w:rsidRPr="00827F8E">
        <w:rPr>
          <w:rFonts w:ascii="Arial" w:hAnsi="Arial" w:cs="Arial"/>
          <w:noProof/>
          <w:sz w:val="24"/>
          <w:szCs w:val="24"/>
        </w:rPr>
        <w:t xml:space="preserve">, </w:t>
      </w:r>
      <w:r w:rsidRPr="00827F8E">
        <w:rPr>
          <w:rFonts w:ascii="Arial" w:hAnsi="Arial" w:cs="Arial"/>
          <w:i/>
          <w:iCs/>
          <w:noProof/>
          <w:sz w:val="24"/>
          <w:szCs w:val="24"/>
        </w:rPr>
        <w:t>103</w:t>
      </w:r>
      <w:r w:rsidRPr="00827F8E">
        <w:rPr>
          <w:rFonts w:ascii="Arial" w:hAnsi="Arial" w:cs="Arial"/>
          <w:noProof/>
          <w:sz w:val="24"/>
          <w:szCs w:val="24"/>
        </w:rPr>
        <w:t xml:space="preserve"> (3), 177–185. https://doi.org/10.1115/1.3138276.</w:t>
      </w:r>
    </w:p>
    <w:p w14:paraId="3A75701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(249)</w:t>
      </w:r>
      <w:r w:rsidRPr="00827F8E">
        <w:rPr>
          <w:rFonts w:ascii="Arial" w:hAnsi="Arial" w:cs="Arial"/>
          <w:noProof/>
          <w:sz w:val="24"/>
          <w:szCs w:val="24"/>
        </w:rPr>
        <w:tab/>
        <w:t xml:space="preserve">Resnick, N.; Yahav, H.; Shay-Salit, A.; Shushy, M.; Schubert, S.; Zilberman, L. C. M.; Wofovitz, E. Fluid Shear Stress and the Vascular Endothelium: For Better and for Worse. </w:t>
      </w:r>
      <w:r w:rsidRPr="00827F8E">
        <w:rPr>
          <w:rFonts w:ascii="Arial" w:hAnsi="Arial" w:cs="Arial"/>
          <w:i/>
          <w:iCs/>
          <w:noProof/>
          <w:sz w:val="24"/>
          <w:szCs w:val="24"/>
        </w:rPr>
        <w:t>Prog. Biophys. Mol. Biol.</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81</w:t>
      </w:r>
      <w:r w:rsidRPr="00827F8E">
        <w:rPr>
          <w:rFonts w:ascii="Arial" w:hAnsi="Arial" w:cs="Arial"/>
          <w:noProof/>
          <w:sz w:val="24"/>
          <w:szCs w:val="24"/>
        </w:rPr>
        <w:t xml:space="preserve"> (3), 177–199. https://doi.org/10.1016/S0079-6107(02)00052-4.</w:t>
      </w:r>
    </w:p>
    <w:p w14:paraId="465A67B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(250)</w:t>
      </w:r>
      <w:r w:rsidRPr="00827F8E">
        <w:rPr>
          <w:rFonts w:ascii="Arial" w:hAnsi="Arial" w:cs="Arial"/>
          <w:noProof/>
          <w:sz w:val="24"/>
          <w:szCs w:val="24"/>
        </w:rPr>
        <w:tab/>
        <w:t xml:space="preserve">Samuel, S. P.; Jain, N.; O’Dowd, F.; Paul, T.; Kashanin, D.; Gerard, V. A.; Gun’ko, Y. K.; Prina-Mello, A.; Volkov, Y. Multifactorial Determinants That Govern Nanoparticle Uptake by Human Endothelial Cells under Flow. </w:t>
      </w:r>
      <w:r w:rsidRPr="00827F8E">
        <w:rPr>
          <w:rFonts w:ascii="Arial" w:hAnsi="Arial" w:cs="Arial"/>
          <w:i/>
          <w:iCs/>
          <w:noProof/>
          <w:sz w:val="24"/>
          <w:szCs w:val="24"/>
        </w:rPr>
        <w:t>Int. J. Nanomedicine</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7</w:t>
      </w:r>
      <w:r w:rsidRPr="00827F8E">
        <w:rPr>
          <w:rFonts w:ascii="Arial" w:hAnsi="Arial" w:cs="Arial"/>
          <w:noProof/>
          <w:sz w:val="24"/>
          <w:szCs w:val="24"/>
        </w:rPr>
        <w:t>, 2943–2956. https://doi.org/10.2147/IJN.S30624.</w:t>
      </w:r>
    </w:p>
    <w:p w14:paraId="1549C24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(251)</w:t>
      </w:r>
      <w:r w:rsidRPr="00827F8E">
        <w:rPr>
          <w:rFonts w:ascii="Arial" w:hAnsi="Arial" w:cs="Arial"/>
          <w:noProof/>
          <w:sz w:val="24"/>
          <w:szCs w:val="24"/>
        </w:rPr>
        <w:tab/>
        <w:t xml:space="preserve">Brandenberg, N.; Lutolf, M. P. In Situ Patterning of Microfluidic Networks in 3D Cell-Laden Hydrogels. </w:t>
      </w:r>
      <w:r w:rsidRPr="00827F8E">
        <w:rPr>
          <w:rFonts w:ascii="Arial" w:hAnsi="Arial" w:cs="Arial"/>
          <w:i/>
          <w:iCs/>
          <w:noProof/>
          <w:sz w:val="24"/>
          <w:szCs w:val="24"/>
        </w:rPr>
        <w:t>Adv. Mater.</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28</w:t>
      </w:r>
      <w:r w:rsidRPr="00827F8E">
        <w:rPr>
          <w:rFonts w:ascii="Arial" w:hAnsi="Arial" w:cs="Arial"/>
          <w:noProof/>
          <w:sz w:val="24"/>
          <w:szCs w:val="24"/>
        </w:rPr>
        <w:t xml:space="preserve"> (34), 7450–7456. https://doi.org/10.1002/adma.201601099.</w:t>
      </w:r>
    </w:p>
    <w:p w14:paraId="49AE0B3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(252)</w:t>
      </w:r>
      <w:r w:rsidRPr="00827F8E">
        <w:rPr>
          <w:rFonts w:ascii="Arial" w:hAnsi="Arial" w:cs="Arial"/>
          <w:noProof/>
          <w:sz w:val="24"/>
          <w:szCs w:val="24"/>
        </w:rPr>
        <w:tab/>
        <w:t xml:space="preserve">Heintz, K. A.; Bregenzer, M. E.; Mantle, J. L.; Lee, K. H.; West, J. L.; Slater, J. H. Fabrication of 3D Biomimetic Microfluidic Networks in Hydrogels. </w:t>
      </w:r>
      <w:r w:rsidRPr="00827F8E">
        <w:rPr>
          <w:rFonts w:ascii="Arial" w:hAnsi="Arial" w:cs="Arial"/>
          <w:i/>
          <w:iCs/>
          <w:noProof/>
          <w:sz w:val="24"/>
          <w:szCs w:val="24"/>
        </w:rPr>
        <w:t>Adv. Healthc. Mater.</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(17), 2153–2160. https://doi.org/10.1002/adhm.201600351.</w:t>
      </w:r>
    </w:p>
    <w:p w14:paraId="34F1CB8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(253)</w:t>
      </w:r>
      <w:r w:rsidRPr="00827F8E">
        <w:rPr>
          <w:rFonts w:ascii="Arial" w:hAnsi="Arial" w:cs="Arial"/>
          <w:noProof/>
          <w:sz w:val="24"/>
          <w:szCs w:val="24"/>
        </w:rPr>
        <w:tab/>
        <w:t>Fleischer, S.; Tavakol, D. N.; Vunjak</w:t>
      </w:r>
      <w:r w:rsidRPr="00827F8E">
        <w:rPr>
          <w:rFonts w:ascii="Cambria Math" w:hAnsi="Cambria Math" w:cs="Cambria Math"/>
          <w:noProof/>
          <w:sz w:val="24"/>
          <w:szCs w:val="24"/>
        </w:rPr>
        <w:t>‐</w:t>
      </w:r>
      <w:r w:rsidRPr="00827F8E">
        <w:rPr>
          <w:rFonts w:ascii="Arial" w:hAnsi="Arial" w:cs="Arial"/>
          <w:noProof/>
          <w:sz w:val="24"/>
          <w:szCs w:val="24"/>
        </w:rPr>
        <w:t xml:space="preserve">Novakovic, G. From Arteries to Capillaries: Approaches to Engineering Human Vasculature. </w:t>
      </w:r>
      <w:r w:rsidRPr="00827F8E">
        <w:rPr>
          <w:rFonts w:ascii="Arial" w:hAnsi="Arial" w:cs="Arial"/>
          <w:i/>
          <w:iCs/>
          <w:noProof/>
          <w:sz w:val="24"/>
          <w:szCs w:val="24"/>
        </w:rPr>
        <w:t>Adv. Funct. Mater.</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1910811. https://doi.org/10.1002/adfm.201910811.</w:t>
      </w:r>
    </w:p>
    <w:p w14:paraId="3B1A900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(254)</w:t>
      </w:r>
      <w:r w:rsidRPr="00827F8E">
        <w:rPr>
          <w:rFonts w:ascii="Arial" w:hAnsi="Arial" w:cs="Arial"/>
          <w:noProof/>
          <w:sz w:val="24"/>
          <w:szCs w:val="24"/>
        </w:rPr>
        <w:tab/>
        <w:t xml:space="preserve">Pradhan, S.; Banda, O. A.; Farino, C. J.; Sperduto, J. L.; Keller, K. A.; Taitano, R.; Slater, J. H. Biofabrication Strategies and Engineered In Vitro Systems for Vascular Mechanobiology. </w:t>
      </w:r>
      <w:r w:rsidRPr="00827F8E">
        <w:rPr>
          <w:rFonts w:ascii="Arial" w:hAnsi="Arial" w:cs="Arial"/>
          <w:i/>
          <w:iCs/>
          <w:noProof/>
          <w:sz w:val="24"/>
          <w:szCs w:val="24"/>
        </w:rPr>
        <w:t>Adv. Healthc. Mater.</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(8), 1901255. </w:t>
      </w:r>
      <w:r w:rsidRPr="00827F8E">
        <w:rPr>
          <w:rFonts w:ascii="Arial" w:hAnsi="Arial" w:cs="Arial"/>
          <w:noProof/>
          <w:sz w:val="24"/>
          <w:szCs w:val="24"/>
        </w:rPr>
        <w:lastRenderedPageBreak/>
        <w:t>https://doi.org/10.1002/adhm.201901255.</w:t>
      </w:r>
    </w:p>
    <w:p w14:paraId="0514320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(255)</w:t>
      </w:r>
      <w:r w:rsidRPr="00827F8E">
        <w:rPr>
          <w:rFonts w:ascii="Arial" w:hAnsi="Arial" w:cs="Arial"/>
          <w:noProof/>
          <w:sz w:val="24"/>
          <w:szCs w:val="24"/>
        </w:rPr>
        <w:tab/>
        <w:t xml:space="preserve">Yang, A. C.; Stevens, M. Y.; Chen, M. B.; Lee, D. P.; Stähli, D.; Gate, D.; Contrepois, K.; Chen, W.; Iram, T.; Zhang, L.; Vest, R. T.; Chaney, A.; Lehallier, B.; Olsson, N.; du Bois, H.; Hsieh, R.; Cropper, H. C.; Berdnik, D.; Li, L.; Wang, E. Y.; Traber, G. M.; Bertozzi, C. R.; Luo, J.; Snyder, M. P.; Elias, J. E.; Quake, S. R.; James, M. L.; Wyss-Coray, T. Physiological Blood–Brain Transport Is Impaired with Age by a Shift in Transcytosis. </w:t>
      </w:r>
      <w:r w:rsidRPr="00827F8E">
        <w:rPr>
          <w:rFonts w:ascii="Arial" w:hAnsi="Arial" w:cs="Arial"/>
          <w:i/>
          <w:iCs/>
          <w:noProof/>
          <w:sz w:val="24"/>
          <w:szCs w:val="24"/>
        </w:rPr>
        <w:t>Nature</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1–6. https://doi.org/10.1038/s41586-020-2453-z.</w:t>
      </w:r>
    </w:p>
    <w:p w14:paraId="72D066C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(256)</w:t>
      </w:r>
      <w:r w:rsidRPr="00827F8E">
        <w:rPr>
          <w:rFonts w:ascii="Arial" w:hAnsi="Arial" w:cs="Arial"/>
          <w:noProof/>
          <w:sz w:val="24"/>
          <w:szCs w:val="24"/>
        </w:rPr>
        <w:tab/>
        <w:t xml:space="preserve">Moss, J. I.; Barjat, H.; Emmas, S. A.; Strittmatter, N.; Maynard, J.; Goodwin, R. J. A.; Storm, G.; Lammers, T.; Puri, S.; Ashford, M. B.; Barry, S. T. High-Resolution 3D Visualization of Nanomedicine Distribution in Tumors. </w:t>
      </w:r>
      <w:r w:rsidRPr="00827F8E">
        <w:rPr>
          <w:rFonts w:ascii="Arial" w:hAnsi="Arial" w:cs="Arial"/>
          <w:i/>
          <w:iCs/>
          <w:noProof/>
          <w:sz w:val="24"/>
          <w:szCs w:val="24"/>
        </w:rPr>
        <w:t>Theranostics</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(2), 880–897. https://doi.org/10.7150/thno.37178.</w:t>
      </w:r>
    </w:p>
    <w:p w14:paraId="40039C2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(257)</w:t>
      </w:r>
      <w:r w:rsidRPr="00827F8E">
        <w:rPr>
          <w:rFonts w:ascii="Arial" w:hAnsi="Arial" w:cs="Arial"/>
          <w:noProof/>
          <w:sz w:val="24"/>
          <w:szCs w:val="24"/>
        </w:rPr>
        <w:tab/>
        <w:t xml:space="preserve">Tam, A. L.; Melancon, M. P.; Abdelsalam, M.; Figueira, T. A.; Dixon, K.; McWatters, A.; Zhou, M.; Huang, Q.; Mawlawi, O.; Dunner, K.; Li, C.; Gupta, S. Imaging Intratumoral Nanoparticle Uptake after Combining Nanoembolization with Various Ablative Therapies in Hepatic VX2 Rabbit Tumors. </w:t>
      </w:r>
      <w:r w:rsidRPr="00827F8E">
        <w:rPr>
          <w:rFonts w:ascii="Arial" w:hAnsi="Arial" w:cs="Arial"/>
          <w:i/>
          <w:iCs/>
          <w:noProof/>
          <w:sz w:val="24"/>
          <w:szCs w:val="24"/>
        </w:rPr>
        <w:t>J. Biomed. Nanotechnol.</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(2), 296–307. https://doi.org/10.1166/jbn.2016.2174.</w:t>
      </w:r>
    </w:p>
    <w:p w14:paraId="658AAFD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(258)</w:t>
      </w:r>
      <w:r w:rsidRPr="00827F8E">
        <w:rPr>
          <w:rFonts w:ascii="Arial" w:hAnsi="Arial" w:cs="Arial"/>
          <w:noProof/>
          <w:sz w:val="24"/>
          <w:szCs w:val="24"/>
        </w:rPr>
        <w:tab/>
        <w:t xml:space="preserve">Sharma, A.; Cornejo, C.; Mihalic, J.; Geyh, A.; Bordelon, D. E.; Korangath, P.; Westphal, F.; Gruettner, C.; Ivkov, R. Physical Characterization and in Vivo Organ Distribution of Coated Iron Oxide Nanoparticles. </w:t>
      </w:r>
      <w:r w:rsidRPr="00827F8E">
        <w:rPr>
          <w:rFonts w:ascii="Arial" w:hAnsi="Arial" w:cs="Arial"/>
          <w:i/>
          <w:iCs/>
          <w:noProof/>
          <w:sz w:val="24"/>
          <w:szCs w:val="24"/>
        </w:rPr>
        <w:t>Sci. Rep.</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(1), 1–12. https://doi.org/10.1038/s41598-018-23317-2.</w:t>
      </w:r>
    </w:p>
    <w:p w14:paraId="1488372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(259)</w:t>
      </w:r>
      <w:r w:rsidRPr="00827F8E">
        <w:rPr>
          <w:rFonts w:ascii="Arial" w:hAnsi="Arial" w:cs="Arial"/>
          <w:noProof/>
          <w:sz w:val="24"/>
          <w:szCs w:val="24"/>
        </w:rPr>
        <w:tab/>
        <w:t xml:space="preserve">Fukumura, D.; Duda, D. G.; Munn, L. L.; Jain, R. K. Tumor Microvasculature and Microenvironment: Novel Insights Through Intravital Imaging in Pre-Clinical Models. </w:t>
      </w:r>
      <w:r w:rsidRPr="00827F8E">
        <w:rPr>
          <w:rFonts w:ascii="Arial" w:hAnsi="Arial" w:cs="Arial"/>
          <w:i/>
          <w:iCs/>
          <w:noProof/>
          <w:sz w:val="24"/>
          <w:szCs w:val="24"/>
        </w:rPr>
        <w:t>Microcirculation</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17</w:t>
      </w:r>
      <w:r w:rsidRPr="00827F8E">
        <w:rPr>
          <w:rFonts w:ascii="Arial" w:hAnsi="Arial" w:cs="Arial"/>
          <w:noProof/>
          <w:sz w:val="24"/>
          <w:szCs w:val="24"/>
        </w:rPr>
        <w:t xml:space="preserve"> (3), 206–225. https://doi.org/10.1111/j.1549-8719.2010.00029.x.</w:t>
      </w:r>
    </w:p>
    <w:p w14:paraId="48B9870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(260)</w:t>
      </w:r>
      <w:r w:rsidRPr="00827F8E">
        <w:rPr>
          <w:rFonts w:ascii="Arial" w:hAnsi="Arial" w:cs="Arial"/>
          <w:noProof/>
          <w:sz w:val="24"/>
          <w:szCs w:val="24"/>
        </w:rPr>
        <w:tab/>
        <w:t xml:space="preserve">Cheng, S. H.; Li, F. C.; Souris, J. S.; Yang, C. S.; Tseng, F. G.; Lee, H. S.; Chen, C. T.; Dong, C. Y.; Lo, L. W. Visualizing Dynamics of Sub-Hepatic Distribution of Nanoparticles Using Intravital Multiphoton Fluorescence Microscopy.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xml:space="preserve"> (5), 4122–4131. https://doi.org/10.1021/nn300558p.</w:t>
      </w:r>
    </w:p>
    <w:p w14:paraId="107EBF1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(261)</w:t>
      </w:r>
      <w:r w:rsidRPr="00827F8E">
        <w:rPr>
          <w:rFonts w:ascii="Arial" w:hAnsi="Arial" w:cs="Arial"/>
          <w:noProof/>
          <w:sz w:val="24"/>
          <w:szCs w:val="24"/>
        </w:rPr>
        <w:tab/>
        <w:t xml:space="preserve">Richardson, D. S.; Lichtman, J. W. Clarifying Tissue Clearing. </w:t>
      </w:r>
      <w:r w:rsidRPr="00827F8E">
        <w:rPr>
          <w:rFonts w:ascii="Arial" w:hAnsi="Arial" w:cs="Arial"/>
          <w:i/>
          <w:iCs/>
          <w:noProof/>
          <w:sz w:val="24"/>
          <w:szCs w:val="24"/>
        </w:rPr>
        <w:t>Cell</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162</w:t>
      </w:r>
      <w:r w:rsidRPr="00827F8E">
        <w:rPr>
          <w:rFonts w:ascii="Arial" w:hAnsi="Arial" w:cs="Arial"/>
          <w:noProof/>
          <w:sz w:val="24"/>
          <w:szCs w:val="24"/>
        </w:rPr>
        <w:t xml:space="preserve"> (2), 246–257. https://doi.org/10.1016/j.cell.2015.06.067.</w:t>
      </w:r>
    </w:p>
    <w:p w14:paraId="69748B4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(262)</w:t>
      </w:r>
      <w:r w:rsidRPr="00827F8E">
        <w:rPr>
          <w:rFonts w:ascii="Arial" w:hAnsi="Arial" w:cs="Arial"/>
          <w:noProof/>
          <w:sz w:val="24"/>
          <w:szCs w:val="24"/>
        </w:rPr>
        <w:tab/>
        <w:t xml:space="preserve">Sindhwani, S.; Syed, A. M.; Wilhelm, S.; Glancy, D. R.; Chen, Y. Y.; Dobosz, M.; Chan, W. C. W. Three-Dimensional Optical Mapping of Nanoparticle Distribution in Intact Tissues.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(5), 5468–5478. https://doi.org/10.1021/acsnano.6b01879.</w:t>
      </w:r>
    </w:p>
    <w:p w14:paraId="370FDAB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(263)</w:t>
      </w:r>
      <w:r w:rsidRPr="00827F8E">
        <w:rPr>
          <w:rFonts w:ascii="Arial" w:hAnsi="Arial" w:cs="Arial"/>
          <w:noProof/>
          <w:sz w:val="24"/>
          <w:szCs w:val="24"/>
        </w:rPr>
        <w:tab/>
        <w:t xml:space="preserve">Syed, A. M.; MacMillan, P.; Ngai, J.; Wilhelm, S.; Sindhwani, S.; Kingston, B. R.; Wu, J. L. Y.; Llano-Suárez, P.; Lin, Z. P.; Ouyang, B.; Kahiel, Z.; Gadde, S.; Chan, W. C. W. Liposome Imaging in Optically Cleared Tissues.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20</w:t>
      </w:r>
      <w:r w:rsidRPr="00827F8E">
        <w:rPr>
          <w:rFonts w:ascii="Arial" w:hAnsi="Arial" w:cs="Arial"/>
          <w:noProof/>
          <w:sz w:val="24"/>
          <w:szCs w:val="24"/>
        </w:rPr>
        <w:t xml:space="preserve"> (2), 1362–1369. https://doi.org/10.1021/acs.nanolett.9b04853.</w:t>
      </w:r>
    </w:p>
    <w:p w14:paraId="76457F1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(264)</w:t>
      </w:r>
      <w:r w:rsidRPr="00827F8E">
        <w:rPr>
          <w:rFonts w:ascii="Arial" w:hAnsi="Arial" w:cs="Arial"/>
          <w:noProof/>
          <w:sz w:val="24"/>
          <w:szCs w:val="24"/>
        </w:rPr>
        <w:tab/>
        <w:t xml:space="preserve">Sindhwani, S.; Syed, A. M.; Wilhelm, S.; Chan, W. C. W. Exploring Passive Clearing for 3D Optical Imaging of Nanoparticles in Intact Tissues. </w:t>
      </w:r>
      <w:r w:rsidRPr="00827F8E">
        <w:rPr>
          <w:rFonts w:ascii="Arial" w:hAnsi="Arial" w:cs="Arial"/>
          <w:i/>
          <w:iCs/>
          <w:noProof/>
          <w:sz w:val="24"/>
          <w:szCs w:val="24"/>
        </w:rPr>
        <w:t xml:space="preserve">Bioconjug. </w:t>
      </w:r>
      <w:r w:rsidRPr="00827F8E">
        <w:rPr>
          <w:rFonts w:ascii="Arial" w:hAnsi="Arial" w:cs="Arial"/>
          <w:i/>
          <w:iCs/>
          <w:noProof/>
          <w:sz w:val="24"/>
          <w:szCs w:val="24"/>
        </w:rPr>
        <w:lastRenderedPageBreak/>
        <w:t>Chem.</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28</w:t>
      </w:r>
      <w:r w:rsidRPr="00827F8E">
        <w:rPr>
          <w:rFonts w:ascii="Arial" w:hAnsi="Arial" w:cs="Arial"/>
          <w:noProof/>
          <w:sz w:val="24"/>
          <w:szCs w:val="24"/>
        </w:rPr>
        <w:t xml:space="preserve"> (1), 253–259. https://doi.org/10.1021/acs.bioconjchem.6b00500.</w:t>
      </w:r>
    </w:p>
    <w:p w14:paraId="632A219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(265)</w:t>
      </w:r>
      <w:r w:rsidRPr="00827F8E">
        <w:rPr>
          <w:rFonts w:ascii="Arial" w:hAnsi="Arial" w:cs="Arial"/>
          <w:noProof/>
          <w:sz w:val="24"/>
          <w:szCs w:val="24"/>
        </w:rPr>
        <w:tab/>
        <w:t xml:space="preserve">Syed, A. M.; Sindhwani, S.; Wilhelm, S.; Kingston, B. R.; Lee, D. S. W.; Gommerman, J. L.; Chan, W. C. W. Three-Dimensional Imaging of Transparent Tissues via Metal Nanoparticle Labeling. </w:t>
      </w:r>
      <w:r w:rsidRPr="00827F8E">
        <w:rPr>
          <w:rFonts w:ascii="Arial" w:hAnsi="Arial" w:cs="Arial"/>
          <w:i/>
          <w:iCs/>
          <w:noProof/>
          <w:sz w:val="24"/>
          <w:szCs w:val="24"/>
        </w:rPr>
        <w:t>J. Am. Chem. Soc.</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139</w:t>
      </w:r>
      <w:r w:rsidRPr="00827F8E">
        <w:rPr>
          <w:rFonts w:ascii="Arial" w:hAnsi="Arial" w:cs="Arial"/>
          <w:noProof/>
          <w:sz w:val="24"/>
          <w:szCs w:val="24"/>
        </w:rPr>
        <w:t xml:space="preserve"> (29), 9961–9971. https://doi.org/10.1021/jacs.7b04022.</w:t>
      </w:r>
    </w:p>
    <w:p w14:paraId="6257CEE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(266)</w:t>
      </w:r>
      <w:r w:rsidRPr="00827F8E">
        <w:rPr>
          <w:rFonts w:ascii="Arial" w:hAnsi="Arial" w:cs="Arial"/>
          <w:noProof/>
          <w:sz w:val="24"/>
          <w:szCs w:val="24"/>
        </w:rPr>
        <w:tab/>
        <w:t xml:space="preserve">Cai, R.; Pan, C.; Ghasemigharagoz, A.; Todorov, M. I.; Förstera, B.; Zhao, S.; Bhatia, H. S.; Parra-Damas, A.; Mrowka, L.; Theodorou, D.; Rempfler, M.; Xavier, A. L. R.; Kress, B. T.; Benakis, C.; Steinke, H.; Liebscher, S.; Bechmann, I.; Liesz, A.; Menze, B.; Kerschensteiner, M.; Nedergaard, M.; Ertürk, A. Panoptic Imaging of Transparent Mice Reveals Whole-Body Neuronal Projections and Skull–Meninges Connections. </w:t>
      </w:r>
      <w:r w:rsidRPr="00827F8E">
        <w:rPr>
          <w:rFonts w:ascii="Arial" w:hAnsi="Arial" w:cs="Arial"/>
          <w:i/>
          <w:iCs/>
          <w:noProof/>
          <w:sz w:val="24"/>
          <w:szCs w:val="24"/>
        </w:rPr>
        <w:t>Nat. Neurosci.</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(2), 317–327. https://doi.org/10.1038/s41593-018-0301-3.</w:t>
      </w:r>
    </w:p>
    <w:p w14:paraId="5DA9A2C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(267)</w:t>
      </w:r>
      <w:r w:rsidRPr="00827F8E">
        <w:rPr>
          <w:rFonts w:ascii="Arial" w:hAnsi="Arial" w:cs="Arial"/>
          <w:noProof/>
          <w:sz w:val="24"/>
          <w:szCs w:val="24"/>
        </w:rPr>
        <w:tab/>
        <w:t xml:space="preserve">Power, R. M.; Huisken, J. A Guide to Light-Sheet Fluorescence Microscopy for Multiscale Imaging. </w:t>
      </w:r>
      <w:r w:rsidRPr="00827F8E">
        <w:rPr>
          <w:rFonts w:ascii="Arial" w:hAnsi="Arial" w:cs="Arial"/>
          <w:i/>
          <w:iCs/>
          <w:noProof/>
          <w:sz w:val="24"/>
          <w:szCs w:val="24"/>
        </w:rPr>
        <w:t>Nat. Methods</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(4), 360–373. https://doi.org/10.1038/nmeth.4224.</w:t>
      </w:r>
    </w:p>
    <w:p w14:paraId="4FD76A5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(268)</w:t>
      </w:r>
      <w:r w:rsidRPr="00827F8E">
        <w:rPr>
          <w:rFonts w:ascii="Arial" w:hAnsi="Arial" w:cs="Arial"/>
          <w:noProof/>
          <w:sz w:val="24"/>
          <w:szCs w:val="24"/>
        </w:rPr>
        <w:tab/>
        <w:t xml:space="preserve">Li, R.; Ng, T. S. C.; Garlin, M. A.; Weissleder, R.; Miller, M. A. Understanding the In Vivo Fate of Advanced Materials by Imaging.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1910369</w:t>
      </w:r>
      <w:r w:rsidRPr="00827F8E">
        <w:rPr>
          <w:rFonts w:ascii="Arial" w:hAnsi="Arial" w:cs="Arial"/>
          <w:noProof/>
          <w:sz w:val="24"/>
          <w:szCs w:val="24"/>
        </w:rPr>
        <w:t>, 1–42. https://doi.org/10.1002/adfm.201910369.</w:t>
      </w:r>
    </w:p>
    <w:p w14:paraId="16184E1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(269)</w:t>
      </w:r>
      <w:r w:rsidRPr="00827F8E">
        <w:rPr>
          <w:rFonts w:ascii="Arial" w:hAnsi="Arial" w:cs="Arial"/>
          <w:noProof/>
          <w:sz w:val="24"/>
          <w:szCs w:val="24"/>
        </w:rPr>
        <w:tab/>
        <w:t xml:space="preserve">Todorov, M. I.; Paetzold, J. C.; Schoppe, O.; Tetteh, G.; Shit, S.; Efremov, V.; Todorov-Völgyi, K.; Düring, M.; Dichgans, M.; Piraud, M.; Menze, B.; Ertürk, A. Machine Learning Analysis of Whole Mouse Brain Vasculature. </w:t>
      </w:r>
      <w:r w:rsidRPr="00827F8E">
        <w:rPr>
          <w:rFonts w:ascii="Arial" w:hAnsi="Arial" w:cs="Arial"/>
          <w:i/>
          <w:iCs/>
          <w:noProof/>
          <w:sz w:val="24"/>
          <w:szCs w:val="24"/>
        </w:rPr>
        <w:t>Nat. Methods</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17</w:t>
      </w:r>
      <w:r w:rsidRPr="00827F8E">
        <w:rPr>
          <w:rFonts w:ascii="Arial" w:hAnsi="Arial" w:cs="Arial"/>
          <w:noProof/>
          <w:sz w:val="24"/>
          <w:szCs w:val="24"/>
        </w:rPr>
        <w:t xml:space="preserve"> (April). https://doi.org/10.1038/s41592-020-0792-1.</w:t>
      </w:r>
    </w:p>
    <w:p w14:paraId="3D78E68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(270)</w:t>
      </w:r>
      <w:r w:rsidRPr="00827F8E">
        <w:rPr>
          <w:rFonts w:ascii="Arial" w:hAnsi="Arial" w:cs="Arial"/>
          <w:noProof/>
          <w:sz w:val="24"/>
          <w:szCs w:val="24"/>
        </w:rPr>
        <w:tab/>
        <w:t xml:space="preserve">Stephan, M. T.; Moon, J. J.; Um, S. H.; Bersthteyn, A.; Irvine, D. J. Therapeutic Cell Engineering with Surface-Conjugated Synthetic Nanoparticles. </w:t>
      </w:r>
      <w:r w:rsidRPr="00827F8E">
        <w:rPr>
          <w:rFonts w:ascii="Arial" w:hAnsi="Arial" w:cs="Arial"/>
          <w:i/>
          <w:iCs/>
          <w:noProof/>
          <w:sz w:val="24"/>
          <w:szCs w:val="24"/>
        </w:rPr>
        <w:t>Nat. Med.</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16</w:t>
      </w:r>
      <w:r w:rsidRPr="00827F8E">
        <w:rPr>
          <w:rFonts w:ascii="Arial" w:hAnsi="Arial" w:cs="Arial"/>
          <w:noProof/>
          <w:sz w:val="24"/>
          <w:szCs w:val="24"/>
        </w:rPr>
        <w:t xml:space="preserve"> (9), 1035–1041. https://doi.org/10.1038/nm.2198.</w:t>
      </w:r>
    </w:p>
    <w:p w14:paraId="6230B3E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(271)</w:t>
      </w:r>
      <w:r w:rsidRPr="00827F8E">
        <w:rPr>
          <w:rFonts w:ascii="Arial" w:hAnsi="Arial" w:cs="Arial"/>
          <w:noProof/>
          <w:sz w:val="24"/>
          <w:szCs w:val="24"/>
        </w:rPr>
        <w:tab/>
        <w:t xml:space="preserve">Hua, S.; de Matos, M. B. C.; Metselaar, J. M.; Storm, G. Current Trends and Challenges in the Clinical Translation of Nanoparticulate Nanomedicines: Pathways for Translational Development and Commercialization. </w:t>
      </w:r>
      <w:r w:rsidRPr="00827F8E">
        <w:rPr>
          <w:rFonts w:ascii="Arial" w:hAnsi="Arial" w:cs="Arial"/>
          <w:i/>
          <w:iCs/>
          <w:noProof/>
          <w:sz w:val="24"/>
          <w:szCs w:val="24"/>
        </w:rPr>
        <w:t>Front. Pharmacol.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(JUL), 1–14. https://doi.org/10.3389/fphar.2018.00790.</w:t>
      </w:r>
    </w:p>
    <w:p w14:paraId="01720C6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(272)</w:t>
      </w:r>
      <w:r w:rsidRPr="00827F8E">
        <w:rPr>
          <w:rFonts w:ascii="Arial" w:hAnsi="Arial" w:cs="Arial"/>
          <w:noProof/>
          <w:sz w:val="24"/>
          <w:szCs w:val="24"/>
        </w:rPr>
        <w:tab/>
        <w:t xml:space="preserve">Kumari, S.; Mg, S.; Mayor, S. Endocytosis Unplugged: Multiple Ways to Enter the Cell. </w:t>
      </w:r>
      <w:r w:rsidRPr="00827F8E">
        <w:rPr>
          <w:rFonts w:ascii="Arial" w:hAnsi="Arial" w:cs="Arial"/>
          <w:i/>
          <w:iCs/>
          <w:noProof/>
          <w:sz w:val="24"/>
          <w:szCs w:val="24"/>
        </w:rPr>
        <w:t>Cell Res.</w:t>
      </w:r>
      <w:r w:rsidRPr="00827F8E">
        <w:rPr>
          <w:rFonts w:ascii="Arial" w:hAnsi="Arial" w:cs="Arial"/>
          <w:noProof/>
          <w:sz w:val="24"/>
          <w:szCs w:val="24"/>
        </w:rPr>
        <w:t xml:space="preserve"> </w:t>
      </w:r>
      <w:r w:rsidRPr="00827F8E">
        <w:rPr>
          <w:rFonts w:ascii="Arial" w:hAnsi="Arial" w:cs="Arial"/>
          <w:b/>
          <w:bCs/>
          <w:noProof/>
          <w:sz w:val="24"/>
          <w:szCs w:val="24"/>
        </w:rPr>
        <w:t>2010</w:t>
      </w:r>
      <w:r w:rsidRPr="00827F8E">
        <w:rPr>
          <w:rFonts w:ascii="Arial" w:hAnsi="Arial" w:cs="Arial"/>
          <w:noProof/>
          <w:sz w:val="24"/>
          <w:szCs w:val="24"/>
        </w:rPr>
        <w:t xml:space="preserve">, </w:t>
      </w:r>
      <w:r w:rsidRPr="00827F8E">
        <w:rPr>
          <w:rFonts w:ascii="Arial" w:hAnsi="Arial" w:cs="Arial"/>
          <w:i/>
          <w:iCs/>
          <w:noProof/>
          <w:sz w:val="24"/>
          <w:szCs w:val="24"/>
        </w:rPr>
        <w:t>20</w:t>
      </w:r>
      <w:r w:rsidRPr="00827F8E">
        <w:rPr>
          <w:rFonts w:ascii="Arial" w:hAnsi="Arial" w:cs="Arial"/>
          <w:noProof/>
          <w:sz w:val="24"/>
          <w:szCs w:val="24"/>
        </w:rPr>
        <w:t xml:space="preserve"> (3), 256–275. https://doi.org/10.1038/cr.2010.19.</w:t>
      </w:r>
    </w:p>
    <w:p w14:paraId="0F532F8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(273)</w:t>
      </w:r>
      <w:r w:rsidRPr="00827F8E">
        <w:rPr>
          <w:rFonts w:ascii="Arial" w:hAnsi="Arial" w:cs="Arial"/>
          <w:noProof/>
          <w:sz w:val="24"/>
          <w:szCs w:val="24"/>
        </w:rPr>
        <w:tab/>
        <w:t xml:space="preserve">Rennick, J. J.; Johnston, A. P. R.; Parton, R. G. Key Principles and Methods for Studying the Endocytosis of Biological and Nanoparticle Therapeutics. </w:t>
      </w:r>
      <w:r w:rsidRPr="00827F8E">
        <w:rPr>
          <w:rFonts w:ascii="Arial" w:hAnsi="Arial" w:cs="Arial"/>
          <w:i/>
          <w:iCs/>
          <w:noProof/>
          <w:sz w:val="24"/>
          <w:szCs w:val="24"/>
        </w:rPr>
        <w:t>Nat. Nanotechnol.</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16</w:t>
      </w:r>
      <w:r w:rsidRPr="00827F8E">
        <w:rPr>
          <w:rFonts w:ascii="Arial" w:hAnsi="Arial" w:cs="Arial"/>
          <w:noProof/>
          <w:sz w:val="24"/>
          <w:szCs w:val="24"/>
        </w:rPr>
        <w:t xml:space="preserve"> (3), 266–276. https://doi.org/10.1038/s41565-021-00858-8.</w:t>
      </w:r>
    </w:p>
    <w:p w14:paraId="0552180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(274)</w:t>
      </w:r>
      <w:r w:rsidRPr="00827F8E">
        <w:rPr>
          <w:rFonts w:ascii="Arial" w:hAnsi="Arial" w:cs="Arial"/>
          <w:noProof/>
          <w:sz w:val="24"/>
          <w:szCs w:val="24"/>
        </w:rPr>
        <w:tab/>
        <w:t xml:space="preserve">Malatesta, M. Transmission Electron Microscopy as a Powerful Tool to Investigate the Interaction of Nanoparticles with Subcellular Structures. </w:t>
      </w:r>
      <w:r w:rsidRPr="00827F8E">
        <w:rPr>
          <w:rFonts w:ascii="Arial" w:hAnsi="Arial" w:cs="Arial"/>
          <w:i/>
          <w:iCs/>
          <w:noProof/>
          <w:sz w:val="24"/>
          <w:szCs w:val="24"/>
        </w:rPr>
        <w:t>Int. J. Mol. Sci.</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(23). https://doi.org/10.3390/ijms222312789.</w:t>
      </w:r>
    </w:p>
    <w:p w14:paraId="39713B7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(275)</w:t>
      </w:r>
      <w:r w:rsidRPr="00827F8E">
        <w:rPr>
          <w:rFonts w:ascii="Arial" w:hAnsi="Arial" w:cs="Arial"/>
          <w:noProof/>
          <w:sz w:val="24"/>
          <w:szCs w:val="24"/>
        </w:rPr>
        <w:tab/>
        <w:t xml:space="preserve">Egerton, R. F.; Watanabe, M. Spatial Resolution in Transmission Electron Microscopy. </w:t>
      </w:r>
      <w:r w:rsidRPr="00827F8E">
        <w:rPr>
          <w:rFonts w:ascii="Arial" w:hAnsi="Arial" w:cs="Arial"/>
          <w:i/>
          <w:iCs/>
          <w:noProof/>
          <w:sz w:val="24"/>
          <w:szCs w:val="24"/>
        </w:rPr>
        <w:t>Micron</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160</w:t>
      </w:r>
      <w:r w:rsidRPr="00827F8E">
        <w:rPr>
          <w:rFonts w:ascii="Arial" w:hAnsi="Arial" w:cs="Arial"/>
          <w:noProof/>
          <w:sz w:val="24"/>
          <w:szCs w:val="24"/>
        </w:rPr>
        <w:t xml:space="preserve"> (May), 103304. </w:t>
      </w:r>
      <w:r w:rsidRPr="00827F8E">
        <w:rPr>
          <w:rFonts w:ascii="Arial" w:hAnsi="Arial" w:cs="Arial"/>
          <w:noProof/>
          <w:sz w:val="24"/>
          <w:szCs w:val="24"/>
        </w:rPr>
        <w:lastRenderedPageBreak/>
        <w:t>https://doi.org/10.1016/j.micron.2022.103304.</w:t>
      </w:r>
    </w:p>
    <w:p w14:paraId="4803482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(276)</w:t>
      </w:r>
      <w:r w:rsidRPr="00827F8E">
        <w:rPr>
          <w:rFonts w:ascii="Arial" w:hAnsi="Arial" w:cs="Arial"/>
          <w:noProof/>
          <w:sz w:val="24"/>
          <w:szCs w:val="24"/>
        </w:rPr>
        <w:tab/>
        <w:t xml:space="preserve">Harris, K. M.; Perry, E.; Bourne, J.; Feinberg, M.; Ostroff, L.; Hurlburt, J. Uniform Serial Sectioning for Transmission Electron Microscopy. </w:t>
      </w:r>
      <w:r w:rsidRPr="00827F8E">
        <w:rPr>
          <w:rFonts w:ascii="Arial" w:hAnsi="Arial" w:cs="Arial"/>
          <w:i/>
          <w:iCs/>
          <w:noProof/>
          <w:sz w:val="24"/>
          <w:szCs w:val="24"/>
        </w:rPr>
        <w:t>J. Neurosci.</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26</w:t>
      </w:r>
      <w:r w:rsidRPr="00827F8E">
        <w:rPr>
          <w:rFonts w:ascii="Arial" w:hAnsi="Arial" w:cs="Arial"/>
          <w:noProof/>
          <w:sz w:val="24"/>
          <w:szCs w:val="24"/>
        </w:rPr>
        <w:t xml:space="preserve"> (47), 12101–12103. https://doi.org/10.1523/JNEUROSCI.3994-06.2006.</w:t>
      </w:r>
    </w:p>
    <w:p w14:paraId="40F371A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(277)</w:t>
      </w:r>
      <w:r w:rsidRPr="00827F8E">
        <w:rPr>
          <w:rFonts w:ascii="Arial" w:hAnsi="Arial" w:cs="Arial"/>
          <w:noProof/>
          <w:sz w:val="24"/>
          <w:szCs w:val="24"/>
        </w:rPr>
        <w:tab/>
        <w:t xml:space="preserve">Jonkman, J.; Brown, C. M.; Wright, G. D.; Anderson, K. I.; North, A. J. Tutorial: Guidance for Quantitative Confocal Microscopy. </w:t>
      </w:r>
      <w:r w:rsidRPr="00827F8E">
        <w:rPr>
          <w:rFonts w:ascii="Arial" w:hAnsi="Arial" w:cs="Arial"/>
          <w:i/>
          <w:iCs/>
          <w:noProof/>
          <w:sz w:val="24"/>
          <w:szCs w:val="24"/>
        </w:rPr>
        <w:t>Nat. Protoc.</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15</w:t>
      </w:r>
      <w:r w:rsidRPr="00827F8E">
        <w:rPr>
          <w:rFonts w:ascii="Arial" w:hAnsi="Arial" w:cs="Arial"/>
          <w:noProof/>
          <w:sz w:val="24"/>
          <w:szCs w:val="24"/>
        </w:rPr>
        <w:t xml:space="preserve"> (5), 1585–1611. https://doi.org/10.1038/s41596-020-0313-9.</w:t>
      </w:r>
    </w:p>
    <w:p w14:paraId="565B248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(278)</w:t>
      </w:r>
      <w:r w:rsidRPr="00827F8E">
        <w:rPr>
          <w:rFonts w:ascii="Arial" w:hAnsi="Arial" w:cs="Arial"/>
          <w:noProof/>
          <w:sz w:val="24"/>
          <w:szCs w:val="24"/>
        </w:rPr>
        <w:tab/>
        <w:t xml:space="preserve">Jackson, W.; Yamada, M.; Moninger, T.; Grose, C. Visualization and Quantitation of Abundant Macroautophagy in Virus-Infected Cells by Confocal Three-Dimensional Fluorescence Imaging. </w:t>
      </w:r>
      <w:r w:rsidRPr="00827F8E">
        <w:rPr>
          <w:rFonts w:ascii="Arial" w:hAnsi="Arial" w:cs="Arial"/>
          <w:i/>
          <w:iCs/>
          <w:noProof/>
          <w:sz w:val="24"/>
          <w:szCs w:val="24"/>
        </w:rPr>
        <w:t>J. Virol. Methods</w:t>
      </w:r>
      <w:r w:rsidRPr="00827F8E">
        <w:rPr>
          <w:rFonts w:ascii="Arial" w:hAnsi="Arial" w:cs="Arial"/>
          <w:noProof/>
          <w:sz w:val="24"/>
          <w:szCs w:val="24"/>
        </w:rPr>
        <w:t xml:space="preserve"> </w:t>
      </w:r>
      <w:r w:rsidRPr="00827F8E">
        <w:rPr>
          <w:rFonts w:ascii="Arial" w:hAnsi="Arial" w:cs="Arial"/>
          <w:b/>
          <w:bCs/>
          <w:noProof/>
          <w:sz w:val="24"/>
          <w:szCs w:val="24"/>
        </w:rPr>
        <w:t>2013</w:t>
      </w:r>
      <w:r w:rsidRPr="00827F8E">
        <w:rPr>
          <w:rFonts w:ascii="Arial" w:hAnsi="Arial" w:cs="Arial"/>
          <w:noProof/>
          <w:sz w:val="24"/>
          <w:szCs w:val="24"/>
        </w:rPr>
        <w:t xml:space="preserve">, </w:t>
      </w:r>
      <w:r w:rsidRPr="00827F8E">
        <w:rPr>
          <w:rFonts w:ascii="Arial" w:hAnsi="Arial" w:cs="Arial"/>
          <w:i/>
          <w:iCs/>
          <w:noProof/>
          <w:sz w:val="24"/>
          <w:szCs w:val="24"/>
        </w:rPr>
        <w:t>193</w:t>
      </w:r>
      <w:r w:rsidRPr="00827F8E">
        <w:rPr>
          <w:rFonts w:ascii="Arial" w:hAnsi="Arial" w:cs="Arial"/>
          <w:noProof/>
          <w:sz w:val="24"/>
          <w:szCs w:val="24"/>
        </w:rPr>
        <w:t xml:space="preserve"> (1), 244–250. https://doi.org/10.1016/j.jviromet.2013.06.018.</w:t>
      </w:r>
    </w:p>
    <w:p w14:paraId="019600C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(279)</w:t>
      </w:r>
      <w:r w:rsidRPr="00827F8E">
        <w:rPr>
          <w:rFonts w:ascii="Arial" w:hAnsi="Arial" w:cs="Arial"/>
          <w:noProof/>
          <w:sz w:val="24"/>
          <w:szCs w:val="24"/>
        </w:rPr>
        <w:tab/>
        <w:t xml:space="preserve">Galbraith, C. G.; Galbraith, J. A. Super-Resolution Microscopy at a Glance. </w:t>
      </w:r>
      <w:r w:rsidRPr="00827F8E">
        <w:rPr>
          <w:rFonts w:ascii="Arial" w:hAnsi="Arial" w:cs="Arial"/>
          <w:i/>
          <w:iCs/>
          <w:noProof/>
          <w:sz w:val="24"/>
          <w:szCs w:val="24"/>
        </w:rPr>
        <w:t>J. Cell Sci.</w:t>
      </w:r>
      <w:r w:rsidRPr="00827F8E">
        <w:rPr>
          <w:rFonts w:ascii="Arial" w:hAnsi="Arial" w:cs="Arial"/>
          <w:noProof/>
          <w:sz w:val="24"/>
          <w:szCs w:val="24"/>
        </w:rPr>
        <w:t xml:space="preserve"> </w:t>
      </w:r>
      <w:r w:rsidRPr="00827F8E">
        <w:rPr>
          <w:rFonts w:ascii="Arial" w:hAnsi="Arial" w:cs="Arial"/>
          <w:b/>
          <w:bCs/>
          <w:noProof/>
          <w:sz w:val="24"/>
          <w:szCs w:val="24"/>
        </w:rPr>
        <w:t>2011</w:t>
      </w:r>
      <w:r w:rsidRPr="00827F8E">
        <w:rPr>
          <w:rFonts w:ascii="Arial" w:hAnsi="Arial" w:cs="Arial"/>
          <w:noProof/>
          <w:sz w:val="24"/>
          <w:szCs w:val="24"/>
        </w:rPr>
        <w:t xml:space="preserve">, </w:t>
      </w:r>
      <w:r w:rsidRPr="00827F8E">
        <w:rPr>
          <w:rFonts w:ascii="Arial" w:hAnsi="Arial" w:cs="Arial"/>
          <w:i/>
          <w:iCs/>
          <w:noProof/>
          <w:sz w:val="24"/>
          <w:szCs w:val="24"/>
        </w:rPr>
        <w:t>124</w:t>
      </w:r>
      <w:r w:rsidRPr="00827F8E">
        <w:rPr>
          <w:rFonts w:ascii="Arial" w:hAnsi="Arial" w:cs="Arial"/>
          <w:noProof/>
          <w:sz w:val="24"/>
          <w:szCs w:val="24"/>
        </w:rPr>
        <w:t xml:space="preserve"> (10), 1607–1611. https://doi.org/10.1242/jcs.080085.</w:t>
      </w:r>
    </w:p>
    <w:p w14:paraId="72A7A32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(280)</w:t>
      </w:r>
      <w:r w:rsidRPr="00827F8E">
        <w:rPr>
          <w:rFonts w:ascii="Arial" w:hAnsi="Arial" w:cs="Arial"/>
          <w:noProof/>
          <w:sz w:val="24"/>
          <w:szCs w:val="24"/>
        </w:rPr>
        <w:tab/>
        <w:t xml:space="preserve">M’Saad, O.; Bewersdorf, J. Light Microscopy of Proteins in Their Ultrastructural Context. </w:t>
      </w:r>
      <w:r w:rsidRPr="00827F8E">
        <w:rPr>
          <w:rFonts w:ascii="Arial" w:hAnsi="Arial" w:cs="Arial"/>
          <w:i/>
          <w:iCs/>
          <w:noProof/>
          <w:sz w:val="24"/>
          <w:szCs w:val="24"/>
        </w:rPr>
        <w:t>Nat. Commun.</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xml:space="preserve"> (1), 3850. https://doi.org/10.1038/s41467-020-17523-8.</w:t>
      </w:r>
    </w:p>
    <w:p w14:paraId="242C2F5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(281)</w:t>
      </w:r>
      <w:r w:rsidRPr="00827F8E">
        <w:rPr>
          <w:rFonts w:ascii="Arial" w:hAnsi="Arial" w:cs="Arial"/>
          <w:noProof/>
          <w:sz w:val="24"/>
          <w:szCs w:val="24"/>
        </w:rPr>
        <w:tab/>
        <w:t xml:space="preserve">Sousa De Almeida, M.; Susnik, E.; Drasler, B.; Taladriz-Blanco, P.; Petri-Fink, A.; Rothen-Rutishauser, B. Understanding Nanoparticle Endocytosis to Improve Targeting Strategies in Nanomedicine. </w:t>
      </w:r>
      <w:r w:rsidRPr="00827F8E">
        <w:rPr>
          <w:rFonts w:ascii="Arial" w:hAnsi="Arial" w:cs="Arial"/>
          <w:i/>
          <w:iCs/>
          <w:noProof/>
          <w:sz w:val="24"/>
          <w:szCs w:val="24"/>
        </w:rPr>
        <w:t>Chem. Soc. Rev.</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50</w:t>
      </w:r>
      <w:r w:rsidRPr="00827F8E">
        <w:rPr>
          <w:rFonts w:ascii="Arial" w:hAnsi="Arial" w:cs="Arial"/>
          <w:noProof/>
          <w:sz w:val="24"/>
          <w:szCs w:val="24"/>
        </w:rPr>
        <w:t xml:space="preserve"> (9), 5397–5434. https://doi.org/10.1039/d0cs01127d.</w:t>
      </w:r>
    </w:p>
    <w:p w14:paraId="4E203BB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(282)</w:t>
      </w:r>
      <w:r w:rsidRPr="00827F8E">
        <w:rPr>
          <w:rFonts w:ascii="Arial" w:hAnsi="Arial" w:cs="Arial"/>
          <w:noProof/>
          <w:sz w:val="24"/>
          <w:szCs w:val="24"/>
        </w:rPr>
        <w:tab/>
        <w:t xml:space="preserve">Xiao, Y.; Xu, W.; Komohara, Y.; Fujiwara, Y.; Hirose, H.; Futaki, S.; Niidome, T. Effect of Surface Modifications on Cellular Uptake of Gold Nanorods in Human Primary Cells and Established Cell Lines. </w:t>
      </w:r>
      <w:r w:rsidRPr="00827F8E">
        <w:rPr>
          <w:rFonts w:ascii="Arial" w:hAnsi="Arial" w:cs="Arial"/>
          <w:i/>
          <w:iCs/>
          <w:noProof/>
          <w:sz w:val="24"/>
          <w:szCs w:val="24"/>
        </w:rPr>
        <w:t>ACS Omega</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(50), 32744–32752. https://doi.org/10.1021/acsomega.0c05162.</w:t>
      </w:r>
    </w:p>
    <w:p w14:paraId="45A0075E"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(283)</w:t>
      </w:r>
      <w:r w:rsidRPr="00827F8E">
        <w:rPr>
          <w:rFonts w:ascii="Arial" w:hAnsi="Arial" w:cs="Arial"/>
          <w:noProof/>
          <w:sz w:val="24"/>
          <w:szCs w:val="24"/>
        </w:rPr>
        <w:tab/>
        <w:t xml:space="preserve">Rodriguez-Lorenzo, L.; Fytianos, K.; Blank, F.; von Garnier, C.; Rothen-Rutishauser, B.; Petri-Fink, A. Fluorescence-Encoded Gold Nanoparticles: Library Design and Modulation of Cellular Uptake into Dendritic Cells. </w:t>
      </w:r>
      <w:r w:rsidRPr="00827F8E">
        <w:rPr>
          <w:rFonts w:ascii="Arial" w:hAnsi="Arial" w:cs="Arial"/>
          <w:i/>
          <w:iCs/>
          <w:noProof/>
          <w:sz w:val="24"/>
          <w:szCs w:val="24"/>
        </w:rPr>
        <w:t>Small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(7), 1341–1350. https://doi.org/10.1002/smll.201302889.</w:t>
      </w:r>
    </w:p>
    <w:p w14:paraId="27476EDA"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(284)</w:t>
      </w:r>
      <w:r w:rsidRPr="00827F8E">
        <w:rPr>
          <w:rFonts w:ascii="Arial" w:hAnsi="Arial" w:cs="Arial"/>
          <w:noProof/>
          <w:sz w:val="24"/>
          <w:szCs w:val="24"/>
        </w:rPr>
        <w:tab/>
        <w:t xml:space="preserve">Cauzzo, J.; Nystad, M.; Holsæter, A. M.; Basnet, P.; Škalko-Basnet, N. Following the Fate of Dye-Containing Liposomes in Vitro. </w:t>
      </w:r>
      <w:r w:rsidRPr="00827F8E">
        <w:rPr>
          <w:rFonts w:ascii="Arial" w:hAnsi="Arial" w:cs="Arial"/>
          <w:i/>
          <w:iCs/>
          <w:noProof/>
          <w:sz w:val="24"/>
          <w:szCs w:val="24"/>
        </w:rPr>
        <w:t>Int. J. Mol. Sci.</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21</w:t>
      </w:r>
      <w:r w:rsidRPr="00827F8E">
        <w:rPr>
          <w:rFonts w:ascii="Arial" w:hAnsi="Arial" w:cs="Arial"/>
          <w:noProof/>
          <w:sz w:val="24"/>
          <w:szCs w:val="24"/>
        </w:rPr>
        <w:t xml:space="preserve"> (14), 1–17. https://doi.org/10.3390/ijms21144847.</w:t>
      </w:r>
    </w:p>
    <w:p w14:paraId="7A74628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(285)</w:t>
      </w:r>
      <w:r w:rsidRPr="00827F8E">
        <w:rPr>
          <w:rFonts w:ascii="Arial" w:hAnsi="Arial" w:cs="Arial"/>
          <w:noProof/>
          <w:sz w:val="24"/>
          <w:szCs w:val="24"/>
        </w:rPr>
        <w:tab/>
        <w:t xml:space="preserve">Mettenbrink, E. M.; Yang, W.; Wilhelm, S. Bioimaging with Upconversion Nanoparticles. </w:t>
      </w:r>
      <w:r w:rsidRPr="00827F8E">
        <w:rPr>
          <w:rFonts w:ascii="Arial" w:hAnsi="Arial" w:cs="Arial"/>
          <w:i/>
          <w:iCs/>
          <w:noProof/>
          <w:sz w:val="24"/>
          <w:szCs w:val="24"/>
        </w:rPr>
        <w:t>Adv. Photonics Res.</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3</w:t>
      </w:r>
      <w:r w:rsidRPr="00827F8E">
        <w:rPr>
          <w:rFonts w:ascii="Arial" w:hAnsi="Arial" w:cs="Arial"/>
          <w:noProof/>
          <w:sz w:val="24"/>
          <w:szCs w:val="24"/>
        </w:rPr>
        <w:t xml:space="preserve"> (12), 2200098. https://doi.org/10.1002/adpr.202200098.</w:t>
      </w:r>
    </w:p>
    <w:p w14:paraId="5DF4E43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(286)</w:t>
      </w:r>
      <w:r w:rsidRPr="00827F8E">
        <w:rPr>
          <w:rFonts w:ascii="Arial" w:hAnsi="Arial" w:cs="Arial"/>
          <w:noProof/>
          <w:sz w:val="24"/>
          <w:szCs w:val="24"/>
        </w:rPr>
        <w:tab/>
        <w:t xml:space="preserve">Wang, F.; Chen, B.; Yan, B.; Yin, Y.; Hu, L.; Liang, Y.; Song, M.; Jiang, G. Scattered Light Imaging Enables Real-Time Monitoring of Label-Free Nanoparticles and Fluorescent Biomolecules in Live Cells. </w:t>
      </w:r>
      <w:r w:rsidRPr="00827F8E">
        <w:rPr>
          <w:rFonts w:ascii="Arial" w:hAnsi="Arial" w:cs="Arial"/>
          <w:i/>
          <w:iCs/>
          <w:noProof/>
          <w:sz w:val="24"/>
          <w:szCs w:val="24"/>
        </w:rPr>
        <w:t>J. Am. Chem. Soc.</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141</w:t>
      </w:r>
      <w:r w:rsidRPr="00827F8E">
        <w:rPr>
          <w:rFonts w:ascii="Arial" w:hAnsi="Arial" w:cs="Arial"/>
          <w:noProof/>
          <w:sz w:val="24"/>
          <w:szCs w:val="24"/>
        </w:rPr>
        <w:t xml:space="preserve"> (36), 14043–14047. https://doi.org/10.1021/jacs.9b05894.</w:t>
      </w:r>
    </w:p>
    <w:p w14:paraId="16E489C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(287)</w:t>
      </w:r>
      <w:r w:rsidRPr="00827F8E">
        <w:rPr>
          <w:rFonts w:ascii="Arial" w:hAnsi="Arial" w:cs="Arial"/>
          <w:noProof/>
          <w:sz w:val="24"/>
          <w:szCs w:val="24"/>
        </w:rPr>
        <w:tab/>
        <w:t xml:space="preserve">Tillberg, P. W.; Chen, F.; Piatkevich, K. D.; Zhao, Y.; Yu, C. C.; English, B. P.; Gao, L.; Martorell, A.; Suk, H. J.; Yoshida, F.; Degennaro, E. M.; Roossien, D. H.; </w:t>
      </w:r>
      <w:r w:rsidRPr="00827F8E">
        <w:rPr>
          <w:rFonts w:ascii="Arial" w:hAnsi="Arial" w:cs="Arial"/>
          <w:noProof/>
          <w:sz w:val="24"/>
          <w:szCs w:val="24"/>
        </w:rPr>
        <w:lastRenderedPageBreak/>
        <w:t xml:space="preserve">Gong, G.; Seneviratne, U.; Tannenbaum, S. R.; Desimone, R.; Cai, D.; Boyden, E. S. Protein-Retention Expansion Microscopy of Cells and Tissues Labeled Using Standard Fluorescent Proteins and Antibodies.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34</w:t>
      </w:r>
      <w:r w:rsidRPr="00827F8E">
        <w:rPr>
          <w:rFonts w:ascii="Arial" w:hAnsi="Arial" w:cs="Arial"/>
          <w:noProof/>
          <w:sz w:val="24"/>
          <w:szCs w:val="24"/>
        </w:rPr>
        <w:t xml:space="preserve"> (9), 987–992. https://doi.org/10.1038/nbt.3625.</w:t>
      </w:r>
    </w:p>
    <w:p w14:paraId="5886185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(288)</w:t>
      </w:r>
      <w:r w:rsidRPr="00827F8E">
        <w:rPr>
          <w:rFonts w:ascii="Arial" w:hAnsi="Arial" w:cs="Arial"/>
          <w:noProof/>
          <w:sz w:val="24"/>
          <w:szCs w:val="24"/>
        </w:rPr>
        <w:tab/>
        <w:t>Truckenbrodt, S.; Maidorn, M.; Crzan, D.; Wildhagen, H.; Kabatas, S.; Rizzoli, S. O. X10 Expansion Microscopy Enables 25</w:t>
      </w:r>
      <w:r w:rsidRPr="00827F8E">
        <w:rPr>
          <w:rFonts w:ascii="Cambria Math" w:hAnsi="Cambria Math" w:cs="Cambria Math"/>
          <w:noProof/>
          <w:sz w:val="24"/>
          <w:szCs w:val="24"/>
        </w:rPr>
        <w:t>‐</w:t>
      </w:r>
      <w:r w:rsidRPr="00827F8E">
        <w:rPr>
          <w:rFonts w:ascii="Arial" w:hAnsi="Arial" w:cs="Arial"/>
          <w:noProof/>
          <w:sz w:val="24"/>
          <w:szCs w:val="24"/>
        </w:rPr>
        <w:t xml:space="preserve">nm Resolution on Conventional Microscopes. </w:t>
      </w:r>
      <w:r w:rsidRPr="00827F8E">
        <w:rPr>
          <w:rFonts w:ascii="Arial" w:hAnsi="Arial" w:cs="Arial"/>
          <w:i/>
          <w:iCs/>
          <w:noProof/>
          <w:sz w:val="24"/>
          <w:szCs w:val="24"/>
        </w:rPr>
        <w:t>EMBO Rep.</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(9), 1–12. https://doi.org/10.15252/embr.201845836.</w:t>
      </w:r>
    </w:p>
    <w:p w14:paraId="2B60B04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(289)</w:t>
      </w:r>
      <w:r w:rsidRPr="00827F8E">
        <w:rPr>
          <w:rFonts w:ascii="Arial" w:hAnsi="Arial" w:cs="Arial"/>
          <w:noProof/>
          <w:sz w:val="24"/>
          <w:szCs w:val="24"/>
        </w:rPr>
        <w:tab/>
        <w:t xml:space="preserve">Damstra, H. G.; Mohar, B.; Eddison, M.; Akhmanova, A.; Kapitein, L. C.; Tillberg, P. W. Visualizing Cellular and Tissue Ultrastructure Using Ten-Fold Robust Expansion Microscopy (TREx). </w:t>
      </w:r>
      <w:r w:rsidRPr="00827F8E">
        <w:rPr>
          <w:rFonts w:ascii="Arial" w:hAnsi="Arial" w:cs="Arial"/>
          <w:i/>
          <w:iCs/>
          <w:noProof/>
          <w:sz w:val="24"/>
          <w:szCs w:val="24"/>
        </w:rPr>
        <w:t>Elife</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11</w:t>
      </w:r>
      <w:r w:rsidRPr="00827F8E">
        <w:rPr>
          <w:rFonts w:ascii="Arial" w:hAnsi="Arial" w:cs="Arial"/>
          <w:noProof/>
          <w:sz w:val="24"/>
          <w:szCs w:val="24"/>
        </w:rPr>
        <w:t>, 1–52. https://doi.org/10.7554/eLife.73775.</w:t>
      </w:r>
    </w:p>
    <w:p w14:paraId="3757522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(290)</w:t>
      </w:r>
      <w:r w:rsidRPr="00827F8E">
        <w:rPr>
          <w:rFonts w:ascii="Arial" w:hAnsi="Arial" w:cs="Arial"/>
          <w:noProof/>
          <w:sz w:val="24"/>
          <w:szCs w:val="24"/>
        </w:rPr>
        <w:tab/>
        <w:t xml:space="preserve">Chang, J. B.; Chen, F.; Yoon, Y. G.; Jung, E. E.; Babcock, H.; Kang, J. S.; Asano, S.; Suk, H. J.; Pak, N.; Tillberg, P. W.; Wassie, A. T.; Cai, D.; Boyden, E. S. Iterative Expansion Microscopy. </w:t>
      </w:r>
      <w:r w:rsidRPr="00827F8E">
        <w:rPr>
          <w:rFonts w:ascii="Arial" w:hAnsi="Arial" w:cs="Arial"/>
          <w:i/>
          <w:iCs/>
          <w:noProof/>
          <w:sz w:val="24"/>
          <w:szCs w:val="24"/>
        </w:rPr>
        <w:t>Nat. Methods</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(6), 593–599. https://doi.org/10.1038/nmeth.4261.</w:t>
      </w:r>
    </w:p>
    <w:p w14:paraId="2BF6C0F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(291)</w:t>
      </w:r>
      <w:r w:rsidRPr="00827F8E">
        <w:rPr>
          <w:rFonts w:ascii="Arial" w:hAnsi="Arial" w:cs="Arial"/>
          <w:noProof/>
          <w:sz w:val="24"/>
          <w:szCs w:val="24"/>
        </w:rPr>
        <w:tab/>
        <w:t xml:space="preserve">Nakamoto, M. L.; Forró, C.; Zhang, W.; Tsai, C.; Cui, B. Expansion Microscopy for Imaging the Cell–Material Interface.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https://doi.org/10.1021/acsnano.1c11015.</w:t>
      </w:r>
    </w:p>
    <w:p w14:paraId="34566D3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(292)</w:t>
      </w:r>
      <w:r w:rsidRPr="00827F8E">
        <w:rPr>
          <w:rFonts w:ascii="Arial" w:hAnsi="Arial" w:cs="Arial"/>
          <w:noProof/>
          <w:sz w:val="24"/>
          <w:szCs w:val="24"/>
        </w:rPr>
        <w:tab/>
        <w:t xml:space="preserve">Sim, J.; Park, C. E.; Cho, I.; Min, K.; Lee, J.-S.; Chong, Y.; Kim, J.; Kang, J. S.; Piatkevich, K. D.; Jung, E. E.; Kwon, S.-K.; Yoon, Y.-G.; Boyden, E. S.; Chang, J.-B. Nanoscale Resolution Imaging of the Whole Mouse Embryos and Larval Zebrafish Using Expansion Microscopy. </w:t>
      </w:r>
      <w:r w:rsidRPr="00827F8E">
        <w:rPr>
          <w:rFonts w:ascii="Arial" w:hAnsi="Arial" w:cs="Arial"/>
          <w:i/>
          <w:iCs/>
          <w:noProof/>
          <w:sz w:val="24"/>
          <w:szCs w:val="24"/>
        </w:rPr>
        <w:t>bioRxiv</w:t>
      </w:r>
      <w:r w:rsidRPr="00827F8E">
        <w:rPr>
          <w:rFonts w:ascii="Arial" w:hAnsi="Arial" w:cs="Arial"/>
          <w:noProof/>
          <w:sz w:val="24"/>
          <w:szCs w:val="24"/>
        </w:rPr>
        <w:t>. 2022. https://doi.org/10.1101/2021.05.18.443629.</w:t>
      </w:r>
    </w:p>
    <w:p w14:paraId="72A7F55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(293)</w:t>
      </w:r>
      <w:r w:rsidRPr="00827F8E">
        <w:rPr>
          <w:rFonts w:ascii="Arial" w:hAnsi="Arial" w:cs="Arial"/>
          <w:noProof/>
          <w:sz w:val="24"/>
          <w:szCs w:val="24"/>
        </w:rPr>
        <w:tab/>
        <w:t xml:space="preserve">Sheth, V.; Wang, L.; Bhattacharya, R.; Mukherjee, P.; Wilhelm, S. Strategies for Delivering Nanoparticles across Tumor Blood Vessels. </w:t>
      </w:r>
      <w:r w:rsidRPr="00827F8E">
        <w:rPr>
          <w:rFonts w:ascii="Arial" w:hAnsi="Arial" w:cs="Arial"/>
          <w:i/>
          <w:iCs/>
          <w:noProof/>
          <w:sz w:val="24"/>
          <w:szCs w:val="24"/>
        </w:rPr>
        <w:t>Adv. Funct. Mater.</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2007363</w:t>
      </w:r>
      <w:r w:rsidRPr="00827F8E">
        <w:rPr>
          <w:rFonts w:ascii="Arial" w:hAnsi="Arial" w:cs="Arial"/>
          <w:noProof/>
          <w:sz w:val="24"/>
          <w:szCs w:val="24"/>
        </w:rPr>
        <w:t>, 1–20. https://doi.org/10.1002/adfm.202007363.</w:t>
      </w:r>
    </w:p>
    <w:p w14:paraId="307C3D8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(294)</w:t>
      </w:r>
      <w:r w:rsidRPr="00827F8E">
        <w:rPr>
          <w:rFonts w:ascii="Arial" w:hAnsi="Arial" w:cs="Arial"/>
          <w:noProof/>
          <w:sz w:val="24"/>
          <w:szCs w:val="24"/>
        </w:rPr>
        <w:tab/>
        <w:t xml:space="preserve">Asano, S. M.; Gao, R.; Wassie, A. T.; Tillberg, P. W.; Chen, F.; Boyden, E. S. Expansion Microscopy: Protocols for Imaging Proteins and RNA in Cells and Tissues. </w:t>
      </w:r>
      <w:r w:rsidRPr="00827F8E">
        <w:rPr>
          <w:rFonts w:ascii="Arial" w:hAnsi="Arial" w:cs="Arial"/>
          <w:i/>
          <w:iCs/>
          <w:noProof/>
          <w:sz w:val="24"/>
          <w:szCs w:val="24"/>
        </w:rPr>
        <w:t>Curr. Protoc. Cell Biol.</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80</w:t>
      </w:r>
      <w:r w:rsidRPr="00827F8E">
        <w:rPr>
          <w:rFonts w:ascii="Arial" w:hAnsi="Arial" w:cs="Arial"/>
          <w:noProof/>
          <w:sz w:val="24"/>
          <w:szCs w:val="24"/>
        </w:rPr>
        <w:t xml:space="preserve"> (1), 1–41. https://doi.org/10.1002/cpcb.56.</w:t>
      </w:r>
    </w:p>
    <w:p w14:paraId="2951815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(295)</w:t>
      </w:r>
      <w:r w:rsidRPr="00827F8E">
        <w:rPr>
          <w:rFonts w:ascii="Arial" w:hAnsi="Arial" w:cs="Arial"/>
          <w:noProof/>
          <w:sz w:val="24"/>
          <w:szCs w:val="24"/>
        </w:rPr>
        <w:tab/>
        <w:t xml:space="preserve">Alberts, B.; Johnson, A.; Lewis, J.; Raff, M.; Roberts, K.; Walter, P. </w:t>
      </w:r>
      <w:r w:rsidRPr="00827F8E">
        <w:rPr>
          <w:rFonts w:ascii="Arial" w:hAnsi="Arial" w:cs="Arial"/>
          <w:i/>
          <w:iCs/>
          <w:noProof/>
          <w:sz w:val="24"/>
          <w:szCs w:val="24"/>
        </w:rPr>
        <w:t>Molecular Biology of the Cell (4th Ed)</w:t>
      </w:r>
      <w:r w:rsidRPr="00827F8E">
        <w:rPr>
          <w:rFonts w:ascii="Arial" w:hAnsi="Arial" w:cs="Arial"/>
          <w:noProof/>
          <w:sz w:val="24"/>
          <w:szCs w:val="24"/>
        </w:rPr>
        <w:t>; 2002; Vol. 37. https://doi.org/10.1080/00219266.2002.9655847.</w:t>
      </w:r>
    </w:p>
    <w:p w14:paraId="36DAE46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(296)</w:t>
      </w:r>
      <w:r w:rsidRPr="00827F8E">
        <w:rPr>
          <w:rFonts w:ascii="Arial" w:hAnsi="Arial" w:cs="Arial"/>
          <w:noProof/>
          <w:sz w:val="24"/>
          <w:szCs w:val="24"/>
        </w:rPr>
        <w:tab/>
        <w:t xml:space="preserve">Foroozandeh, P.; Aziz, A. A. Insight into Cellular Uptake and Intracellular Trafficking of Nanoparticles. </w:t>
      </w:r>
      <w:r w:rsidRPr="00827F8E">
        <w:rPr>
          <w:rFonts w:ascii="Arial" w:hAnsi="Arial" w:cs="Arial"/>
          <w:i/>
          <w:iCs/>
          <w:noProof/>
          <w:sz w:val="24"/>
          <w:szCs w:val="24"/>
        </w:rPr>
        <w:t>Nanoscale Res. Lett.</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13</w:t>
      </w:r>
      <w:r w:rsidRPr="00827F8E">
        <w:rPr>
          <w:rFonts w:ascii="Arial" w:hAnsi="Arial" w:cs="Arial"/>
          <w:noProof/>
          <w:sz w:val="24"/>
          <w:szCs w:val="24"/>
        </w:rPr>
        <w:t>. https://doi.org/10.1186/s11671-018-2728-6.</w:t>
      </w:r>
    </w:p>
    <w:p w14:paraId="067842E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(297)</w:t>
      </w:r>
      <w:r w:rsidRPr="00827F8E">
        <w:rPr>
          <w:rFonts w:ascii="Arial" w:hAnsi="Arial" w:cs="Arial"/>
          <w:noProof/>
          <w:sz w:val="24"/>
          <w:szCs w:val="24"/>
        </w:rPr>
        <w:tab/>
        <w:t xml:space="preserve">Chithrani, B. D.; Ghazani, A. A.; Chan, W. C. W. Determining the Size and Shape Dependence of Gold Nanoparticle Uptake into Mammalian Cells.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2006</w:t>
      </w:r>
      <w:r w:rsidRPr="00827F8E">
        <w:rPr>
          <w:rFonts w:ascii="Arial" w:hAnsi="Arial" w:cs="Arial"/>
          <w:noProof/>
          <w:sz w:val="24"/>
          <w:szCs w:val="24"/>
        </w:rPr>
        <w:t xml:space="preserve">, </w:t>
      </w:r>
      <w:r w:rsidRPr="00827F8E">
        <w:rPr>
          <w:rFonts w:ascii="Arial" w:hAnsi="Arial" w:cs="Arial"/>
          <w:i/>
          <w:iCs/>
          <w:noProof/>
          <w:sz w:val="24"/>
          <w:szCs w:val="24"/>
        </w:rPr>
        <w:t>6</w:t>
      </w:r>
      <w:r w:rsidRPr="00827F8E">
        <w:rPr>
          <w:rFonts w:ascii="Arial" w:hAnsi="Arial" w:cs="Arial"/>
          <w:noProof/>
          <w:sz w:val="24"/>
          <w:szCs w:val="24"/>
        </w:rPr>
        <w:t xml:space="preserve"> (4), 662–668. https://doi.org/10.1021/nl052396o.</w:t>
      </w:r>
    </w:p>
    <w:p w14:paraId="4EABF78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(298)</w:t>
      </w:r>
      <w:r w:rsidRPr="00827F8E">
        <w:rPr>
          <w:rFonts w:ascii="Arial" w:hAnsi="Arial" w:cs="Arial"/>
          <w:noProof/>
          <w:sz w:val="24"/>
          <w:szCs w:val="24"/>
        </w:rPr>
        <w:tab/>
        <w:t xml:space="preserve">Perrault, S. D.; Chan, W. C. W. Synthesis and Surface Modification of Highly Monodispersed, Spherical Gold Nanoparticles of 50-200 Nm. </w:t>
      </w:r>
      <w:r w:rsidRPr="00827F8E">
        <w:rPr>
          <w:rFonts w:ascii="Arial" w:hAnsi="Arial" w:cs="Arial"/>
          <w:i/>
          <w:iCs/>
          <w:noProof/>
          <w:sz w:val="24"/>
          <w:szCs w:val="24"/>
        </w:rPr>
        <w:t>J. Am. Chem. Soc.</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131</w:t>
      </w:r>
      <w:r w:rsidRPr="00827F8E">
        <w:rPr>
          <w:rFonts w:ascii="Arial" w:hAnsi="Arial" w:cs="Arial"/>
          <w:noProof/>
          <w:sz w:val="24"/>
          <w:szCs w:val="24"/>
        </w:rPr>
        <w:t xml:space="preserve"> (47), 17042–17043. https://doi.org/10.1021/ja907069u.</w:t>
      </w:r>
    </w:p>
    <w:p w14:paraId="3642EA4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(299)</w:t>
      </w:r>
      <w:r w:rsidRPr="00827F8E">
        <w:rPr>
          <w:rFonts w:ascii="Arial" w:hAnsi="Arial" w:cs="Arial"/>
          <w:noProof/>
          <w:sz w:val="24"/>
          <w:szCs w:val="24"/>
        </w:rPr>
        <w:tab/>
        <w:t xml:space="preserve">Frickenstein, A. N.; Mukherjee, S.; Harcourt, T.; He, Y.; Sheth, V.; Wang, L.; Malik, Z.; Wilhelm, S. Quantification of Monodisperse and Biocompatible Gold Nanoparticles by Single-Particle ICP-MS. </w:t>
      </w:r>
      <w:r w:rsidRPr="00827F8E">
        <w:rPr>
          <w:rFonts w:ascii="Arial" w:hAnsi="Arial" w:cs="Arial"/>
          <w:i/>
          <w:iCs/>
          <w:noProof/>
          <w:sz w:val="24"/>
          <w:szCs w:val="24"/>
        </w:rPr>
        <w:t>Anal. Bioanal. Chem.</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No. 0123456789. https://doi.org/10.1007/s00216-023-04540-x.</w:t>
      </w:r>
    </w:p>
    <w:p w14:paraId="40236F0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(300)</w:t>
      </w:r>
      <w:r w:rsidRPr="00827F8E">
        <w:rPr>
          <w:rFonts w:ascii="Arial" w:hAnsi="Arial" w:cs="Arial"/>
          <w:noProof/>
          <w:sz w:val="24"/>
          <w:szCs w:val="24"/>
        </w:rPr>
        <w:tab/>
        <w:t xml:space="preserve">Yang, W.; Frickenstein, A. N.; Sheth, V.; Holden, A.; Mettenbrink, E. M.; Wang, L.; Woodward, A. A.; Joo, B. S.; Butterfield, S. K.; Donahue, N. D.; Green, D. E.; Thomas, A. G.; Harcourt, T.; Young, H.; Tang, M.; Malik, Z. A.; Harrison, R. G.; Mukherjee, P.; DeAngelis, P. L.; Wilhelm, S. Controlling Nanoparticle Uptake in Innate Immune Cells with Heparosan Polysaccharides.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https://doi.org/10.1021/acs.nanolett.2c02226.</w:t>
      </w:r>
    </w:p>
    <w:p w14:paraId="2A673E5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(301)</w:t>
      </w:r>
      <w:r w:rsidRPr="00827F8E">
        <w:rPr>
          <w:rFonts w:ascii="Arial" w:hAnsi="Arial" w:cs="Arial"/>
          <w:noProof/>
          <w:sz w:val="24"/>
          <w:szCs w:val="24"/>
        </w:rPr>
        <w:tab/>
        <w:t xml:space="preserve">Yang, W.; Wang, L.; Fang, M.; Sheth, V.; Zhang, Y.; Holden, A. M.; Donahue, N. D.; Green, D. E.; Frickenstein, A. N.; Mettenbrink, E. M.; Schwemley, T. A.; Francek, E. R.; Haddad, M.; Hossen, M. N.; Mukherjee, S.; Wu, S.; DeAngelis, P. L.; Wilhelm, S. Nanoparticle Surface Engineering with Heparosan Polysaccharide Reduces Serum Protein Adsorption and Enhances Cellular Uptake.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(5), 2103–2111. https://doi.org/10.1021/acs.nanolett.2c00349.</w:t>
      </w:r>
    </w:p>
    <w:p w14:paraId="55CEEDB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(302)</w:t>
      </w:r>
      <w:r w:rsidRPr="00827F8E">
        <w:rPr>
          <w:rFonts w:ascii="Arial" w:hAnsi="Arial" w:cs="Arial"/>
          <w:noProof/>
          <w:sz w:val="24"/>
          <w:szCs w:val="24"/>
        </w:rPr>
        <w:tab/>
        <w:t xml:space="preserve">Green, T. A. Gold Etching for Microfabrication. </w:t>
      </w:r>
      <w:r w:rsidRPr="00827F8E">
        <w:rPr>
          <w:rFonts w:ascii="Arial" w:hAnsi="Arial" w:cs="Arial"/>
          <w:i/>
          <w:iCs/>
          <w:noProof/>
          <w:sz w:val="24"/>
          <w:szCs w:val="24"/>
        </w:rPr>
        <w:t>Gold Bull.</w:t>
      </w:r>
      <w:r w:rsidRPr="00827F8E">
        <w:rPr>
          <w:rFonts w:ascii="Arial" w:hAnsi="Arial" w:cs="Arial"/>
          <w:noProof/>
          <w:sz w:val="24"/>
          <w:szCs w:val="24"/>
        </w:rPr>
        <w:t xml:space="preserve"> </w:t>
      </w:r>
      <w:r w:rsidRPr="00827F8E">
        <w:rPr>
          <w:rFonts w:ascii="Arial" w:hAnsi="Arial" w:cs="Arial"/>
          <w:b/>
          <w:bCs/>
          <w:noProof/>
          <w:sz w:val="24"/>
          <w:szCs w:val="24"/>
        </w:rPr>
        <w:t>2014</w:t>
      </w:r>
      <w:r w:rsidRPr="00827F8E">
        <w:rPr>
          <w:rFonts w:ascii="Arial" w:hAnsi="Arial" w:cs="Arial"/>
          <w:noProof/>
          <w:sz w:val="24"/>
          <w:szCs w:val="24"/>
        </w:rPr>
        <w:t xml:space="preserve">, </w:t>
      </w:r>
      <w:r w:rsidRPr="00827F8E">
        <w:rPr>
          <w:rFonts w:ascii="Arial" w:hAnsi="Arial" w:cs="Arial"/>
          <w:i/>
          <w:iCs/>
          <w:noProof/>
          <w:sz w:val="24"/>
          <w:szCs w:val="24"/>
        </w:rPr>
        <w:t>47</w:t>
      </w:r>
      <w:r w:rsidRPr="00827F8E">
        <w:rPr>
          <w:rFonts w:ascii="Arial" w:hAnsi="Arial" w:cs="Arial"/>
          <w:noProof/>
          <w:sz w:val="24"/>
          <w:szCs w:val="24"/>
        </w:rPr>
        <w:t xml:space="preserve"> (3), 205–216. https://doi.org/10.1007/s13404-014-0143-z.</w:t>
      </w:r>
    </w:p>
    <w:p w14:paraId="7E83419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(303)</w:t>
      </w:r>
      <w:r w:rsidRPr="00827F8E">
        <w:rPr>
          <w:rFonts w:ascii="Arial" w:hAnsi="Arial" w:cs="Arial"/>
          <w:noProof/>
          <w:sz w:val="24"/>
          <w:szCs w:val="24"/>
        </w:rPr>
        <w:tab/>
        <w:t xml:space="preserve">Demchenko, A. P. Photobleaching of Organic Fluorophores: Quantitative Characterization, Mechanisms, Protection. </w:t>
      </w:r>
      <w:r w:rsidRPr="00827F8E">
        <w:rPr>
          <w:rFonts w:ascii="Arial" w:hAnsi="Arial" w:cs="Arial"/>
          <w:i/>
          <w:iCs/>
          <w:noProof/>
          <w:sz w:val="24"/>
          <w:szCs w:val="24"/>
        </w:rPr>
        <w:t>Methods Appl. Fluoresc.</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(2). https://doi.org/10.1088/2050-6120/ab7365.</w:t>
      </w:r>
    </w:p>
    <w:p w14:paraId="0C7897E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(304)</w:t>
      </w:r>
      <w:r w:rsidRPr="00827F8E">
        <w:rPr>
          <w:rFonts w:ascii="Arial" w:hAnsi="Arial" w:cs="Arial"/>
          <w:noProof/>
          <w:sz w:val="24"/>
          <w:szCs w:val="24"/>
        </w:rPr>
        <w:tab/>
        <w:t xml:space="preserve">Ho, L. W. C.; Chan, C. K. W.; Han, R.; Lau, Y. F. Y.; Li, H.; Ho, Y.; Zhuang, X.; Choi, C. H. J. Mammalian Cells Exocytose Alkylated Gold Nanoparticles via Extracellular Vesicles.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acsnano.1c07418. https://doi.org/10.1021/acsnano.1c07418.</w:t>
      </w:r>
    </w:p>
    <w:p w14:paraId="09681C3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(305)</w:t>
      </w:r>
      <w:r w:rsidRPr="00827F8E">
        <w:rPr>
          <w:rFonts w:ascii="Arial" w:hAnsi="Arial" w:cs="Arial"/>
          <w:noProof/>
          <w:sz w:val="24"/>
          <w:szCs w:val="24"/>
        </w:rPr>
        <w:tab/>
        <w:t xml:space="preserve">Sheykhzadeh, S.; Luo, M.; Peng, B.; White, J.; Abdalla, Y.; Tang, T.; Mäkilä, E.; Voelcker, N. H.; Tong, W. Y. Transferrin-Targeted Porous Silicon Nanoparticles Reduce Glioblastoma Cell Migration across Tight Extracellular Space. </w:t>
      </w:r>
      <w:r w:rsidRPr="00827F8E">
        <w:rPr>
          <w:rFonts w:ascii="Arial" w:hAnsi="Arial" w:cs="Arial"/>
          <w:i/>
          <w:iCs/>
          <w:noProof/>
          <w:sz w:val="24"/>
          <w:szCs w:val="24"/>
        </w:rPr>
        <w:t>Sci. Rep.</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xml:space="preserve"> (1), 1–16. https://doi.org/10.1038/s41598-020-59146-5.</w:t>
      </w:r>
    </w:p>
    <w:p w14:paraId="7A0F0C4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(306)</w:t>
      </w:r>
      <w:r w:rsidRPr="00827F8E">
        <w:rPr>
          <w:rFonts w:ascii="Arial" w:hAnsi="Arial" w:cs="Arial"/>
          <w:noProof/>
          <w:sz w:val="24"/>
          <w:szCs w:val="24"/>
        </w:rPr>
        <w:tab/>
        <w:t xml:space="preserve">Poon, W.; Zhang, Y. N.; Ouyang, B.; Kingston, B. R.; Wu, J. L. Y.; Wilhelm, S.; Chan, W. C. W. Elimination Pathways of Nanoparticles.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13</w:t>
      </w:r>
      <w:r w:rsidRPr="00827F8E">
        <w:rPr>
          <w:rFonts w:ascii="Arial" w:hAnsi="Arial" w:cs="Arial"/>
          <w:noProof/>
          <w:sz w:val="24"/>
          <w:szCs w:val="24"/>
        </w:rPr>
        <w:t xml:space="preserve"> (5), 5785–5798. https://doi.org/10.1021/acsnano.9b01383.</w:t>
      </w:r>
    </w:p>
    <w:p w14:paraId="2E57A0C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(307)</w:t>
      </w:r>
      <w:r w:rsidRPr="00827F8E">
        <w:rPr>
          <w:rFonts w:ascii="Arial" w:hAnsi="Arial" w:cs="Arial"/>
          <w:noProof/>
          <w:sz w:val="24"/>
          <w:szCs w:val="24"/>
        </w:rPr>
        <w:tab/>
        <w:t xml:space="preserve">Checa, M.; Millan-Solsona, R.; Mares, A. G.; Pujals, S.; Gomila, G. Fast Label-Free Nanoscale Composition Mapping of Eukaryotic Cells Via Scanning Dielectric Force Volume Microscopy and Machine Learning. </w:t>
      </w:r>
      <w:r w:rsidRPr="00827F8E">
        <w:rPr>
          <w:rFonts w:ascii="Arial" w:hAnsi="Arial" w:cs="Arial"/>
          <w:i/>
          <w:iCs/>
          <w:noProof/>
          <w:sz w:val="24"/>
          <w:szCs w:val="24"/>
        </w:rPr>
        <w:t>Small Methods</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5</w:t>
      </w:r>
      <w:r w:rsidRPr="00827F8E">
        <w:rPr>
          <w:rFonts w:ascii="Arial" w:hAnsi="Arial" w:cs="Arial"/>
          <w:noProof/>
          <w:sz w:val="24"/>
          <w:szCs w:val="24"/>
        </w:rPr>
        <w:t xml:space="preserve"> (7). https://doi.org/10.1002/smtd.202100279.</w:t>
      </w:r>
    </w:p>
    <w:p w14:paraId="72C055D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(308)</w:t>
      </w:r>
      <w:r w:rsidRPr="00827F8E">
        <w:rPr>
          <w:rFonts w:ascii="Arial" w:hAnsi="Arial" w:cs="Arial"/>
          <w:noProof/>
          <w:sz w:val="24"/>
          <w:szCs w:val="24"/>
        </w:rPr>
        <w:tab/>
        <w:t xml:space="preserve">Cox, D.; Lee, D. J.; Dale, B. M.; Calafat, J.; Greenberg, S. A Rab11-Containing Rapidly Recycling Compartment in Macrophages That Promotes Phagocytosis. </w:t>
      </w:r>
      <w:r w:rsidRPr="00827F8E">
        <w:rPr>
          <w:rFonts w:ascii="Arial" w:hAnsi="Arial" w:cs="Arial"/>
          <w:i/>
          <w:iCs/>
          <w:noProof/>
          <w:sz w:val="24"/>
          <w:szCs w:val="24"/>
        </w:rPr>
        <w:lastRenderedPageBreak/>
        <w:t>Proc. Natl. Acad. Sci. U. S. A.</w:t>
      </w:r>
      <w:r w:rsidRPr="00827F8E">
        <w:rPr>
          <w:rFonts w:ascii="Arial" w:hAnsi="Arial" w:cs="Arial"/>
          <w:noProof/>
          <w:sz w:val="24"/>
          <w:szCs w:val="24"/>
        </w:rPr>
        <w:t xml:space="preserve"> </w:t>
      </w:r>
      <w:r w:rsidRPr="00827F8E">
        <w:rPr>
          <w:rFonts w:ascii="Arial" w:hAnsi="Arial" w:cs="Arial"/>
          <w:b/>
          <w:bCs/>
          <w:noProof/>
          <w:sz w:val="24"/>
          <w:szCs w:val="24"/>
        </w:rPr>
        <w:t>2000</w:t>
      </w:r>
      <w:r w:rsidRPr="00827F8E">
        <w:rPr>
          <w:rFonts w:ascii="Arial" w:hAnsi="Arial" w:cs="Arial"/>
          <w:noProof/>
          <w:sz w:val="24"/>
          <w:szCs w:val="24"/>
        </w:rPr>
        <w:t xml:space="preserve">, </w:t>
      </w:r>
      <w:r w:rsidRPr="00827F8E">
        <w:rPr>
          <w:rFonts w:ascii="Arial" w:hAnsi="Arial" w:cs="Arial"/>
          <w:i/>
          <w:iCs/>
          <w:noProof/>
          <w:sz w:val="24"/>
          <w:szCs w:val="24"/>
        </w:rPr>
        <w:t>97</w:t>
      </w:r>
      <w:r w:rsidRPr="00827F8E">
        <w:rPr>
          <w:rFonts w:ascii="Arial" w:hAnsi="Arial" w:cs="Arial"/>
          <w:noProof/>
          <w:sz w:val="24"/>
          <w:szCs w:val="24"/>
        </w:rPr>
        <w:t xml:space="preserve"> (2), 680–685. https://doi.org/10.1073/pnas.97.2.680.</w:t>
      </w:r>
    </w:p>
    <w:p w14:paraId="57AA585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(309)</w:t>
      </w:r>
      <w:r w:rsidRPr="00827F8E">
        <w:rPr>
          <w:rFonts w:ascii="Arial" w:hAnsi="Arial" w:cs="Arial"/>
          <w:noProof/>
          <w:sz w:val="24"/>
          <w:szCs w:val="24"/>
        </w:rPr>
        <w:tab/>
        <w:t xml:space="preserve">Sherry, D. M.; Stiles, M. A. Improved Fluorescent Signal in Expansion Microscopy Using Fluorescent Fab Fragment Secondary Antibodies. </w:t>
      </w:r>
      <w:r w:rsidRPr="00827F8E">
        <w:rPr>
          <w:rFonts w:ascii="Arial" w:hAnsi="Arial" w:cs="Arial"/>
          <w:i/>
          <w:iCs/>
          <w:noProof/>
          <w:sz w:val="24"/>
          <w:szCs w:val="24"/>
        </w:rPr>
        <w:t>MethodsX</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(June), 101796. https://doi.org/10.1016/j.mex.2022.101796.</w:t>
      </w:r>
    </w:p>
    <w:p w14:paraId="3D0B309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(310)</w:t>
      </w:r>
      <w:r w:rsidRPr="00827F8E">
        <w:rPr>
          <w:rFonts w:ascii="Arial" w:hAnsi="Arial" w:cs="Arial"/>
          <w:noProof/>
          <w:sz w:val="24"/>
          <w:szCs w:val="24"/>
        </w:rPr>
        <w:tab/>
        <w:t xml:space="preserve">Kong, D.; Loncarek, J. Analyzing Centrioles and Cilia by Expansion Microscopy. </w:t>
      </w:r>
      <w:r w:rsidRPr="00827F8E">
        <w:rPr>
          <w:rFonts w:ascii="Arial" w:hAnsi="Arial" w:cs="Arial"/>
          <w:i/>
          <w:iCs/>
          <w:noProof/>
          <w:sz w:val="24"/>
          <w:szCs w:val="24"/>
        </w:rPr>
        <w:t>Methods in Molecular Biology</w:t>
      </w:r>
      <w:r w:rsidRPr="00827F8E">
        <w:rPr>
          <w:rFonts w:ascii="Arial" w:hAnsi="Arial" w:cs="Arial"/>
          <w:noProof/>
          <w:sz w:val="24"/>
          <w:szCs w:val="24"/>
        </w:rPr>
        <w:t>. 2021, pp 249–263. https://doi.org/10.1007/978-1-0716-1538-6_18.</w:t>
      </w:r>
    </w:p>
    <w:p w14:paraId="71549CF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(311)</w:t>
      </w:r>
      <w:r w:rsidRPr="00827F8E">
        <w:rPr>
          <w:rFonts w:ascii="Arial" w:hAnsi="Arial" w:cs="Arial"/>
          <w:noProof/>
          <w:sz w:val="24"/>
          <w:szCs w:val="24"/>
        </w:rPr>
        <w:tab/>
        <w:t xml:space="preserve">Innes, E.; Yiu, H. H. P.; McLean, P.; Brown, W.; Boyles, M. Simulated Biological Fluids–a Systematic Review of Their Biological Relevance and Use in Relation to Inhalation Toxicology of Particles and Fibres. </w:t>
      </w:r>
      <w:r w:rsidRPr="00827F8E">
        <w:rPr>
          <w:rFonts w:ascii="Arial" w:hAnsi="Arial" w:cs="Arial"/>
          <w:i/>
          <w:iCs/>
          <w:noProof/>
          <w:sz w:val="24"/>
          <w:szCs w:val="24"/>
        </w:rPr>
        <w:t>Crit. Rev. Toxicol.</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51</w:t>
      </w:r>
      <w:r w:rsidRPr="00827F8E">
        <w:rPr>
          <w:rFonts w:ascii="Arial" w:hAnsi="Arial" w:cs="Arial"/>
          <w:noProof/>
          <w:sz w:val="24"/>
          <w:szCs w:val="24"/>
        </w:rPr>
        <w:t xml:space="preserve"> (3), 217–248. https://doi.org/10.1080/10408444.2021.1903386.</w:t>
      </w:r>
    </w:p>
    <w:p w14:paraId="5615ECA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(312)</w:t>
      </w:r>
      <w:r w:rsidRPr="00827F8E">
        <w:rPr>
          <w:rFonts w:ascii="Arial" w:hAnsi="Arial" w:cs="Arial"/>
          <w:noProof/>
          <w:sz w:val="24"/>
          <w:szCs w:val="24"/>
        </w:rPr>
        <w:tab/>
        <w:t xml:space="preserve">Donahue, N. D.; Sheth, V.; Frickenstein, A. N.; Holden, A.; Kanapilly, S.; Stephan, C.; Wilhelm, S. Absolute Quantification of Nanoparticle Interactions with Individual Human B Cells by Single Cell Mass Spectrometry.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(10), 4192–4199. https://doi.org/10.1021/acs.nanolett.2c01037.</w:t>
      </w:r>
    </w:p>
    <w:p w14:paraId="2225469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(313)</w:t>
      </w:r>
      <w:r w:rsidRPr="00827F8E">
        <w:rPr>
          <w:rFonts w:ascii="Arial" w:hAnsi="Arial" w:cs="Arial"/>
          <w:noProof/>
          <w:sz w:val="24"/>
          <w:szCs w:val="24"/>
        </w:rPr>
        <w:tab/>
        <w:t xml:space="preserve">Donahue, N. D.; Kanapilly, S.; Stephan, C.; Marlin, M. C.; Francek, E. R.; Haddad, M.; Guthridge, J.; Wilhelm, S. Quantifying Chemical Composition and Reaction Kinetics of Individual Colloidally Dispersed Nanoparticles. </w:t>
      </w:r>
      <w:r w:rsidRPr="00827F8E">
        <w:rPr>
          <w:rFonts w:ascii="Arial" w:hAnsi="Arial" w:cs="Arial"/>
          <w:i/>
          <w:iCs/>
          <w:noProof/>
          <w:sz w:val="24"/>
          <w:szCs w:val="24"/>
        </w:rPr>
        <w:t>Nano Lett.</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22</w:t>
      </w:r>
      <w:r w:rsidRPr="00827F8E">
        <w:rPr>
          <w:rFonts w:ascii="Arial" w:hAnsi="Arial" w:cs="Arial"/>
          <w:noProof/>
          <w:sz w:val="24"/>
          <w:szCs w:val="24"/>
        </w:rPr>
        <w:t xml:space="preserve"> (1), 294–301. https://doi.org/10.1021/acs.nanolett.1c03752.</w:t>
      </w:r>
    </w:p>
    <w:p w14:paraId="0B12135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(314)</w:t>
      </w:r>
      <w:r w:rsidRPr="00827F8E">
        <w:rPr>
          <w:rFonts w:ascii="Arial" w:hAnsi="Arial" w:cs="Arial"/>
          <w:noProof/>
          <w:sz w:val="24"/>
          <w:szCs w:val="24"/>
        </w:rPr>
        <w:tab/>
        <w:t xml:space="preserve">Stephan, T.; Roesch, A.; Riedel, D.; Jakobs, S. Live-Cell STED Nanoscopy of Mitochondrial Cristae. </w:t>
      </w:r>
      <w:r w:rsidRPr="00827F8E">
        <w:rPr>
          <w:rFonts w:ascii="Arial" w:hAnsi="Arial" w:cs="Arial"/>
          <w:i/>
          <w:iCs/>
          <w:noProof/>
          <w:sz w:val="24"/>
          <w:szCs w:val="24"/>
        </w:rPr>
        <w:t>Sci. Rep.</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(1), 1–6. https://doi.org/10.1038/s41598-019-48838-2.</w:t>
      </w:r>
    </w:p>
    <w:p w14:paraId="4F7C5CC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(315)</w:t>
      </w:r>
      <w:r w:rsidRPr="00827F8E">
        <w:rPr>
          <w:rFonts w:ascii="Arial" w:hAnsi="Arial" w:cs="Arial"/>
          <w:noProof/>
          <w:sz w:val="24"/>
          <w:szCs w:val="24"/>
        </w:rPr>
        <w:tab/>
        <w:t xml:space="preserve">Huff, J. The Airyscan Detector from ZEISS: Confocal Imaging with Improved Signal-to-Noise Ratio and Super-Resolution. </w:t>
      </w:r>
      <w:r w:rsidRPr="00827F8E">
        <w:rPr>
          <w:rFonts w:ascii="Arial" w:hAnsi="Arial" w:cs="Arial"/>
          <w:i/>
          <w:iCs/>
          <w:noProof/>
          <w:sz w:val="24"/>
          <w:szCs w:val="24"/>
        </w:rPr>
        <w:t>Nat. Methods</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(12), ii. https://doi.org/10.1038/NMETH.F.388.</w:t>
      </w:r>
    </w:p>
    <w:p w14:paraId="70FF066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(316)</w:t>
      </w:r>
      <w:r w:rsidRPr="00827F8E">
        <w:rPr>
          <w:rFonts w:ascii="Arial" w:hAnsi="Arial" w:cs="Arial"/>
          <w:noProof/>
          <w:sz w:val="24"/>
          <w:szCs w:val="24"/>
        </w:rPr>
        <w:tab/>
        <w:t xml:space="preserve">Bolaños, K.; Kogan, M. J.; Araya, E. Capping Gold Nanoparticles with Albumin to Improve Their Biomedical Properties. </w:t>
      </w:r>
      <w:r w:rsidRPr="00827F8E">
        <w:rPr>
          <w:rFonts w:ascii="Arial" w:hAnsi="Arial" w:cs="Arial"/>
          <w:i/>
          <w:iCs/>
          <w:noProof/>
          <w:sz w:val="24"/>
          <w:szCs w:val="24"/>
        </w:rPr>
        <w:t>Int. J. Nanomedicine</w:t>
      </w:r>
      <w:r w:rsidRPr="00827F8E">
        <w:rPr>
          <w:rFonts w:ascii="Arial" w:hAnsi="Arial" w:cs="Arial"/>
          <w:noProof/>
          <w:sz w:val="24"/>
          <w:szCs w:val="24"/>
        </w:rPr>
        <w:t xml:space="preserve"> </w:t>
      </w:r>
      <w:r w:rsidRPr="00827F8E">
        <w:rPr>
          <w:rFonts w:ascii="Arial" w:hAnsi="Arial" w:cs="Arial"/>
          <w:b/>
          <w:bCs/>
          <w:noProof/>
          <w:sz w:val="24"/>
          <w:szCs w:val="24"/>
        </w:rPr>
        <w:t>2019</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6387–6406. https://doi.org/10.2147/IJN.S210992.</w:t>
      </w:r>
    </w:p>
    <w:p w14:paraId="02A61A7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(317)</w:t>
      </w:r>
      <w:r w:rsidRPr="00827F8E">
        <w:rPr>
          <w:rFonts w:ascii="Arial" w:hAnsi="Arial" w:cs="Arial"/>
          <w:noProof/>
          <w:sz w:val="24"/>
          <w:szCs w:val="24"/>
        </w:rPr>
        <w:tab/>
        <w:t xml:space="preserve">Bukackova, M.; Rusnok, P.; Marsalek, R. Mathematical Methods in the Calculation of the Zeta Potential of BSA. </w:t>
      </w:r>
      <w:r w:rsidRPr="00827F8E">
        <w:rPr>
          <w:rFonts w:ascii="Arial" w:hAnsi="Arial" w:cs="Arial"/>
          <w:i/>
          <w:iCs/>
          <w:noProof/>
          <w:sz w:val="24"/>
          <w:szCs w:val="24"/>
        </w:rPr>
        <w:t>J. Solution Chem.</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47</w:t>
      </w:r>
      <w:r w:rsidRPr="00827F8E">
        <w:rPr>
          <w:rFonts w:ascii="Arial" w:hAnsi="Arial" w:cs="Arial"/>
          <w:noProof/>
          <w:sz w:val="24"/>
          <w:szCs w:val="24"/>
        </w:rPr>
        <w:t xml:space="preserve"> (12), 1942–1952. https://doi.org/10.1007/s10953-018-0830-0.</w:t>
      </w:r>
    </w:p>
    <w:p w14:paraId="3951970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(318)</w:t>
      </w:r>
      <w:r w:rsidRPr="00827F8E">
        <w:rPr>
          <w:rFonts w:ascii="Arial" w:hAnsi="Arial" w:cs="Arial"/>
          <w:noProof/>
          <w:sz w:val="24"/>
          <w:szCs w:val="24"/>
        </w:rPr>
        <w:tab/>
        <w:t xml:space="preserve">Connor, E. E.; Mwamuka, J.; Gole, A.; Murphy, C. J.; Wyatt, M. D. Gold Nanoparticles Are Taken up by Human Cells but Do Not Cause Acute Cytotoxicity. </w:t>
      </w:r>
      <w:r w:rsidRPr="00827F8E">
        <w:rPr>
          <w:rFonts w:ascii="Arial" w:hAnsi="Arial" w:cs="Arial"/>
          <w:i/>
          <w:iCs/>
          <w:noProof/>
          <w:sz w:val="24"/>
          <w:szCs w:val="24"/>
        </w:rPr>
        <w:t>Small</w:t>
      </w:r>
      <w:r w:rsidRPr="00827F8E">
        <w:rPr>
          <w:rFonts w:ascii="Arial" w:hAnsi="Arial" w:cs="Arial"/>
          <w:noProof/>
          <w:sz w:val="24"/>
          <w:szCs w:val="24"/>
        </w:rPr>
        <w:t xml:space="preserve"> </w:t>
      </w:r>
      <w:r w:rsidRPr="00827F8E">
        <w:rPr>
          <w:rFonts w:ascii="Arial" w:hAnsi="Arial" w:cs="Arial"/>
          <w:b/>
          <w:bCs/>
          <w:noProof/>
          <w:sz w:val="24"/>
          <w:szCs w:val="24"/>
        </w:rPr>
        <w:t>2005</w:t>
      </w:r>
      <w:r w:rsidRPr="00827F8E">
        <w:rPr>
          <w:rFonts w:ascii="Arial" w:hAnsi="Arial" w:cs="Arial"/>
          <w:noProof/>
          <w:sz w:val="24"/>
          <w:szCs w:val="24"/>
        </w:rPr>
        <w:t xml:space="preserve">, </w:t>
      </w:r>
      <w:r w:rsidRPr="00827F8E">
        <w:rPr>
          <w:rFonts w:ascii="Arial" w:hAnsi="Arial" w:cs="Arial"/>
          <w:i/>
          <w:iCs/>
          <w:noProof/>
          <w:sz w:val="24"/>
          <w:szCs w:val="24"/>
        </w:rPr>
        <w:t>1</w:t>
      </w:r>
      <w:r w:rsidRPr="00827F8E">
        <w:rPr>
          <w:rFonts w:ascii="Arial" w:hAnsi="Arial" w:cs="Arial"/>
          <w:noProof/>
          <w:sz w:val="24"/>
          <w:szCs w:val="24"/>
        </w:rPr>
        <w:t xml:space="preserve"> (3), 325–327. https://doi.org/10.1002/smll.200400093.</w:t>
      </w:r>
    </w:p>
    <w:p w14:paraId="0A1CAF6F"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(319)</w:t>
      </w:r>
      <w:r w:rsidRPr="00827F8E">
        <w:rPr>
          <w:rFonts w:ascii="Arial" w:hAnsi="Arial" w:cs="Arial"/>
          <w:noProof/>
          <w:sz w:val="24"/>
          <w:szCs w:val="24"/>
        </w:rPr>
        <w:tab/>
        <w:t xml:space="preserve">Reifarth, M.; Hoeppener, S.; Schubert, U. S. Uptake and Intracellular Fate of Engineered Nanoparticles in Mammalian Cells: Capabilities and Limitations of Transmission Electron Microscopy-Polymer-Based Nanoparticles. </w:t>
      </w:r>
      <w:r w:rsidRPr="00827F8E">
        <w:rPr>
          <w:rFonts w:ascii="Arial" w:hAnsi="Arial" w:cs="Arial"/>
          <w:i/>
          <w:iCs/>
          <w:noProof/>
          <w:sz w:val="24"/>
          <w:szCs w:val="24"/>
        </w:rPr>
        <w:t>Adv. Mater.</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30</w:t>
      </w:r>
      <w:r w:rsidRPr="00827F8E">
        <w:rPr>
          <w:rFonts w:ascii="Arial" w:hAnsi="Arial" w:cs="Arial"/>
          <w:noProof/>
          <w:sz w:val="24"/>
          <w:szCs w:val="24"/>
        </w:rPr>
        <w:t xml:space="preserve"> (9), 1703704. https://doi.org/10.1002/adma.201703704.</w:t>
      </w:r>
    </w:p>
    <w:p w14:paraId="0982FA6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(320)</w:t>
      </w:r>
      <w:r w:rsidRPr="00827F8E">
        <w:rPr>
          <w:rFonts w:ascii="Arial" w:hAnsi="Arial" w:cs="Arial"/>
          <w:noProof/>
          <w:sz w:val="24"/>
          <w:szCs w:val="24"/>
        </w:rPr>
        <w:tab/>
        <w:t xml:space="preserve">Sheth, V.; Chen, X.; Mettenbrink, E. M.; Yang, W.; Jones, M. A.; M’Saad, O.; </w:t>
      </w:r>
      <w:r w:rsidRPr="00827F8E">
        <w:rPr>
          <w:rFonts w:ascii="Arial" w:hAnsi="Arial" w:cs="Arial"/>
          <w:noProof/>
          <w:sz w:val="24"/>
          <w:szCs w:val="24"/>
        </w:rPr>
        <w:lastRenderedPageBreak/>
        <w:t xml:space="preserve">Thomas, A. G.; Newport, R. S.; Francek, E.; Wang, L.; Frickenstein, A. N.; Donahue, N. D.; Holden, A.; Mjema, N. F.; Green, D. E.; DeAngelis, P. L.; Bewersdorf, J.; Wilhelm, S. Quantifying Intracellular Nanoparticle Distributions with Three-Dimensional Super-Resolution Microscopy.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17</w:t>
      </w:r>
      <w:r w:rsidRPr="00827F8E">
        <w:rPr>
          <w:rFonts w:ascii="Arial" w:hAnsi="Arial" w:cs="Arial"/>
          <w:noProof/>
          <w:sz w:val="24"/>
          <w:szCs w:val="24"/>
        </w:rPr>
        <w:t xml:space="preserve"> (9), 8376–8392. https://doi.org/10.1021/acsnano.2c12808.</w:t>
      </w:r>
    </w:p>
    <w:p w14:paraId="00CD53C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(321)</w:t>
      </w:r>
      <w:r w:rsidRPr="00827F8E">
        <w:rPr>
          <w:rFonts w:ascii="Arial" w:hAnsi="Arial" w:cs="Arial"/>
          <w:noProof/>
          <w:sz w:val="24"/>
          <w:szCs w:val="24"/>
        </w:rPr>
        <w:tab/>
        <w:t xml:space="preserve">Klębowski, B.; Depciuch, J.; Parlińska-Wojtan, M.; Baran, J. Applications of Noble Metal-Based Nanoparticles in Medicine. </w:t>
      </w:r>
      <w:r w:rsidRPr="00827F8E">
        <w:rPr>
          <w:rFonts w:ascii="Arial" w:hAnsi="Arial" w:cs="Arial"/>
          <w:i/>
          <w:iCs/>
          <w:noProof/>
          <w:sz w:val="24"/>
          <w:szCs w:val="24"/>
        </w:rPr>
        <w:t>Int. J. Mol. Sci.</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(12), 4031. https://doi.org/10.3390/ijms19124031.</w:t>
      </w:r>
    </w:p>
    <w:p w14:paraId="6012E32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(322)</w:t>
      </w:r>
      <w:r w:rsidRPr="00827F8E">
        <w:rPr>
          <w:rFonts w:ascii="Arial" w:hAnsi="Arial" w:cs="Arial"/>
          <w:noProof/>
          <w:sz w:val="24"/>
          <w:szCs w:val="24"/>
        </w:rPr>
        <w:tab/>
        <w:t xml:space="preserve">Zhang, R.; Kiessling, F.; Lammers, T.; Pallares, R. M. Clinical Translation of Gold Nanoparticles. </w:t>
      </w:r>
      <w:r w:rsidRPr="00827F8E">
        <w:rPr>
          <w:rFonts w:ascii="Arial" w:hAnsi="Arial" w:cs="Arial"/>
          <w:i/>
          <w:iCs/>
          <w:noProof/>
          <w:sz w:val="24"/>
          <w:szCs w:val="24"/>
        </w:rPr>
        <w:t>Drug Deliv. Transl. Res.</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13</w:t>
      </w:r>
      <w:r w:rsidRPr="00827F8E">
        <w:rPr>
          <w:rFonts w:ascii="Arial" w:hAnsi="Arial" w:cs="Arial"/>
          <w:noProof/>
          <w:sz w:val="24"/>
          <w:szCs w:val="24"/>
        </w:rPr>
        <w:t xml:space="preserve"> (2), 378–385. https://doi.org/10.1007/s13346-022-01232-4.</w:t>
      </w:r>
    </w:p>
    <w:p w14:paraId="4FA08F4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(323)</w:t>
      </w:r>
      <w:r w:rsidRPr="00827F8E">
        <w:rPr>
          <w:rFonts w:ascii="Arial" w:hAnsi="Arial" w:cs="Arial"/>
          <w:noProof/>
          <w:sz w:val="24"/>
          <w:szCs w:val="24"/>
        </w:rPr>
        <w:tab/>
        <w:t xml:space="preserve">Giri, P. M.; Banerjee, A.; Layek, B. A Recent Review on Cancer Nanomedicine. </w:t>
      </w:r>
      <w:r w:rsidRPr="00827F8E">
        <w:rPr>
          <w:rFonts w:ascii="Arial" w:hAnsi="Arial" w:cs="Arial"/>
          <w:i/>
          <w:iCs/>
          <w:noProof/>
          <w:sz w:val="24"/>
          <w:szCs w:val="24"/>
        </w:rPr>
        <w:t>Cancers (Basel).</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15</w:t>
      </w:r>
      <w:r w:rsidRPr="00827F8E">
        <w:rPr>
          <w:rFonts w:ascii="Arial" w:hAnsi="Arial" w:cs="Arial"/>
          <w:noProof/>
          <w:sz w:val="24"/>
          <w:szCs w:val="24"/>
        </w:rPr>
        <w:t xml:space="preserve"> (8). https://doi.org/10.3390/cancers15082256.</w:t>
      </w:r>
    </w:p>
    <w:p w14:paraId="5DA4983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(324)</w:t>
      </w:r>
      <w:r w:rsidRPr="00827F8E">
        <w:rPr>
          <w:rFonts w:ascii="Arial" w:hAnsi="Arial" w:cs="Arial"/>
          <w:noProof/>
          <w:sz w:val="24"/>
          <w:szCs w:val="24"/>
        </w:rPr>
        <w:tab/>
        <w:t xml:space="preserve">Sun, D.; Zhou, S.; Gao, W. What Went Wrong with Anticancer Nanomedicine Design and How to Make It Right. </w:t>
      </w:r>
      <w:r w:rsidRPr="00827F8E">
        <w:rPr>
          <w:rFonts w:ascii="Arial" w:hAnsi="Arial" w:cs="Arial"/>
          <w:i/>
          <w:iCs/>
          <w:noProof/>
          <w:sz w:val="24"/>
          <w:szCs w:val="24"/>
        </w:rPr>
        <w:t>ACS Nano</w:t>
      </w:r>
      <w:r w:rsidRPr="00827F8E">
        <w:rPr>
          <w:rFonts w:ascii="Arial" w:hAnsi="Arial" w:cs="Arial"/>
          <w:noProof/>
          <w:sz w:val="24"/>
          <w:szCs w:val="24"/>
        </w:rPr>
        <w:t xml:space="preserve"> </w:t>
      </w:r>
      <w:r w:rsidRPr="00827F8E">
        <w:rPr>
          <w:rFonts w:ascii="Arial" w:hAnsi="Arial" w:cs="Arial"/>
          <w:b/>
          <w:bCs/>
          <w:noProof/>
          <w:sz w:val="24"/>
          <w:szCs w:val="24"/>
        </w:rPr>
        <w:t>2020</w:t>
      </w:r>
      <w:r w:rsidRPr="00827F8E">
        <w:rPr>
          <w:rFonts w:ascii="Arial" w:hAnsi="Arial" w:cs="Arial"/>
          <w:noProof/>
          <w:sz w:val="24"/>
          <w:szCs w:val="24"/>
        </w:rPr>
        <w:t xml:space="preserve">, </w:t>
      </w:r>
      <w:r w:rsidRPr="00827F8E">
        <w:rPr>
          <w:rFonts w:ascii="Arial" w:hAnsi="Arial" w:cs="Arial"/>
          <w:i/>
          <w:iCs/>
          <w:noProof/>
          <w:sz w:val="24"/>
          <w:szCs w:val="24"/>
        </w:rPr>
        <w:t>14</w:t>
      </w:r>
      <w:r w:rsidRPr="00827F8E">
        <w:rPr>
          <w:rFonts w:ascii="Arial" w:hAnsi="Arial" w:cs="Arial"/>
          <w:noProof/>
          <w:sz w:val="24"/>
          <w:szCs w:val="24"/>
        </w:rPr>
        <w:t xml:space="preserve"> (10), 12281–12290. https://doi.org/10.1021/acsnano.9b09713.</w:t>
      </w:r>
    </w:p>
    <w:p w14:paraId="0E713E0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(325)</w:t>
      </w:r>
      <w:r w:rsidRPr="00827F8E">
        <w:rPr>
          <w:rFonts w:ascii="Arial" w:hAnsi="Arial" w:cs="Arial"/>
          <w:noProof/>
          <w:sz w:val="24"/>
          <w:szCs w:val="24"/>
        </w:rPr>
        <w:tab/>
        <w:t xml:space="preserve">Klimas, A.; Gallagher, B. R.; Wijesekara, P.; Fekir, S.; DiBernardo, E. F.; Cheng, Z.; Stolz, D. B.; Cambi, F.; Watkins, S. C.; Brody, S. L.; Horani, A.; Barth, A. L.; Moore, C. I.; Ren, X.; Zhao, Y. Magnify Is a Universal Molecular Anchoring Strategy for Expansion Microscopy. </w:t>
      </w:r>
      <w:r w:rsidRPr="00827F8E">
        <w:rPr>
          <w:rFonts w:ascii="Arial" w:hAnsi="Arial" w:cs="Arial"/>
          <w:i/>
          <w:iCs/>
          <w:noProof/>
          <w:sz w:val="24"/>
          <w:szCs w:val="24"/>
        </w:rPr>
        <w:t>Nat. Biotechnol.</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https://doi.org/10.1038/s41587-022-01546-1.</w:t>
      </w:r>
    </w:p>
    <w:p w14:paraId="296501D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(326)</w:t>
      </w:r>
      <w:r w:rsidRPr="00827F8E">
        <w:rPr>
          <w:rFonts w:ascii="Arial" w:hAnsi="Arial" w:cs="Arial"/>
          <w:noProof/>
          <w:sz w:val="24"/>
          <w:szCs w:val="24"/>
        </w:rPr>
        <w:tab/>
        <w:t xml:space="preserve">Fulton, M. D.; Najahi-Missaoui, W. Liposomes in Cancer Therapy: How Did We Start and Where Are We Now. </w:t>
      </w:r>
      <w:r w:rsidRPr="00827F8E">
        <w:rPr>
          <w:rFonts w:ascii="Arial" w:hAnsi="Arial" w:cs="Arial"/>
          <w:i/>
          <w:iCs/>
          <w:noProof/>
          <w:sz w:val="24"/>
          <w:szCs w:val="24"/>
        </w:rPr>
        <w:t>Int. J. Mol. Sci.</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24</w:t>
      </w:r>
      <w:r w:rsidRPr="00827F8E">
        <w:rPr>
          <w:rFonts w:ascii="Arial" w:hAnsi="Arial" w:cs="Arial"/>
          <w:noProof/>
          <w:sz w:val="24"/>
          <w:szCs w:val="24"/>
        </w:rPr>
        <w:t xml:space="preserve"> (7). https://doi.org/10.3390/ijms24076615.</w:t>
      </w:r>
    </w:p>
    <w:p w14:paraId="2304352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(327)</w:t>
      </w:r>
      <w:r w:rsidRPr="00827F8E">
        <w:rPr>
          <w:rFonts w:ascii="Arial" w:hAnsi="Arial" w:cs="Arial"/>
          <w:noProof/>
          <w:sz w:val="24"/>
          <w:szCs w:val="24"/>
        </w:rPr>
        <w:tab/>
        <w:t xml:space="preserve">Kashkanova, A. D.; Blessing, M.; Gemeinhardt, A.; Soulat, D.; Sandoghdar, V. Precision Size and Refractive Index Analysis of Weakly Scattering Nanoparticles in Polydispersions. </w:t>
      </w:r>
      <w:r w:rsidRPr="00827F8E">
        <w:rPr>
          <w:rFonts w:ascii="Arial" w:hAnsi="Arial" w:cs="Arial"/>
          <w:i/>
          <w:iCs/>
          <w:noProof/>
          <w:sz w:val="24"/>
          <w:szCs w:val="24"/>
        </w:rPr>
        <w:t>Nat. Methods</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19</w:t>
      </w:r>
      <w:r w:rsidRPr="00827F8E">
        <w:rPr>
          <w:rFonts w:ascii="Arial" w:hAnsi="Arial" w:cs="Arial"/>
          <w:noProof/>
          <w:sz w:val="24"/>
          <w:szCs w:val="24"/>
        </w:rPr>
        <w:t xml:space="preserve"> (5), 586–593. https://doi.org/10.1038/s41592-022-01460-z.</w:t>
      </w:r>
    </w:p>
    <w:p w14:paraId="7378CF4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(328)</w:t>
      </w:r>
      <w:r w:rsidRPr="00827F8E">
        <w:rPr>
          <w:rFonts w:ascii="Arial" w:hAnsi="Arial" w:cs="Arial"/>
          <w:noProof/>
          <w:sz w:val="24"/>
          <w:szCs w:val="24"/>
        </w:rPr>
        <w:tab/>
        <w:t xml:space="preserve">Baczewska, M.; Eder, K.; Ketelhut, S.; Kemper, B.; Kujawińska, M. Refractive Index Changes of Cells and Cellular Compartments Upon Paraformaldehyde Fixation Acquired by Tomographic Phase Microscopy. </w:t>
      </w:r>
      <w:r w:rsidRPr="00827F8E">
        <w:rPr>
          <w:rFonts w:ascii="Arial" w:hAnsi="Arial" w:cs="Arial"/>
          <w:i/>
          <w:iCs/>
          <w:noProof/>
          <w:sz w:val="24"/>
          <w:szCs w:val="24"/>
        </w:rPr>
        <w:t>Cytom. Part A</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99</w:t>
      </w:r>
      <w:r w:rsidRPr="00827F8E">
        <w:rPr>
          <w:rFonts w:ascii="Arial" w:hAnsi="Arial" w:cs="Arial"/>
          <w:noProof/>
          <w:sz w:val="24"/>
          <w:szCs w:val="24"/>
        </w:rPr>
        <w:t xml:space="preserve"> (4), 388–398. https://doi.org/10.1002/cyto.a.24229.</w:t>
      </w:r>
    </w:p>
    <w:p w14:paraId="7CB5692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(329)</w:t>
      </w:r>
      <w:r w:rsidRPr="00827F8E">
        <w:rPr>
          <w:rFonts w:ascii="Arial" w:hAnsi="Arial" w:cs="Arial"/>
          <w:noProof/>
          <w:sz w:val="24"/>
          <w:szCs w:val="24"/>
        </w:rPr>
        <w:tab/>
        <w:t xml:space="preserve">Donahue, N. D.; Vance, E. A.; Sheth, V.; Francek, E. R.; Wilhelm, S. Synthesis, Characterization, and Acute Cytotoxicity Evaluation of Chloroquine Encapsulating Liposomes. </w:t>
      </w:r>
      <w:r w:rsidRPr="00827F8E">
        <w:rPr>
          <w:rFonts w:ascii="Arial" w:hAnsi="Arial" w:cs="Arial"/>
          <w:i/>
          <w:iCs/>
          <w:noProof/>
          <w:sz w:val="24"/>
          <w:szCs w:val="24"/>
        </w:rPr>
        <w:t>Micro</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3</w:t>
      </w:r>
      <w:r w:rsidRPr="00827F8E">
        <w:rPr>
          <w:rFonts w:ascii="Arial" w:hAnsi="Arial" w:cs="Arial"/>
          <w:noProof/>
          <w:sz w:val="24"/>
          <w:szCs w:val="24"/>
        </w:rPr>
        <w:t xml:space="preserve"> (1), 51–59. https://doi.org/10.3390/micro3010005.</w:t>
      </w:r>
    </w:p>
    <w:p w14:paraId="5690EA2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(330)</w:t>
      </w:r>
      <w:r w:rsidRPr="00827F8E">
        <w:rPr>
          <w:rFonts w:ascii="Arial" w:hAnsi="Arial" w:cs="Arial"/>
          <w:noProof/>
          <w:sz w:val="24"/>
          <w:szCs w:val="24"/>
        </w:rPr>
        <w:tab/>
        <w:t xml:space="preserve">Khan, D. R.; Rezler, E. M.; Lauer-Fields, J.; Fields, G. B. Effects of Drug Hydrophobicity on Liposomal Stability. </w:t>
      </w:r>
      <w:r w:rsidRPr="00827F8E">
        <w:rPr>
          <w:rFonts w:ascii="Arial" w:hAnsi="Arial" w:cs="Arial"/>
          <w:i/>
          <w:iCs/>
          <w:noProof/>
          <w:sz w:val="24"/>
          <w:szCs w:val="24"/>
        </w:rPr>
        <w:t>Chem. Biol. Drug Des.</w:t>
      </w:r>
      <w:r w:rsidRPr="00827F8E">
        <w:rPr>
          <w:rFonts w:ascii="Arial" w:hAnsi="Arial" w:cs="Arial"/>
          <w:noProof/>
          <w:sz w:val="24"/>
          <w:szCs w:val="24"/>
        </w:rPr>
        <w:t xml:space="preserve"> </w:t>
      </w:r>
      <w:r w:rsidRPr="00827F8E">
        <w:rPr>
          <w:rFonts w:ascii="Arial" w:hAnsi="Arial" w:cs="Arial"/>
          <w:b/>
          <w:bCs/>
          <w:noProof/>
          <w:sz w:val="24"/>
          <w:szCs w:val="24"/>
        </w:rPr>
        <w:t>2008</w:t>
      </w:r>
      <w:r w:rsidRPr="00827F8E">
        <w:rPr>
          <w:rFonts w:ascii="Arial" w:hAnsi="Arial" w:cs="Arial"/>
          <w:noProof/>
          <w:sz w:val="24"/>
          <w:szCs w:val="24"/>
        </w:rPr>
        <w:t xml:space="preserve">, </w:t>
      </w:r>
      <w:r w:rsidRPr="00827F8E">
        <w:rPr>
          <w:rFonts w:ascii="Arial" w:hAnsi="Arial" w:cs="Arial"/>
          <w:i/>
          <w:iCs/>
          <w:noProof/>
          <w:sz w:val="24"/>
          <w:szCs w:val="24"/>
        </w:rPr>
        <w:t>71</w:t>
      </w:r>
      <w:r w:rsidRPr="00827F8E">
        <w:rPr>
          <w:rFonts w:ascii="Arial" w:hAnsi="Arial" w:cs="Arial"/>
          <w:noProof/>
          <w:sz w:val="24"/>
          <w:szCs w:val="24"/>
        </w:rPr>
        <w:t xml:space="preserve"> (1), 3–7. https://doi.org/10.1111/j.1747-0285.2007.00610.x.</w:t>
      </w:r>
    </w:p>
    <w:p w14:paraId="10735E9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(331)</w:t>
      </w:r>
      <w:r w:rsidRPr="00827F8E">
        <w:rPr>
          <w:rFonts w:ascii="Arial" w:hAnsi="Arial" w:cs="Arial"/>
          <w:noProof/>
          <w:sz w:val="24"/>
          <w:szCs w:val="24"/>
        </w:rPr>
        <w:tab/>
        <w:t xml:space="preserve">Li, H.; Warden, A. R.; He, J.; Shen, G.; Ding, X. Expansion Microscopy with Ninefold Swelling (NIFS) Hydrogel Permits Cellular Ultrastructure Imaging on </w:t>
      </w:r>
      <w:r w:rsidRPr="00827F8E">
        <w:rPr>
          <w:rFonts w:ascii="Arial" w:hAnsi="Arial" w:cs="Arial"/>
          <w:noProof/>
          <w:sz w:val="24"/>
          <w:szCs w:val="24"/>
        </w:rPr>
        <w:lastRenderedPageBreak/>
        <w:t xml:space="preserve">Conventional Microscope. </w:t>
      </w:r>
      <w:r w:rsidRPr="00827F8E">
        <w:rPr>
          <w:rFonts w:ascii="Arial" w:hAnsi="Arial" w:cs="Arial"/>
          <w:i/>
          <w:iCs/>
          <w:noProof/>
          <w:sz w:val="24"/>
          <w:szCs w:val="24"/>
        </w:rPr>
        <w:t>Sci. Adv.</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(18), 1–11. https://doi.org/10.1126/sciadv.abm4006.</w:t>
      </w:r>
    </w:p>
    <w:p w14:paraId="350095D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(332)</w:t>
      </w:r>
      <w:r w:rsidRPr="00827F8E">
        <w:rPr>
          <w:rFonts w:ascii="Arial" w:hAnsi="Arial" w:cs="Arial"/>
          <w:noProof/>
          <w:sz w:val="24"/>
          <w:szCs w:val="24"/>
        </w:rPr>
        <w:tab/>
        <w:t xml:space="preserve">Shah, S.; Chandra, A.; Kaur, A.; Sabnis, N.; Lacko, A.; Gryczynski, Z.; Fudala, R.; Gryczynski, I. Fluorescence Properties of Doxorubicin in PBS Buffer and PVA Films. </w:t>
      </w:r>
      <w:r w:rsidRPr="00827F8E">
        <w:rPr>
          <w:rFonts w:ascii="Arial" w:hAnsi="Arial" w:cs="Arial"/>
          <w:i/>
          <w:iCs/>
          <w:noProof/>
          <w:sz w:val="24"/>
          <w:szCs w:val="24"/>
        </w:rPr>
        <w:t>J. Photochem. Photobiol. B Biol.</w:t>
      </w:r>
      <w:r w:rsidRPr="00827F8E">
        <w:rPr>
          <w:rFonts w:ascii="Arial" w:hAnsi="Arial" w:cs="Arial"/>
          <w:noProof/>
          <w:sz w:val="24"/>
          <w:szCs w:val="24"/>
        </w:rPr>
        <w:t xml:space="preserve"> </w:t>
      </w:r>
      <w:r w:rsidRPr="00827F8E">
        <w:rPr>
          <w:rFonts w:ascii="Arial" w:hAnsi="Arial" w:cs="Arial"/>
          <w:b/>
          <w:bCs/>
          <w:noProof/>
          <w:sz w:val="24"/>
          <w:szCs w:val="24"/>
        </w:rPr>
        <w:t>2017</w:t>
      </w:r>
      <w:r w:rsidRPr="00827F8E">
        <w:rPr>
          <w:rFonts w:ascii="Arial" w:hAnsi="Arial" w:cs="Arial"/>
          <w:noProof/>
          <w:sz w:val="24"/>
          <w:szCs w:val="24"/>
        </w:rPr>
        <w:t xml:space="preserve">, </w:t>
      </w:r>
      <w:r w:rsidRPr="00827F8E">
        <w:rPr>
          <w:rFonts w:ascii="Arial" w:hAnsi="Arial" w:cs="Arial"/>
          <w:i/>
          <w:iCs/>
          <w:noProof/>
          <w:sz w:val="24"/>
          <w:szCs w:val="24"/>
        </w:rPr>
        <w:t>170</w:t>
      </w:r>
      <w:r w:rsidRPr="00827F8E">
        <w:rPr>
          <w:rFonts w:ascii="Arial" w:hAnsi="Arial" w:cs="Arial"/>
          <w:noProof/>
          <w:sz w:val="24"/>
          <w:szCs w:val="24"/>
        </w:rPr>
        <w:t xml:space="preserve"> (4), 65–69. https://doi.org/10.1016/j.jphotobiol.2017.03.024.</w:t>
      </w:r>
    </w:p>
    <w:p w14:paraId="7280D116"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(333)</w:t>
      </w:r>
      <w:r w:rsidRPr="00827F8E">
        <w:rPr>
          <w:rFonts w:ascii="Arial" w:hAnsi="Arial" w:cs="Arial"/>
          <w:noProof/>
          <w:sz w:val="24"/>
          <w:szCs w:val="24"/>
        </w:rPr>
        <w:tab/>
        <w:t xml:space="preserve">Sritharan, S.; Sivalingam, N. A Comprehensive Review on Time-Tested Anticancer Drug Doxorubicin. </w:t>
      </w:r>
      <w:r w:rsidRPr="00827F8E">
        <w:rPr>
          <w:rFonts w:ascii="Arial" w:hAnsi="Arial" w:cs="Arial"/>
          <w:i/>
          <w:iCs/>
          <w:noProof/>
          <w:sz w:val="24"/>
          <w:szCs w:val="24"/>
        </w:rPr>
        <w:t>Life Sci.</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278</w:t>
      </w:r>
      <w:r w:rsidRPr="00827F8E">
        <w:rPr>
          <w:rFonts w:ascii="Arial" w:hAnsi="Arial" w:cs="Arial"/>
          <w:noProof/>
          <w:sz w:val="24"/>
          <w:szCs w:val="24"/>
        </w:rPr>
        <w:t>, 119527. https://doi.org/10.1016/j.lfs.2021.119527.</w:t>
      </w:r>
    </w:p>
    <w:p w14:paraId="52E2287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(334)</w:t>
      </w:r>
      <w:r w:rsidRPr="00827F8E">
        <w:rPr>
          <w:rFonts w:ascii="Arial" w:hAnsi="Arial" w:cs="Arial"/>
          <w:noProof/>
          <w:sz w:val="24"/>
          <w:szCs w:val="24"/>
        </w:rPr>
        <w:tab/>
        <w:t xml:space="preserve">Yang, Y.; Bajaj, N.; Xu, P.; Ohn, K.; Tsifansky, M. D.; Yeo, Y. Development of Highly Porous Large PLGA Microparticles for Pulmonary Drug Delivery. </w:t>
      </w:r>
      <w:r w:rsidRPr="00827F8E">
        <w:rPr>
          <w:rFonts w:ascii="Arial" w:hAnsi="Arial" w:cs="Arial"/>
          <w:i/>
          <w:iCs/>
          <w:noProof/>
          <w:sz w:val="24"/>
          <w:szCs w:val="24"/>
        </w:rPr>
        <w:t>Biomaterials</w:t>
      </w:r>
      <w:r w:rsidRPr="00827F8E">
        <w:rPr>
          <w:rFonts w:ascii="Arial" w:hAnsi="Arial" w:cs="Arial"/>
          <w:noProof/>
          <w:sz w:val="24"/>
          <w:szCs w:val="24"/>
        </w:rPr>
        <w:t xml:space="preserve"> </w:t>
      </w:r>
      <w:r w:rsidRPr="00827F8E">
        <w:rPr>
          <w:rFonts w:ascii="Arial" w:hAnsi="Arial" w:cs="Arial"/>
          <w:b/>
          <w:bCs/>
          <w:noProof/>
          <w:sz w:val="24"/>
          <w:szCs w:val="24"/>
        </w:rPr>
        <w:t>2009</w:t>
      </w:r>
      <w:r w:rsidRPr="00827F8E">
        <w:rPr>
          <w:rFonts w:ascii="Arial" w:hAnsi="Arial" w:cs="Arial"/>
          <w:noProof/>
          <w:sz w:val="24"/>
          <w:szCs w:val="24"/>
        </w:rPr>
        <w:t xml:space="preserve">, </w:t>
      </w:r>
      <w:r w:rsidRPr="00827F8E">
        <w:rPr>
          <w:rFonts w:ascii="Arial" w:hAnsi="Arial" w:cs="Arial"/>
          <w:i/>
          <w:iCs/>
          <w:noProof/>
          <w:sz w:val="24"/>
          <w:szCs w:val="24"/>
        </w:rPr>
        <w:t>30</w:t>
      </w:r>
      <w:r w:rsidRPr="00827F8E">
        <w:rPr>
          <w:rFonts w:ascii="Arial" w:hAnsi="Arial" w:cs="Arial"/>
          <w:noProof/>
          <w:sz w:val="24"/>
          <w:szCs w:val="24"/>
        </w:rPr>
        <w:t xml:space="preserve"> (10), 1947–1953. https://doi.org/10.1016/j.biomaterials.2008.12.044.</w:t>
      </w:r>
    </w:p>
    <w:p w14:paraId="493801AD"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(335)</w:t>
      </w:r>
      <w:r w:rsidRPr="00827F8E">
        <w:rPr>
          <w:rFonts w:ascii="Arial" w:hAnsi="Arial" w:cs="Arial"/>
          <w:noProof/>
          <w:sz w:val="24"/>
          <w:szCs w:val="24"/>
        </w:rPr>
        <w:tab/>
        <w:t xml:space="preserve">Baas, S.; Saggiomo, V. Ender3 3D Printer Kit Transformed into Open, Programmable Syringe Pump Set. </w:t>
      </w:r>
      <w:r w:rsidRPr="00827F8E">
        <w:rPr>
          <w:rFonts w:ascii="Arial" w:hAnsi="Arial" w:cs="Arial"/>
          <w:i/>
          <w:iCs/>
          <w:noProof/>
          <w:sz w:val="24"/>
          <w:szCs w:val="24"/>
        </w:rPr>
        <w:t>HardwareX</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10</w:t>
      </w:r>
      <w:r w:rsidRPr="00827F8E">
        <w:rPr>
          <w:rFonts w:ascii="Arial" w:hAnsi="Arial" w:cs="Arial"/>
          <w:noProof/>
          <w:sz w:val="24"/>
          <w:szCs w:val="24"/>
        </w:rPr>
        <w:t>, e00219. https://doi.org/10.1016/j.ohx.2021.e00219.</w:t>
      </w:r>
    </w:p>
    <w:p w14:paraId="04A52185"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(336)</w:t>
      </w:r>
      <w:r w:rsidRPr="00827F8E">
        <w:rPr>
          <w:rFonts w:ascii="Arial" w:hAnsi="Arial" w:cs="Arial"/>
          <w:noProof/>
          <w:sz w:val="24"/>
          <w:szCs w:val="24"/>
        </w:rPr>
        <w:tab/>
        <w:t xml:space="preserve">Evers, M. J. W.; Kulkarni, J. A.; van der Meel, R.; Cullis, P. R.; Vader, P.; Schiffelers, R. M. State-of-the-Art Design and Rapid-Mixing Production Techniques of Lipid Nanoparticles for Nucleic Acid Delivery. </w:t>
      </w:r>
      <w:r w:rsidRPr="00827F8E">
        <w:rPr>
          <w:rFonts w:ascii="Arial" w:hAnsi="Arial" w:cs="Arial"/>
          <w:i/>
          <w:iCs/>
          <w:noProof/>
          <w:sz w:val="24"/>
          <w:szCs w:val="24"/>
        </w:rPr>
        <w:t>Small Methods</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2</w:t>
      </w:r>
      <w:r w:rsidRPr="00827F8E">
        <w:rPr>
          <w:rFonts w:ascii="Arial" w:hAnsi="Arial" w:cs="Arial"/>
          <w:noProof/>
          <w:sz w:val="24"/>
          <w:szCs w:val="24"/>
        </w:rPr>
        <w:t xml:space="preserve"> (9), 1–20. https://doi.org/10.1002/SMTD.201700375.</w:t>
      </w:r>
    </w:p>
    <w:p w14:paraId="4E038C5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(337)</w:t>
      </w:r>
      <w:r w:rsidRPr="00827F8E">
        <w:rPr>
          <w:rFonts w:ascii="Arial" w:hAnsi="Arial" w:cs="Arial"/>
          <w:noProof/>
          <w:sz w:val="24"/>
          <w:szCs w:val="24"/>
        </w:rPr>
        <w:tab/>
        <w:t xml:space="preserve">Woo, S. W.; Jo, Y. K.; Yoo, Y. E.; Kim, S. K. High-Throughput Synthesis of Liposome Using an Injection-Molded Plastic Micro-Fluidic Device. </w:t>
      </w:r>
      <w:r w:rsidRPr="00827F8E">
        <w:rPr>
          <w:rFonts w:ascii="Arial" w:hAnsi="Arial" w:cs="Arial"/>
          <w:i/>
          <w:iCs/>
          <w:noProof/>
          <w:sz w:val="24"/>
          <w:szCs w:val="24"/>
        </w:rPr>
        <w:t>Micromachines</w:t>
      </w:r>
      <w:r w:rsidRPr="00827F8E">
        <w:rPr>
          <w:rFonts w:ascii="Arial" w:hAnsi="Arial" w:cs="Arial"/>
          <w:noProof/>
          <w:sz w:val="24"/>
          <w:szCs w:val="24"/>
        </w:rPr>
        <w:t xml:space="preserve"> </w:t>
      </w:r>
      <w:r w:rsidRPr="00827F8E">
        <w:rPr>
          <w:rFonts w:ascii="Arial" w:hAnsi="Arial" w:cs="Arial"/>
          <w:b/>
          <w:bCs/>
          <w:noProof/>
          <w:sz w:val="24"/>
          <w:szCs w:val="24"/>
        </w:rPr>
        <w:t>2021</w:t>
      </w:r>
      <w:r w:rsidRPr="00827F8E">
        <w:rPr>
          <w:rFonts w:ascii="Arial" w:hAnsi="Arial" w:cs="Arial"/>
          <w:noProof/>
          <w:sz w:val="24"/>
          <w:szCs w:val="24"/>
        </w:rPr>
        <w:t xml:space="preserve">, </w:t>
      </w:r>
      <w:r w:rsidRPr="00827F8E">
        <w:rPr>
          <w:rFonts w:ascii="Arial" w:hAnsi="Arial" w:cs="Arial"/>
          <w:i/>
          <w:iCs/>
          <w:noProof/>
          <w:sz w:val="24"/>
          <w:szCs w:val="24"/>
        </w:rPr>
        <w:t>12</w:t>
      </w:r>
      <w:r w:rsidRPr="00827F8E">
        <w:rPr>
          <w:rFonts w:ascii="Arial" w:hAnsi="Arial" w:cs="Arial"/>
          <w:noProof/>
          <w:sz w:val="24"/>
          <w:szCs w:val="24"/>
        </w:rPr>
        <w:t xml:space="preserve"> (2). https://doi.org/10.3390/mi12020170.</w:t>
      </w:r>
    </w:p>
    <w:p w14:paraId="792C833B"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(338)</w:t>
      </w:r>
      <w:r w:rsidRPr="00827F8E">
        <w:rPr>
          <w:rFonts w:ascii="Arial" w:hAnsi="Arial" w:cs="Arial"/>
          <w:noProof/>
          <w:sz w:val="24"/>
          <w:szCs w:val="24"/>
        </w:rPr>
        <w:tab/>
        <w:t xml:space="preserve">Adhikari, H. S.; Yadav, P. N. Anticancer Activity of Chitosan, Chitosan Derivatives, and Their Mechanism of Action. </w:t>
      </w:r>
      <w:r w:rsidRPr="00827F8E">
        <w:rPr>
          <w:rFonts w:ascii="Arial" w:hAnsi="Arial" w:cs="Arial"/>
          <w:i/>
          <w:iCs/>
          <w:noProof/>
          <w:sz w:val="24"/>
          <w:szCs w:val="24"/>
        </w:rPr>
        <w:t>Int. J. Biomater.</w:t>
      </w:r>
      <w:r w:rsidRPr="00827F8E">
        <w:rPr>
          <w:rFonts w:ascii="Arial" w:hAnsi="Arial" w:cs="Arial"/>
          <w:noProof/>
          <w:sz w:val="24"/>
          <w:szCs w:val="24"/>
        </w:rPr>
        <w:t xml:space="preserve"> </w:t>
      </w:r>
      <w:r w:rsidRPr="00827F8E">
        <w:rPr>
          <w:rFonts w:ascii="Arial" w:hAnsi="Arial" w:cs="Arial"/>
          <w:b/>
          <w:bCs/>
          <w:noProof/>
          <w:sz w:val="24"/>
          <w:szCs w:val="24"/>
        </w:rPr>
        <w:t>2018</w:t>
      </w:r>
      <w:r w:rsidRPr="00827F8E">
        <w:rPr>
          <w:rFonts w:ascii="Arial" w:hAnsi="Arial" w:cs="Arial"/>
          <w:noProof/>
          <w:sz w:val="24"/>
          <w:szCs w:val="24"/>
        </w:rPr>
        <w:t xml:space="preserve">, </w:t>
      </w:r>
      <w:r w:rsidRPr="00827F8E">
        <w:rPr>
          <w:rFonts w:ascii="Arial" w:hAnsi="Arial" w:cs="Arial"/>
          <w:i/>
          <w:iCs/>
          <w:noProof/>
          <w:sz w:val="24"/>
          <w:szCs w:val="24"/>
        </w:rPr>
        <w:t>2018</w:t>
      </w:r>
      <w:r w:rsidRPr="00827F8E">
        <w:rPr>
          <w:rFonts w:ascii="Arial" w:hAnsi="Arial" w:cs="Arial"/>
          <w:noProof/>
          <w:sz w:val="24"/>
          <w:szCs w:val="24"/>
        </w:rPr>
        <w:t>, 1–29. https://doi.org/10.1155/2018/2952085.</w:t>
      </w:r>
    </w:p>
    <w:p w14:paraId="3BB3582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(339)</w:t>
      </w:r>
      <w:r w:rsidRPr="00827F8E">
        <w:rPr>
          <w:rFonts w:ascii="Arial" w:hAnsi="Arial" w:cs="Arial"/>
          <w:noProof/>
          <w:sz w:val="24"/>
          <w:szCs w:val="24"/>
        </w:rPr>
        <w:tab/>
        <w:t xml:space="preserve">Huang, Y. Z.; Gao, J. Q.; Liang, W. Q.; Nakagawa, S. Preparation and Characterization of Liposomes Encapsulating Chitosan Nanoparticles. </w:t>
      </w:r>
      <w:r w:rsidRPr="00827F8E">
        <w:rPr>
          <w:rFonts w:ascii="Arial" w:hAnsi="Arial" w:cs="Arial"/>
          <w:i/>
          <w:iCs/>
          <w:noProof/>
          <w:sz w:val="24"/>
          <w:szCs w:val="24"/>
        </w:rPr>
        <w:t>Biol. Pharm. Bull.</w:t>
      </w:r>
      <w:r w:rsidRPr="00827F8E">
        <w:rPr>
          <w:rFonts w:ascii="Arial" w:hAnsi="Arial" w:cs="Arial"/>
          <w:noProof/>
          <w:sz w:val="24"/>
          <w:szCs w:val="24"/>
        </w:rPr>
        <w:t xml:space="preserve"> </w:t>
      </w:r>
      <w:r w:rsidRPr="00827F8E">
        <w:rPr>
          <w:rFonts w:ascii="Arial" w:hAnsi="Arial" w:cs="Arial"/>
          <w:b/>
          <w:bCs/>
          <w:noProof/>
          <w:sz w:val="24"/>
          <w:szCs w:val="24"/>
        </w:rPr>
        <w:t>2005</w:t>
      </w:r>
      <w:r w:rsidRPr="00827F8E">
        <w:rPr>
          <w:rFonts w:ascii="Arial" w:hAnsi="Arial" w:cs="Arial"/>
          <w:noProof/>
          <w:sz w:val="24"/>
          <w:szCs w:val="24"/>
        </w:rPr>
        <w:t xml:space="preserve">, </w:t>
      </w:r>
      <w:r w:rsidRPr="00827F8E">
        <w:rPr>
          <w:rFonts w:ascii="Arial" w:hAnsi="Arial" w:cs="Arial"/>
          <w:i/>
          <w:iCs/>
          <w:noProof/>
          <w:sz w:val="24"/>
          <w:szCs w:val="24"/>
        </w:rPr>
        <w:t>28</w:t>
      </w:r>
      <w:r w:rsidRPr="00827F8E">
        <w:rPr>
          <w:rFonts w:ascii="Arial" w:hAnsi="Arial" w:cs="Arial"/>
          <w:noProof/>
          <w:sz w:val="24"/>
          <w:szCs w:val="24"/>
        </w:rPr>
        <w:t xml:space="preserve"> (2), 387–390. https://doi.org/10.1248/bpb.28.387.</w:t>
      </w:r>
    </w:p>
    <w:p w14:paraId="6A49DBC2"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(340)</w:t>
      </w:r>
      <w:r w:rsidRPr="00827F8E">
        <w:rPr>
          <w:rFonts w:ascii="Arial" w:hAnsi="Arial" w:cs="Arial"/>
          <w:noProof/>
          <w:sz w:val="24"/>
          <w:szCs w:val="24"/>
        </w:rPr>
        <w:tab/>
        <w:t xml:space="preserve">Michalczyk, M.; Humeniuk, E.; Adamczuk, G.; Korga-Plewko, A. Hyaluronic Acid as a Modern Approach in Anticancer Therapy-Review. </w:t>
      </w:r>
      <w:r w:rsidRPr="00827F8E">
        <w:rPr>
          <w:rFonts w:ascii="Arial" w:hAnsi="Arial" w:cs="Arial"/>
          <w:i/>
          <w:iCs/>
          <w:noProof/>
          <w:sz w:val="24"/>
          <w:szCs w:val="24"/>
        </w:rPr>
        <w:t>Int. J. Mol. Sci.</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24</w:t>
      </w:r>
      <w:r w:rsidRPr="00827F8E">
        <w:rPr>
          <w:rFonts w:ascii="Arial" w:hAnsi="Arial" w:cs="Arial"/>
          <w:noProof/>
          <w:sz w:val="24"/>
          <w:szCs w:val="24"/>
        </w:rPr>
        <w:t xml:space="preserve"> (1). https://doi.org/10.3390/ijms24010103.</w:t>
      </w:r>
    </w:p>
    <w:p w14:paraId="2E808A8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(341)</w:t>
      </w:r>
      <w:r w:rsidRPr="00827F8E">
        <w:rPr>
          <w:rFonts w:ascii="Arial" w:hAnsi="Arial" w:cs="Arial"/>
          <w:noProof/>
          <w:sz w:val="24"/>
          <w:szCs w:val="24"/>
        </w:rPr>
        <w:tab/>
        <w:t xml:space="preserve">Vázquez-González, M. L.; Calpena, A. C.; Domènech, Ò.; Montero, M. T.; Borrell, J. H. Enhanced Topical Delivery of Hyaluronic Acid Encapsulated in Liposomes: A Surface-Dependent Phenomenon. </w:t>
      </w:r>
      <w:r w:rsidRPr="00827F8E">
        <w:rPr>
          <w:rFonts w:ascii="Arial" w:hAnsi="Arial" w:cs="Arial"/>
          <w:i/>
          <w:iCs/>
          <w:noProof/>
          <w:sz w:val="24"/>
          <w:szCs w:val="24"/>
        </w:rPr>
        <w:t>Colloids Surfaces B Biointerfaces</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134</w:t>
      </w:r>
      <w:r w:rsidRPr="00827F8E">
        <w:rPr>
          <w:rFonts w:ascii="Arial" w:hAnsi="Arial" w:cs="Arial"/>
          <w:noProof/>
          <w:sz w:val="24"/>
          <w:szCs w:val="24"/>
        </w:rPr>
        <w:t>, 31–39. https://doi.org/10.1016/j.colsurfb.2015.06.029.</w:t>
      </w:r>
    </w:p>
    <w:p w14:paraId="144F29D9"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(342)</w:t>
      </w:r>
      <w:r w:rsidRPr="00827F8E">
        <w:rPr>
          <w:rFonts w:ascii="Arial" w:hAnsi="Arial" w:cs="Arial"/>
          <w:noProof/>
          <w:sz w:val="24"/>
          <w:szCs w:val="24"/>
        </w:rPr>
        <w:tab/>
        <w:t xml:space="preserve">Liu, P.; Chen, G.; Zhang, J. A Review of Liposomes as a Drug Delivery System: Current Status of Approved Products, Regulatory Environments, and Future Perspectives. </w:t>
      </w:r>
      <w:r w:rsidRPr="00827F8E">
        <w:rPr>
          <w:rFonts w:ascii="Arial" w:hAnsi="Arial" w:cs="Arial"/>
          <w:i/>
          <w:iCs/>
          <w:noProof/>
          <w:sz w:val="24"/>
          <w:szCs w:val="24"/>
        </w:rPr>
        <w:t>Molecules</w:t>
      </w:r>
      <w:r w:rsidRPr="00827F8E">
        <w:rPr>
          <w:rFonts w:ascii="Arial" w:hAnsi="Arial" w:cs="Arial"/>
          <w:noProof/>
          <w:sz w:val="24"/>
          <w:szCs w:val="24"/>
        </w:rPr>
        <w:t xml:space="preserve"> </w:t>
      </w:r>
      <w:r w:rsidRPr="00827F8E">
        <w:rPr>
          <w:rFonts w:ascii="Arial" w:hAnsi="Arial" w:cs="Arial"/>
          <w:b/>
          <w:bCs/>
          <w:noProof/>
          <w:sz w:val="24"/>
          <w:szCs w:val="24"/>
        </w:rPr>
        <w:t>2022</w:t>
      </w:r>
      <w:r w:rsidRPr="00827F8E">
        <w:rPr>
          <w:rFonts w:ascii="Arial" w:hAnsi="Arial" w:cs="Arial"/>
          <w:noProof/>
          <w:sz w:val="24"/>
          <w:szCs w:val="24"/>
        </w:rPr>
        <w:t xml:space="preserve">, </w:t>
      </w:r>
      <w:r w:rsidRPr="00827F8E">
        <w:rPr>
          <w:rFonts w:ascii="Arial" w:hAnsi="Arial" w:cs="Arial"/>
          <w:i/>
          <w:iCs/>
          <w:noProof/>
          <w:sz w:val="24"/>
          <w:szCs w:val="24"/>
        </w:rPr>
        <w:t>27</w:t>
      </w:r>
      <w:r w:rsidRPr="00827F8E">
        <w:rPr>
          <w:rFonts w:ascii="Arial" w:hAnsi="Arial" w:cs="Arial"/>
          <w:noProof/>
          <w:sz w:val="24"/>
          <w:szCs w:val="24"/>
        </w:rPr>
        <w:t xml:space="preserve"> (4), 1372. https://doi.org/10.3390/molecules27041372.</w:t>
      </w:r>
    </w:p>
    <w:p w14:paraId="3C052447"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lastRenderedPageBreak/>
        <w:t>(343)</w:t>
      </w:r>
      <w:r w:rsidRPr="00827F8E">
        <w:rPr>
          <w:rFonts w:ascii="Arial" w:hAnsi="Arial" w:cs="Arial"/>
          <w:noProof/>
          <w:sz w:val="24"/>
          <w:szCs w:val="24"/>
        </w:rPr>
        <w:tab/>
        <w:t xml:space="preserve">Yefimova, S. L.; Kurilchenko, I. Y.; Tkacheva, T. N.; Rozhkov, V. A.; Sorokin, A. V.; Lukianova, N. Y.; Bezdenezhnykh, N. A.; Malyukin, Y. V.; Chekhun, V. F. Comparative Study of Dye-Loaded Liposome Accumulation in Sensitive and Resistant Human Breast Cancer Cells. </w:t>
      </w:r>
      <w:r w:rsidRPr="00827F8E">
        <w:rPr>
          <w:rFonts w:ascii="Arial" w:hAnsi="Arial" w:cs="Arial"/>
          <w:i/>
          <w:iCs/>
          <w:noProof/>
          <w:sz w:val="24"/>
          <w:szCs w:val="24"/>
        </w:rPr>
        <w:t>Exp. Oncol.</w:t>
      </w:r>
      <w:r w:rsidRPr="00827F8E">
        <w:rPr>
          <w:rFonts w:ascii="Arial" w:hAnsi="Arial" w:cs="Arial"/>
          <w:noProof/>
          <w:sz w:val="24"/>
          <w:szCs w:val="24"/>
        </w:rPr>
        <w:t xml:space="preserve"> </w:t>
      </w:r>
      <w:r w:rsidRPr="00827F8E">
        <w:rPr>
          <w:rFonts w:ascii="Arial" w:hAnsi="Arial" w:cs="Arial"/>
          <w:b/>
          <w:bCs/>
          <w:noProof/>
          <w:sz w:val="24"/>
          <w:szCs w:val="24"/>
        </w:rPr>
        <w:t>2012</w:t>
      </w:r>
      <w:r w:rsidRPr="00827F8E">
        <w:rPr>
          <w:rFonts w:ascii="Arial" w:hAnsi="Arial" w:cs="Arial"/>
          <w:noProof/>
          <w:sz w:val="24"/>
          <w:szCs w:val="24"/>
        </w:rPr>
        <w:t xml:space="preserve">, </w:t>
      </w:r>
      <w:r w:rsidRPr="00827F8E">
        <w:rPr>
          <w:rFonts w:ascii="Arial" w:hAnsi="Arial" w:cs="Arial"/>
          <w:i/>
          <w:iCs/>
          <w:noProof/>
          <w:sz w:val="24"/>
          <w:szCs w:val="24"/>
        </w:rPr>
        <w:t>34</w:t>
      </w:r>
      <w:r w:rsidRPr="00827F8E">
        <w:rPr>
          <w:rFonts w:ascii="Arial" w:hAnsi="Arial" w:cs="Arial"/>
          <w:noProof/>
          <w:sz w:val="24"/>
          <w:szCs w:val="24"/>
        </w:rPr>
        <w:t xml:space="preserve"> (2), 101–106.</w:t>
      </w:r>
    </w:p>
    <w:p w14:paraId="2C4D8558"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(344)</w:t>
      </w:r>
      <w:r w:rsidRPr="00827F8E">
        <w:rPr>
          <w:rFonts w:ascii="Arial" w:hAnsi="Arial" w:cs="Arial"/>
          <w:noProof/>
          <w:sz w:val="24"/>
          <w:szCs w:val="24"/>
        </w:rPr>
        <w:tab/>
        <w:t xml:space="preserve">Oude Blenke, E.; Klaasse, G.; Merten, H.; Plückthun, A.; Mastrobattista, E.; Martin, N. I. Liposome Functionalization with Copper-Free “Click Chemistry.” </w:t>
      </w:r>
      <w:r w:rsidRPr="00827F8E">
        <w:rPr>
          <w:rFonts w:ascii="Arial" w:hAnsi="Arial" w:cs="Arial"/>
          <w:i/>
          <w:iCs/>
          <w:noProof/>
          <w:sz w:val="24"/>
          <w:szCs w:val="24"/>
        </w:rPr>
        <w:t>J. Control. Release</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xml:space="preserve">, </w:t>
      </w:r>
      <w:r w:rsidRPr="00827F8E">
        <w:rPr>
          <w:rFonts w:ascii="Arial" w:hAnsi="Arial" w:cs="Arial"/>
          <w:i/>
          <w:iCs/>
          <w:noProof/>
          <w:sz w:val="24"/>
          <w:szCs w:val="24"/>
        </w:rPr>
        <w:t>202</w:t>
      </w:r>
      <w:r w:rsidRPr="00827F8E">
        <w:rPr>
          <w:rFonts w:ascii="Arial" w:hAnsi="Arial" w:cs="Arial"/>
          <w:noProof/>
          <w:sz w:val="24"/>
          <w:szCs w:val="24"/>
        </w:rPr>
        <w:t>, 14–20. https://doi.org/10.1016/j.jconrel.2015.01.027.</w:t>
      </w:r>
    </w:p>
    <w:p w14:paraId="35015ABC"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(345)</w:t>
      </w:r>
      <w:r w:rsidRPr="00827F8E">
        <w:rPr>
          <w:rFonts w:ascii="Arial" w:hAnsi="Arial" w:cs="Arial"/>
          <w:noProof/>
          <w:sz w:val="24"/>
          <w:szCs w:val="24"/>
        </w:rPr>
        <w:tab/>
        <w:t xml:space="preserve">Qaddoumi, M. G.; Gukasyan, H. J.; Davda, J.; Labhasetwar, V.; Kim, K. J.; Lee, V. H. L. Clathrin and Caveolin-1 Expression in Primary Pigmented Rabbit Conjunctival Epithelial Cells: Role in PLGA Nanoparticle Endocytosis. </w:t>
      </w:r>
      <w:r w:rsidRPr="00827F8E">
        <w:rPr>
          <w:rFonts w:ascii="Arial" w:hAnsi="Arial" w:cs="Arial"/>
          <w:i/>
          <w:iCs/>
          <w:noProof/>
          <w:sz w:val="24"/>
          <w:szCs w:val="24"/>
        </w:rPr>
        <w:t>Mol. Vis.</w:t>
      </w:r>
      <w:r w:rsidRPr="00827F8E">
        <w:rPr>
          <w:rFonts w:ascii="Arial" w:hAnsi="Arial" w:cs="Arial"/>
          <w:noProof/>
          <w:sz w:val="24"/>
          <w:szCs w:val="24"/>
        </w:rPr>
        <w:t xml:space="preserve"> </w:t>
      </w:r>
      <w:r w:rsidRPr="00827F8E">
        <w:rPr>
          <w:rFonts w:ascii="Arial" w:hAnsi="Arial" w:cs="Arial"/>
          <w:b/>
          <w:bCs/>
          <w:noProof/>
          <w:sz w:val="24"/>
          <w:szCs w:val="24"/>
        </w:rPr>
        <w:t>2003</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(May 2014), 559–568.</w:t>
      </w:r>
    </w:p>
    <w:p w14:paraId="1002A90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(346)</w:t>
      </w:r>
      <w:r w:rsidRPr="00827F8E">
        <w:rPr>
          <w:rFonts w:ascii="Arial" w:hAnsi="Arial" w:cs="Arial"/>
          <w:noProof/>
          <w:sz w:val="24"/>
          <w:szCs w:val="24"/>
        </w:rPr>
        <w:tab/>
        <w:t xml:space="preserve">Truckenbrodt, S. Expansion Microscopy: Super-Resolution Imaging with Hydrogels. </w:t>
      </w:r>
      <w:r w:rsidRPr="00827F8E">
        <w:rPr>
          <w:rFonts w:ascii="Arial" w:hAnsi="Arial" w:cs="Arial"/>
          <w:i/>
          <w:iCs/>
          <w:noProof/>
          <w:sz w:val="24"/>
          <w:szCs w:val="24"/>
        </w:rPr>
        <w:t>Anal. Chem.</w:t>
      </w:r>
      <w:r w:rsidRPr="00827F8E">
        <w:rPr>
          <w:rFonts w:ascii="Arial" w:hAnsi="Arial" w:cs="Arial"/>
          <w:noProof/>
          <w:sz w:val="24"/>
          <w:szCs w:val="24"/>
        </w:rPr>
        <w:t xml:space="preserve"> </w:t>
      </w:r>
      <w:r w:rsidRPr="00827F8E">
        <w:rPr>
          <w:rFonts w:ascii="Arial" w:hAnsi="Arial" w:cs="Arial"/>
          <w:b/>
          <w:bCs/>
          <w:noProof/>
          <w:sz w:val="24"/>
          <w:szCs w:val="24"/>
        </w:rPr>
        <w:t>2023</w:t>
      </w:r>
      <w:r w:rsidRPr="00827F8E">
        <w:rPr>
          <w:rFonts w:ascii="Arial" w:hAnsi="Arial" w:cs="Arial"/>
          <w:noProof/>
          <w:sz w:val="24"/>
          <w:szCs w:val="24"/>
        </w:rPr>
        <w:t xml:space="preserve">, </w:t>
      </w:r>
      <w:r w:rsidRPr="00827F8E">
        <w:rPr>
          <w:rFonts w:ascii="Arial" w:hAnsi="Arial" w:cs="Arial"/>
          <w:i/>
          <w:iCs/>
          <w:noProof/>
          <w:sz w:val="24"/>
          <w:szCs w:val="24"/>
        </w:rPr>
        <w:t>95</w:t>
      </w:r>
      <w:r w:rsidRPr="00827F8E">
        <w:rPr>
          <w:rFonts w:ascii="Arial" w:hAnsi="Arial" w:cs="Arial"/>
          <w:noProof/>
          <w:sz w:val="24"/>
          <w:szCs w:val="24"/>
        </w:rPr>
        <w:t xml:space="preserve"> (1), 3–32. https://doi.org/10.1021/acs.analchem.2c04921.</w:t>
      </w:r>
    </w:p>
    <w:p w14:paraId="511A4283"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(347)</w:t>
      </w:r>
      <w:r w:rsidRPr="00827F8E">
        <w:rPr>
          <w:rFonts w:ascii="Arial" w:hAnsi="Arial" w:cs="Arial"/>
          <w:noProof/>
          <w:sz w:val="24"/>
          <w:szCs w:val="24"/>
        </w:rPr>
        <w:tab/>
        <w:t xml:space="preserve">Denisin, A. K.; Pruitt, B. L. Tuning the Range of Polyacrylamide Gel Stiffness for Mechanobiology Applications. </w:t>
      </w:r>
      <w:r w:rsidRPr="00827F8E">
        <w:rPr>
          <w:rFonts w:ascii="Arial" w:hAnsi="Arial" w:cs="Arial"/>
          <w:i/>
          <w:iCs/>
          <w:noProof/>
          <w:sz w:val="24"/>
          <w:szCs w:val="24"/>
        </w:rPr>
        <w:t>ACS Appl. Mater. Interfaces</w:t>
      </w:r>
      <w:r w:rsidRPr="00827F8E">
        <w:rPr>
          <w:rFonts w:ascii="Arial" w:hAnsi="Arial" w:cs="Arial"/>
          <w:noProof/>
          <w:sz w:val="24"/>
          <w:szCs w:val="24"/>
        </w:rPr>
        <w:t xml:space="preserve"> </w:t>
      </w:r>
      <w:r w:rsidRPr="00827F8E">
        <w:rPr>
          <w:rFonts w:ascii="Arial" w:hAnsi="Arial" w:cs="Arial"/>
          <w:b/>
          <w:bCs/>
          <w:noProof/>
          <w:sz w:val="24"/>
          <w:szCs w:val="24"/>
        </w:rPr>
        <w:t>2016</w:t>
      </w:r>
      <w:r w:rsidRPr="00827F8E">
        <w:rPr>
          <w:rFonts w:ascii="Arial" w:hAnsi="Arial" w:cs="Arial"/>
          <w:noProof/>
          <w:sz w:val="24"/>
          <w:szCs w:val="24"/>
        </w:rPr>
        <w:t xml:space="preserve">, </w:t>
      </w:r>
      <w:r w:rsidRPr="00827F8E">
        <w:rPr>
          <w:rFonts w:ascii="Arial" w:hAnsi="Arial" w:cs="Arial"/>
          <w:i/>
          <w:iCs/>
          <w:noProof/>
          <w:sz w:val="24"/>
          <w:szCs w:val="24"/>
        </w:rPr>
        <w:t>8</w:t>
      </w:r>
      <w:r w:rsidRPr="00827F8E">
        <w:rPr>
          <w:rFonts w:ascii="Arial" w:hAnsi="Arial" w:cs="Arial"/>
          <w:noProof/>
          <w:sz w:val="24"/>
          <w:szCs w:val="24"/>
        </w:rPr>
        <w:t xml:space="preserve"> (34), 21893–21902. https://doi.org/10.1021/acsami.5b09344.</w:t>
      </w:r>
    </w:p>
    <w:p w14:paraId="77766970"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(348)</w:t>
      </w:r>
      <w:r w:rsidRPr="00827F8E">
        <w:rPr>
          <w:rFonts w:ascii="Arial" w:hAnsi="Arial" w:cs="Arial"/>
          <w:noProof/>
          <w:sz w:val="24"/>
          <w:szCs w:val="24"/>
        </w:rPr>
        <w:tab/>
        <w:t xml:space="preserve">Papadopulos, F.; Spinelli, M.; Valente, S.; Foroni, L.; Orrico, C.; Alviano, F.; Pasquinelli, G. Common Tasks in Microscopic and Ultrastructural Image Analysis Using ImageJ. </w:t>
      </w:r>
      <w:r w:rsidRPr="00827F8E">
        <w:rPr>
          <w:rFonts w:ascii="Arial" w:hAnsi="Arial" w:cs="Arial"/>
          <w:i/>
          <w:iCs/>
          <w:noProof/>
          <w:sz w:val="24"/>
          <w:szCs w:val="24"/>
        </w:rPr>
        <w:t>Ultrastruct. Pathol.</w:t>
      </w:r>
      <w:r w:rsidRPr="00827F8E">
        <w:rPr>
          <w:rFonts w:ascii="Arial" w:hAnsi="Arial" w:cs="Arial"/>
          <w:noProof/>
          <w:sz w:val="24"/>
          <w:szCs w:val="24"/>
        </w:rPr>
        <w:t xml:space="preserve"> </w:t>
      </w:r>
      <w:r w:rsidRPr="00827F8E">
        <w:rPr>
          <w:rFonts w:ascii="Arial" w:hAnsi="Arial" w:cs="Arial"/>
          <w:b/>
          <w:bCs/>
          <w:noProof/>
          <w:sz w:val="24"/>
          <w:szCs w:val="24"/>
        </w:rPr>
        <w:t>2007</w:t>
      </w:r>
      <w:r w:rsidRPr="00827F8E">
        <w:rPr>
          <w:rFonts w:ascii="Arial" w:hAnsi="Arial" w:cs="Arial"/>
          <w:noProof/>
          <w:sz w:val="24"/>
          <w:szCs w:val="24"/>
        </w:rPr>
        <w:t xml:space="preserve">, </w:t>
      </w:r>
      <w:r w:rsidRPr="00827F8E">
        <w:rPr>
          <w:rFonts w:ascii="Arial" w:hAnsi="Arial" w:cs="Arial"/>
          <w:i/>
          <w:iCs/>
          <w:noProof/>
          <w:sz w:val="24"/>
          <w:szCs w:val="24"/>
        </w:rPr>
        <w:t>31</w:t>
      </w:r>
      <w:r w:rsidRPr="00827F8E">
        <w:rPr>
          <w:rFonts w:ascii="Arial" w:hAnsi="Arial" w:cs="Arial"/>
          <w:noProof/>
          <w:sz w:val="24"/>
          <w:szCs w:val="24"/>
        </w:rPr>
        <w:t xml:space="preserve"> (6), 401–407. https://doi.org/10.1080/01913120701719189.</w:t>
      </w:r>
    </w:p>
    <w:p w14:paraId="14B7E354"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(349)</w:t>
      </w:r>
      <w:r w:rsidRPr="00827F8E">
        <w:rPr>
          <w:rFonts w:ascii="Arial" w:hAnsi="Arial" w:cs="Arial"/>
          <w:noProof/>
          <w:sz w:val="24"/>
          <w:szCs w:val="24"/>
        </w:rPr>
        <w:tab/>
        <w:t xml:space="preserve">Kannan, K. S.; Manoj, K.; Arumugam, S. Labeling Methods for Identifying Outliers. </w:t>
      </w:r>
      <w:r w:rsidRPr="00827F8E">
        <w:rPr>
          <w:rFonts w:ascii="Arial" w:hAnsi="Arial" w:cs="Arial"/>
          <w:i/>
          <w:iCs/>
          <w:noProof/>
          <w:sz w:val="24"/>
          <w:szCs w:val="24"/>
        </w:rPr>
        <w:t>Int. J. Stat. Syst.</w:t>
      </w:r>
      <w:r w:rsidRPr="00827F8E">
        <w:rPr>
          <w:rFonts w:ascii="Arial" w:hAnsi="Arial" w:cs="Arial"/>
          <w:noProof/>
          <w:sz w:val="24"/>
          <w:szCs w:val="24"/>
        </w:rPr>
        <w:t xml:space="preserve"> </w:t>
      </w:r>
      <w:r w:rsidRPr="00827F8E">
        <w:rPr>
          <w:rFonts w:ascii="Arial" w:hAnsi="Arial" w:cs="Arial"/>
          <w:b/>
          <w:bCs/>
          <w:noProof/>
          <w:sz w:val="24"/>
          <w:szCs w:val="24"/>
        </w:rPr>
        <w:t>2015</w:t>
      </w:r>
      <w:r w:rsidRPr="00827F8E">
        <w:rPr>
          <w:rFonts w:ascii="Arial" w:hAnsi="Arial" w:cs="Arial"/>
          <w:noProof/>
          <w:sz w:val="24"/>
          <w:szCs w:val="24"/>
        </w:rPr>
        <w:t>, No. October.</w:t>
      </w:r>
    </w:p>
    <w:p w14:paraId="6D98C7E2" w14:textId="12C361C8" w:rsidR="000B3F0C" w:rsidRDefault="00827F8E" w:rsidP="00827F8E">
      <w:pPr>
        <w:widowControl w:val="0"/>
        <w:autoSpaceDE w:val="0"/>
        <w:autoSpaceDN w:val="0"/>
        <w:adjustRightInd w:val="0"/>
        <w:spacing w:line="240" w:lineRule="auto"/>
        <w:ind w:left="640" w:hanging="640"/>
        <w:rPr>
          <w:rFonts w:ascii="Arial" w:hAnsi="Arial" w:cs="Arial"/>
          <w:noProof/>
          <w:sz w:val="24"/>
          <w:szCs w:val="24"/>
        </w:rPr>
      </w:pPr>
      <w:r w:rsidRPr="00827F8E">
        <w:rPr>
          <w:rFonts w:ascii="Arial" w:hAnsi="Arial" w:cs="Arial"/>
          <w:noProof/>
          <w:sz w:val="24"/>
          <w:szCs w:val="24"/>
        </w:rPr>
        <w:t>(350)</w:t>
      </w:r>
      <w:r w:rsidRPr="00827F8E">
        <w:rPr>
          <w:rFonts w:ascii="Arial" w:hAnsi="Arial" w:cs="Arial"/>
          <w:noProof/>
          <w:sz w:val="24"/>
          <w:szCs w:val="24"/>
        </w:rPr>
        <w:tab/>
        <w:t xml:space="preserve">Otsu, N. A Threshold Selection Method from Gray-Level Histograms. </w:t>
      </w:r>
      <w:r w:rsidRPr="00827F8E">
        <w:rPr>
          <w:rFonts w:ascii="Arial" w:hAnsi="Arial" w:cs="Arial"/>
          <w:i/>
          <w:iCs/>
          <w:noProof/>
          <w:sz w:val="24"/>
          <w:szCs w:val="24"/>
        </w:rPr>
        <w:t>IEEE Trans. Syst. Man. Cybern.</w:t>
      </w:r>
      <w:r w:rsidRPr="00827F8E">
        <w:rPr>
          <w:rFonts w:ascii="Arial" w:hAnsi="Arial" w:cs="Arial"/>
          <w:noProof/>
          <w:sz w:val="24"/>
          <w:szCs w:val="24"/>
        </w:rPr>
        <w:t xml:space="preserve"> </w:t>
      </w:r>
      <w:r w:rsidRPr="00827F8E">
        <w:rPr>
          <w:rFonts w:ascii="Arial" w:hAnsi="Arial" w:cs="Arial"/>
          <w:b/>
          <w:bCs/>
          <w:noProof/>
          <w:sz w:val="24"/>
          <w:szCs w:val="24"/>
        </w:rPr>
        <w:t>1979</w:t>
      </w:r>
      <w:r w:rsidRPr="00827F8E">
        <w:rPr>
          <w:rFonts w:ascii="Arial" w:hAnsi="Arial" w:cs="Arial"/>
          <w:noProof/>
          <w:sz w:val="24"/>
          <w:szCs w:val="24"/>
        </w:rPr>
        <w:t xml:space="preserve">, </w:t>
      </w:r>
      <w:r w:rsidRPr="00827F8E">
        <w:rPr>
          <w:rFonts w:ascii="Arial" w:hAnsi="Arial" w:cs="Arial"/>
          <w:i/>
          <w:iCs/>
          <w:noProof/>
          <w:sz w:val="24"/>
          <w:szCs w:val="24"/>
        </w:rPr>
        <w:t>9</w:t>
      </w:r>
      <w:r w:rsidRPr="00827F8E">
        <w:rPr>
          <w:rFonts w:ascii="Arial" w:hAnsi="Arial" w:cs="Arial"/>
          <w:noProof/>
          <w:sz w:val="24"/>
          <w:szCs w:val="24"/>
        </w:rPr>
        <w:t xml:space="preserve"> (1), 62–66. https://doi.org/10.1109/TSMC.1979.4310076.</w:t>
      </w:r>
    </w:p>
    <w:p w14:paraId="6C8AF5F1" w14:textId="77777777" w:rsidR="000B3F0C" w:rsidRDefault="000B3F0C">
      <w:pPr>
        <w:rPr>
          <w:rFonts w:ascii="Arial" w:hAnsi="Arial" w:cs="Arial"/>
          <w:noProof/>
          <w:sz w:val="24"/>
          <w:szCs w:val="24"/>
        </w:rPr>
      </w:pPr>
      <w:r>
        <w:rPr>
          <w:rFonts w:ascii="Arial" w:hAnsi="Arial" w:cs="Arial"/>
          <w:noProof/>
          <w:sz w:val="24"/>
          <w:szCs w:val="24"/>
        </w:rPr>
        <w:br w:type="page"/>
      </w:r>
    </w:p>
    <w:p w14:paraId="64D9CE11" w14:textId="77777777" w:rsidR="00827F8E" w:rsidRPr="00827F8E" w:rsidRDefault="00827F8E" w:rsidP="00827F8E">
      <w:pPr>
        <w:widowControl w:val="0"/>
        <w:autoSpaceDE w:val="0"/>
        <w:autoSpaceDN w:val="0"/>
        <w:adjustRightInd w:val="0"/>
        <w:spacing w:line="240" w:lineRule="auto"/>
        <w:ind w:left="640" w:hanging="640"/>
        <w:rPr>
          <w:rFonts w:ascii="Arial" w:hAnsi="Arial" w:cs="Arial"/>
          <w:noProof/>
          <w:sz w:val="24"/>
        </w:rPr>
      </w:pPr>
    </w:p>
    <w:p w14:paraId="3C600121" w14:textId="5A17B255" w:rsidR="004A2E41" w:rsidRPr="001C0FA4" w:rsidRDefault="00A22975" w:rsidP="00721691">
      <w:pPr>
        <w:pStyle w:val="Heading1"/>
      </w:pPr>
      <w:r w:rsidRPr="008C387C">
        <w:fldChar w:fldCharType="end"/>
      </w:r>
      <w:bookmarkStart w:id="62" w:name="_Toc151032441"/>
      <w:r w:rsidR="004A2E41" w:rsidRPr="008C387C">
        <w:t>Appendix A: Abbreviations</w:t>
      </w:r>
      <w:bookmarkEnd w:id="62"/>
    </w:p>
    <w:p w14:paraId="34DB72E1" w14:textId="2A956E14" w:rsidR="001C0D90"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AuNP: Gold Nanoparticle</w:t>
      </w:r>
    </w:p>
    <w:p w14:paraId="6B0FC0A7" w14:textId="54E69B99" w:rsidR="001C0D90" w:rsidRDefault="001C0D90" w:rsidP="000E442D">
      <w:pPr>
        <w:pStyle w:val="ListParagraph"/>
        <w:numPr>
          <w:ilvl w:val="0"/>
          <w:numId w:val="13"/>
        </w:numPr>
        <w:rPr>
          <w:rFonts w:ascii="Arial" w:eastAsiaTheme="minorHAnsi" w:hAnsi="Arial" w:cs="Arial"/>
          <w:lang w:eastAsia="en-US"/>
        </w:rPr>
      </w:pPr>
      <w:proofErr w:type="spellStart"/>
      <w:r>
        <w:rPr>
          <w:rFonts w:ascii="Arial" w:eastAsiaTheme="minorHAnsi" w:hAnsi="Arial" w:cs="Arial"/>
          <w:lang w:eastAsia="en-US"/>
        </w:rPr>
        <w:t>AgNP</w:t>
      </w:r>
      <w:proofErr w:type="spellEnd"/>
      <w:r>
        <w:rPr>
          <w:rFonts w:ascii="Arial" w:eastAsiaTheme="minorHAnsi" w:hAnsi="Arial" w:cs="Arial"/>
          <w:lang w:eastAsia="en-US"/>
        </w:rPr>
        <w:t>: Silver Nanoparticle</w:t>
      </w:r>
    </w:p>
    <w:p w14:paraId="718C915C" w14:textId="7B96C278" w:rsidR="001C0D90"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DLS: Dynamic Light Scattering</w:t>
      </w:r>
    </w:p>
    <w:p w14:paraId="0088537D" w14:textId="717DCAAD" w:rsidR="001C0D90"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PDI: Polydispersity Index</w:t>
      </w:r>
    </w:p>
    <w:p w14:paraId="24682DB7" w14:textId="68855639" w:rsidR="001C0D90" w:rsidRPr="001C0D90" w:rsidRDefault="001C0D90" w:rsidP="001C0D90">
      <w:pPr>
        <w:pStyle w:val="ListParagraph"/>
        <w:numPr>
          <w:ilvl w:val="0"/>
          <w:numId w:val="13"/>
        </w:numPr>
        <w:rPr>
          <w:rFonts w:ascii="Arial" w:eastAsiaTheme="minorHAnsi" w:hAnsi="Arial" w:cs="Arial"/>
          <w:lang w:eastAsia="en-US"/>
        </w:rPr>
      </w:pPr>
      <w:r>
        <w:rPr>
          <w:rFonts w:ascii="Arial" w:eastAsiaTheme="minorHAnsi" w:hAnsi="Arial" w:cs="Arial"/>
          <w:lang w:eastAsia="en-US"/>
        </w:rPr>
        <w:t>UV-Vis: Ultraviolet-Visible Spectrophotometry</w:t>
      </w:r>
    </w:p>
    <w:p w14:paraId="1D589312" w14:textId="2BF9C5E7" w:rsidR="001C0D90"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 xml:space="preserve">PEG: Poly (ethylene glycol) </w:t>
      </w:r>
    </w:p>
    <w:p w14:paraId="07D4E35E" w14:textId="5D8491FB" w:rsidR="001C0D90"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HEP: Heparosan</w:t>
      </w:r>
    </w:p>
    <w:p w14:paraId="7E1FB9A2" w14:textId="303A55AF" w:rsidR="001C0D90" w:rsidRPr="001C0D90"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BSA: Bovine Serum Albumin</w:t>
      </w:r>
    </w:p>
    <w:p w14:paraId="570459FD" w14:textId="79BBCE04" w:rsidR="000E442D" w:rsidRDefault="000E442D" w:rsidP="000E442D">
      <w:pPr>
        <w:pStyle w:val="ListParagraph"/>
        <w:numPr>
          <w:ilvl w:val="0"/>
          <w:numId w:val="13"/>
        </w:numPr>
        <w:rPr>
          <w:rFonts w:ascii="Arial" w:eastAsiaTheme="minorHAnsi" w:hAnsi="Arial" w:cs="Arial"/>
          <w:lang w:eastAsia="en-US"/>
        </w:rPr>
      </w:pPr>
      <w:r w:rsidRPr="000E442D">
        <w:rPr>
          <w:rFonts w:ascii="Arial" w:hAnsi="Arial" w:cs="Arial"/>
        </w:rPr>
        <w:t>CLSM: C</w:t>
      </w:r>
      <w:r w:rsidRPr="000E442D">
        <w:rPr>
          <w:rFonts w:ascii="Arial" w:eastAsiaTheme="minorHAnsi" w:hAnsi="Arial" w:cs="Arial"/>
          <w:lang w:eastAsia="en-US"/>
        </w:rPr>
        <w:t>onfocal Laser Scanning Microscope</w:t>
      </w:r>
    </w:p>
    <w:p w14:paraId="7EE64F42" w14:textId="77777777" w:rsidR="000E442D" w:rsidRPr="000E442D" w:rsidRDefault="000E442D" w:rsidP="000E442D">
      <w:pPr>
        <w:pStyle w:val="ListParagraph"/>
        <w:numPr>
          <w:ilvl w:val="0"/>
          <w:numId w:val="13"/>
        </w:numPr>
        <w:rPr>
          <w:rFonts w:ascii="Arial" w:eastAsiaTheme="minorHAnsi" w:hAnsi="Arial" w:cs="Arial"/>
          <w:lang w:eastAsia="en-US"/>
        </w:rPr>
      </w:pPr>
      <w:r>
        <w:rPr>
          <w:rFonts w:ascii="Arial" w:hAnsi="Arial" w:cs="Arial"/>
        </w:rPr>
        <w:t>ExM: Expansion Microscopy</w:t>
      </w:r>
    </w:p>
    <w:p w14:paraId="58413B15" w14:textId="77777777" w:rsidR="001C0D90" w:rsidRPr="001C0D90" w:rsidRDefault="000E442D" w:rsidP="000E442D">
      <w:pPr>
        <w:pStyle w:val="ListParagraph"/>
        <w:numPr>
          <w:ilvl w:val="0"/>
          <w:numId w:val="13"/>
        </w:numPr>
        <w:rPr>
          <w:rFonts w:ascii="Arial" w:eastAsiaTheme="minorHAnsi" w:hAnsi="Arial" w:cs="Arial"/>
          <w:lang w:eastAsia="en-US"/>
        </w:rPr>
      </w:pPr>
      <w:r>
        <w:rPr>
          <w:rFonts w:ascii="Arial" w:hAnsi="Arial" w:cs="Arial"/>
        </w:rPr>
        <w:t>proExM: Protein Retention Expansion Microscopy</w:t>
      </w:r>
    </w:p>
    <w:p w14:paraId="3FF14A9F" w14:textId="77777777" w:rsidR="001C0D90" w:rsidRPr="001C0D90" w:rsidRDefault="001C0D90" w:rsidP="000E442D">
      <w:pPr>
        <w:pStyle w:val="ListParagraph"/>
        <w:numPr>
          <w:ilvl w:val="0"/>
          <w:numId w:val="13"/>
        </w:numPr>
        <w:rPr>
          <w:rFonts w:ascii="Arial" w:eastAsiaTheme="minorHAnsi" w:hAnsi="Arial" w:cs="Arial"/>
          <w:lang w:eastAsia="en-US"/>
        </w:rPr>
      </w:pPr>
      <w:r>
        <w:rPr>
          <w:rFonts w:ascii="Arial" w:hAnsi="Arial" w:cs="Arial"/>
        </w:rPr>
        <w:t xml:space="preserve">TEM: Transmission Electron Microscopy </w:t>
      </w:r>
    </w:p>
    <w:p w14:paraId="0FABF7C3" w14:textId="77777777" w:rsidR="001C0D90" w:rsidRPr="001C0D90" w:rsidRDefault="001C0D90" w:rsidP="000E442D">
      <w:pPr>
        <w:pStyle w:val="ListParagraph"/>
        <w:numPr>
          <w:ilvl w:val="0"/>
          <w:numId w:val="13"/>
        </w:numPr>
        <w:rPr>
          <w:rFonts w:ascii="Arial" w:eastAsiaTheme="minorHAnsi" w:hAnsi="Arial" w:cs="Arial"/>
          <w:lang w:eastAsia="en-US"/>
        </w:rPr>
      </w:pPr>
      <w:r>
        <w:rPr>
          <w:rFonts w:ascii="Arial" w:hAnsi="Arial" w:cs="Arial"/>
        </w:rPr>
        <w:t>ICP-MS: Inductively Coupled Plasma Mass Spectrometry</w:t>
      </w:r>
    </w:p>
    <w:p w14:paraId="4CEA4421" w14:textId="77777777" w:rsidR="001C0D90" w:rsidRDefault="001C0D90" w:rsidP="000E442D">
      <w:pPr>
        <w:pStyle w:val="ListParagraph"/>
        <w:numPr>
          <w:ilvl w:val="0"/>
          <w:numId w:val="13"/>
        </w:numPr>
        <w:rPr>
          <w:rFonts w:ascii="Arial" w:eastAsiaTheme="minorHAnsi" w:hAnsi="Arial" w:cs="Arial"/>
          <w:lang w:eastAsia="en-US"/>
        </w:rPr>
      </w:pPr>
      <w:r>
        <w:rPr>
          <w:rFonts w:ascii="Arial" w:hAnsi="Arial" w:cs="Arial"/>
        </w:rPr>
        <w:t>SP-ICP-MS: Single-Particle Inductively Coupled Plasma Mass Spectrometry</w:t>
      </w:r>
      <w:r w:rsidRPr="000E442D">
        <w:rPr>
          <w:rFonts w:ascii="Arial" w:eastAsiaTheme="minorHAnsi" w:hAnsi="Arial" w:cs="Arial"/>
          <w:lang w:eastAsia="en-US"/>
        </w:rPr>
        <w:t xml:space="preserve"> </w:t>
      </w:r>
    </w:p>
    <w:p w14:paraId="184E1620" w14:textId="77777777" w:rsidR="00AD5FDD" w:rsidRDefault="001C0D90"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SDS-PAGE: S</w:t>
      </w:r>
      <w:r w:rsidRPr="001C0D90">
        <w:rPr>
          <w:rFonts w:ascii="Arial" w:eastAsiaTheme="minorHAnsi" w:hAnsi="Arial" w:cs="Arial"/>
          <w:lang w:eastAsia="en-US"/>
        </w:rPr>
        <w:t xml:space="preserve">odium </w:t>
      </w:r>
      <w:r>
        <w:rPr>
          <w:rFonts w:ascii="Arial" w:eastAsiaTheme="minorHAnsi" w:hAnsi="Arial" w:cs="Arial"/>
          <w:lang w:eastAsia="en-US"/>
        </w:rPr>
        <w:t>D</w:t>
      </w:r>
      <w:r w:rsidRPr="001C0D90">
        <w:rPr>
          <w:rFonts w:ascii="Arial" w:eastAsiaTheme="minorHAnsi" w:hAnsi="Arial" w:cs="Arial"/>
          <w:lang w:eastAsia="en-US"/>
        </w:rPr>
        <w:t xml:space="preserve">odecyl </w:t>
      </w:r>
      <w:r>
        <w:rPr>
          <w:rFonts w:ascii="Arial" w:eastAsiaTheme="minorHAnsi" w:hAnsi="Arial" w:cs="Arial"/>
          <w:lang w:eastAsia="en-US"/>
        </w:rPr>
        <w:t>S</w:t>
      </w:r>
      <w:r w:rsidRPr="001C0D90">
        <w:rPr>
          <w:rFonts w:ascii="Arial" w:eastAsiaTheme="minorHAnsi" w:hAnsi="Arial" w:cs="Arial"/>
          <w:lang w:eastAsia="en-US"/>
        </w:rPr>
        <w:t>ulfate-</w:t>
      </w:r>
      <w:r>
        <w:rPr>
          <w:rFonts w:ascii="Arial" w:eastAsiaTheme="minorHAnsi" w:hAnsi="Arial" w:cs="Arial"/>
          <w:lang w:eastAsia="en-US"/>
        </w:rPr>
        <w:t>P</w:t>
      </w:r>
      <w:r w:rsidRPr="001C0D90">
        <w:rPr>
          <w:rFonts w:ascii="Arial" w:eastAsiaTheme="minorHAnsi" w:hAnsi="Arial" w:cs="Arial"/>
          <w:lang w:eastAsia="en-US"/>
        </w:rPr>
        <w:t xml:space="preserve">olyacrylamide </w:t>
      </w:r>
      <w:r>
        <w:rPr>
          <w:rFonts w:ascii="Arial" w:eastAsiaTheme="minorHAnsi" w:hAnsi="Arial" w:cs="Arial"/>
          <w:lang w:eastAsia="en-US"/>
        </w:rPr>
        <w:t>G</w:t>
      </w:r>
      <w:r w:rsidRPr="001C0D90">
        <w:rPr>
          <w:rFonts w:ascii="Arial" w:eastAsiaTheme="minorHAnsi" w:hAnsi="Arial" w:cs="Arial"/>
          <w:lang w:eastAsia="en-US"/>
        </w:rPr>
        <w:t xml:space="preserve">el </w:t>
      </w:r>
      <w:r>
        <w:rPr>
          <w:rFonts w:ascii="Arial" w:eastAsiaTheme="minorHAnsi" w:hAnsi="Arial" w:cs="Arial"/>
          <w:lang w:eastAsia="en-US"/>
        </w:rPr>
        <w:t>E</w:t>
      </w:r>
      <w:r w:rsidRPr="001C0D90">
        <w:rPr>
          <w:rFonts w:ascii="Arial" w:eastAsiaTheme="minorHAnsi" w:hAnsi="Arial" w:cs="Arial"/>
          <w:lang w:eastAsia="en-US"/>
        </w:rPr>
        <w:t xml:space="preserve">lectrophoresis </w:t>
      </w:r>
    </w:p>
    <w:p w14:paraId="284EEC8F" w14:textId="79B2A071" w:rsidR="00AD5FDD" w:rsidRDefault="00AD5FDD"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 xml:space="preserve">DSPC: </w:t>
      </w:r>
      <w:r w:rsidRPr="00AD5FDD">
        <w:rPr>
          <w:rFonts w:ascii="Arial" w:eastAsiaTheme="minorHAnsi" w:hAnsi="Arial" w:cs="Arial"/>
          <w:lang w:eastAsia="en-US"/>
        </w:rPr>
        <w:t>1,2-</w:t>
      </w:r>
      <w:r>
        <w:rPr>
          <w:rFonts w:ascii="Arial" w:eastAsiaTheme="minorHAnsi" w:hAnsi="Arial" w:cs="Arial"/>
          <w:lang w:eastAsia="en-US"/>
        </w:rPr>
        <w:t>D</w:t>
      </w:r>
      <w:r w:rsidRPr="00AD5FDD">
        <w:rPr>
          <w:rFonts w:ascii="Arial" w:eastAsiaTheme="minorHAnsi" w:hAnsi="Arial" w:cs="Arial"/>
          <w:lang w:eastAsia="en-US"/>
        </w:rPr>
        <w:t xml:space="preserve">istearoyl-sn-glycero-3-phosphocholine </w:t>
      </w:r>
    </w:p>
    <w:p w14:paraId="35934DFB" w14:textId="77777777" w:rsidR="00AD5FDD" w:rsidRDefault="00AD5FDD"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 xml:space="preserve">DSPE: </w:t>
      </w:r>
      <w:r w:rsidRPr="00AD5FDD">
        <w:rPr>
          <w:rFonts w:ascii="Arial" w:eastAsiaTheme="minorHAnsi" w:hAnsi="Arial" w:cs="Arial"/>
          <w:lang w:eastAsia="en-US"/>
        </w:rPr>
        <w:t xml:space="preserve">1,2-Distearoyl-sn-glycero-3-phosphoethanolamine </w:t>
      </w:r>
    </w:p>
    <w:p w14:paraId="3E766A77" w14:textId="0F2DF3FF" w:rsidR="00AD5FDD" w:rsidRDefault="00AD5FDD" w:rsidP="000E442D">
      <w:pPr>
        <w:pStyle w:val="ListParagraph"/>
        <w:numPr>
          <w:ilvl w:val="0"/>
          <w:numId w:val="13"/>
        </w:numPr>
        <w:rPr>
          <w:rFonts w:ascii="Arial" w:eastAsiaTheme="minorHAnsi" w:hAnsi="Arial" w:cs="Arial"/>
          <w:lang w:eastAsia="en-US"/>
        </w:rPr>
      </w:pPr>
      <w:r w:rsidRPr="00AD5FDD">
        <w:rPr>
          <w:rFonts w:ascii="Arial" w:eastAsiaTheme="minorHAnsi" w:hAnsi="Arial" w:cs="Arial"/>
          <w:lang w:eastAsia="en-US"/>
        </w:rPr>
        <w:t>Ptd thioethanol</w:t>
      </w:r>
      <w:r>
        <w:rPr>
          <w:rFonts w:ascii="Arial" w:eastAsiaTheme="minorHAnsi" w:hAnsi="Arial" w:cs="Arial"/>
          <w:lang w:eastAsia="en-US"/>
        </w:rPr>
        <w:t>:1</w:t>
      </w:r>
      <w:r w:rsidRPr="00AD5FDD">
        <w:rPr>
          <w:rFonts w:ascii="Arial" w:eastAsiaTheme="minorHAnsi" w:hAnsi="Arial" w:cs="Arial"/>
          <w:lang w:eastAsia="en-US"/>
        </w:rPr>
        <w:t>,2-Dipalmitoyl-sn-</w:t>
      </w:r>
      <w:r>
        <w:rPr>
          <w:rFonts w:ascii="Arial" w:eastAsiaTheme="minorHAnsi" w:hAnsi="Arial" w:cs="Arial"/>
          <w:lang w:eastAsia="en-US"/>
        </w:rPr>
        <w:t>g</w:t>
      </w:r>
      <w:r w:rsidRPr="00AD5FDD">
        <w:rPr>
          <w:rFonts w:ascii="Arial" w:eastAsiaTheme="minorHAnsi" w:hAnsi="Arial" w:cs="Arial"/>
          <w:lang w:eastAsia="en-US"/>
        </w:rPr>
        <w:t>lycero-3-</w:t>
      </w:r>
      <w:r>
        <w:rPr>
          <w:rFonts w:ascii="Arial" w:eastAsiaTheme="minorHAnsi" w:hAnsi="Arial" w:cs="Arial"/>
          <w:lang w:eastAsia="en-US"/>
        </w:rPr>
        <w:t>p</w:t>
      </w:r>
      <w:r w:rsidRPr="00AD5FDD">
        <w:rPr>
          <w:rFonts w:ascii="Arial" w:eastAsiaTheme="minorHAnsi" w:hAnsi="Arial" w:cs="Arial"/>
          <w:lang w:eastAsia="en-US"/>
        </w:rPr>
        <w:t xml:space="preserve">hosphothioethanol </w:t>
      </w:r>
    </w:p>
    <w:p w14:paraId="313F8644" w14:textId="543299D2" w:rsidR="00AD5FDD" w:rsidRDefault="00AD5FDD" w:rsidP="000E442D">
      <w:pPr>
        <w:pStyle w:val="ListParagraph"/>
        <w:numPr>
          <w:ilvl w:val="0"/>
          <w:numId w:val="13"/>
        </w:numPr>
        <w:rPr>
          <w:rFonts w:ascii="Arial" w:eastAsiaTheme="minorHAnsi" w:hAnsi="Arial" w:cs="Arial"/>
          <w:lang w:eastAsia="en-US"/>
        </w:rPr>
      </w:pPr>
      <w:r>
        <w:rPr>
          <w:rFonts w:ascii="Arial" w:eastAsiaTheme="minorHAnsi" w:hAnsi="Arial" w:cs="Arial"/>
          <w:lang w:eastAsia="en-US"/>
        </w:rPr>
        <w:t xml:space="preserve">DiO: </w:t>
      </w:r>
      <w:r w:rsidRPr="00AD5FDD">
        <w:rPr>
          <w:rFonts w:ascii="Arial" w:eastAsiaTheme="minorHAnsi" w:hAnsi="Arial" w:cs="Arial"/>
          <w:lang w:eastAsia="en-US"/>
        </w:rPr>
        <w:t>3,3-</w:t>
      </w:r>
      <w:r>
        <w:rPr>
          <w:rFonts w:ascii="Arial" w:eastAsiaTheme="minorHAnsi" w:hAnsi="Arial" w:cs="Arial"/>
          <w:lang w:eastAsia="en-US"/>
        </w:rPr>
        <w:t>D</w:t>
      </w:r>
      <w:r w:rsidRPr="00AD5FDD">
        <w:rPr>
          <w:rFonts w:ascii="Arial" w:eastAsiaTheme="minorHAnsi" w:hAnsi="Arial" w:cs="Arial"/>
          <w:lang w:eastAsia="en-US"/>
        </w:rPr>
        <w:t>ioctadecyloxacarbocyanine perchlorate</w:t>
      </w:r>
    </w:p>
    <w:p w14:paraId="14DD3EF5" w14:textId="5F864E4B" w:rsidR="000E442D" w:rsidRPr="000E442D" w:rsidRDefault="000E442D" w:rsidP="000E442D">
      <w:pPr>
        <w:pStyle w:val="ListParagraph"/>
        <w:numPr>
          <w:ilvl w:val="0"/>
          <w:numId w:val="13"/>
        </w:numPr>
        <w:rPr>
          <w:rFonts w:ascii="Arial" w:eastAsiaTheme="minorHAnsi" w:hAnsi="Arial" w:cs="Arial"/>
          <w:lang w:eastAsia="en-US"/>
        </w:rPr>
      </w:pPr>
      <w:r w:rsidRPr="000E442D">
        <w:rPr>
          <w:rFonts w:ascii="Arial" w:eastAsiaTheme="minorHAnsi" w:hAnsi="Arial" w:cs="Arial"/>
          <w:lang w:eastAsia="en-US"/>
        </w:rPr>
        <w:br w:type="page"/>
      </w:r>
    </w:p>
    <w:p w14:paraId="126A10CB" w14:textId="1F71218E" w:rsidR="000E34A0" w:rsidRDefault="004A2E41" w:rsidP="00721691">
      <w:pPr>
        <w:pStyle w:val="Heading1"/>
      </w:pPr>
      <w:bookmarkStart w:id="63" w:name="_Toc151032442"/>
      <w:r w:rsidRPr="004A2E41">
        <w:lastRenderedPageBreak/>
        <w:t>Appendix B: Materials and Methods</w:t>
      </w:r>
      <w:bookmarkEnd w:id="63"/>
    </w:p>
    <w:p w14:paraId="07A7EDBA" w14:textId="77777777" w:rsidR="00721691" w:rsidRPr="00721691" w:rsidRDefault="00721691" w:rsidP="00721691"/>
    <w:p w14:paraId="72E1D0B5" w14:textId="77777777" w:rsidR="004A2E41" w:rsidRPr="004A2E41" w:rsidRDefault="004A2E41" w:rsidP="00721691">
      <w:pPr>
        <w:pStyle w:val="Heading2"/>
        <w:rPr>
          <w:rFonts w:eastAsia="Times New Roman"/>
        </w:rPr>
      </w:pPr>
      <w:bookmarkStart w:id="64" w:name="_Toc116832141"/>
      <w:bookmarkStart w:id="65" w:name="_Toc151032443"/>
      <w:r w:rsidRPr="004A2E41">
        <w:t>Materials</w:t>
      </w:r>
      <w:bookmarkEnd w:id="64"/>
      <w:bookmarkEnd w:id="65"/>
      <w:r w:rsidRPr="004A2E41">
        <w:rPr>
          <w:rFonts w:eastAsia="Times New Roman"/>
        </w:rPr>
        <w:t xml:space="preserve"> </w:t>
      </w:r>
    </w:p>
    <w:p w14:paraId="5C10A371" w14:textId="7B8E7DD6" w:rsidR="004A2E41" w:rsidRDefault="004A2E41" w:rsidP="004A2E41">
      <w:pPr>
        <w:spacing w:line="480" w:lineRule="auto"/>
        <w:jc w:val="both"/>
        <w:rPr>
          <w:rFonts w:ascii="Arial" w:eastAsia="Times New Roman" w:hAnsi="Arial" w:cs="Arial"/>
          <w:sz w:val="24"/>
          <w:szCs w:val="24"/>
        </w:rPr>
      </w:pPr>
      <w:r w:rsidRPr="004A2E41">
        <w:rPr>
          <w:rFonts w:ascii="Arial" w:eastAsia="Times New Roman" w:hAnsi="Arial" w:cs="Arial"/>
          <w:sz w:val="24"/>
          <w:szCs w:val="24"/>
        </w:rPr>
        <w:t>Hydrochloric acid (HCl) (Sigma-Aldrich, 320331); Nitric acid (HNO</w:t>
      </w:r>
      <w:r w:rsidRPr="004A2E41">
        <w:rPr>
          <w:rFonts w:ascii="Arial" w:eastAsia="Times New Roman" w:hAnsi="Arial" w:cs="Arial"/>
          <w:sz w:val="24"/>
          <w:szCs w:val="24"/>
          <w:vertAlign w:val="subscript"/>
        </w:rPr>
        <w:t>3</w:t>
      </w:r>
      <w:r w:rsidRPr="004A2E41">
        <w:rPr>
          <w:rFonts w:ascii="Arial" w:eastAsia="Times New Roman" w:hAnsi="Arial" w:cs="Arial"/>
          <w:sz w:val="24"/>
          <w:szCs w:val="24"/>
        </w:rPr>
        <w:t>) (Sigma-Aldrich, 438073); Gold(III) chloride trihydrate (Sigma-Aldrich, 520918); Sodium citrate tribasic dihydrate (Sigma-Aldrich, S4641); Hydroquinone (Sigma-Aldrich, H9003); TWEEN® 20 (Sigma-Aldrich, P9416); mPEG-OPSS, MW 10,000 (Laysan Bio Inc., MPEG-OPSS-10K-1g); NH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-PEG-Thiol, MW 5,000 (Laysan Bio Inc., NH2-PEG-SH-5000-1g); Streptavidin - 60nm Silver Conjugate (SC-60-04-05, </w:t>
      </w:r>
      <w:proofErr w:type="spellStart"/>
      <w:r w:rsidRPr="004A2E41">
        <w:rPr>
          <w:rFonts w:ascii="Arial" w:eastAsia="Times New Roman" w:hAnsi="Arial" w:cs="Arial"/>
          <w:sz w:val="24"/>
          <w:szCs w:val="24"/>
        </w:rPr>
        <w:t>Cytodiagnostics</w:t>
      </w:r>
      <w:proofErr w:type="spellEnd"/>
      <w:r w:rsidRPr="004A2E41">
        <w:rPr>
          <w:rFonts w:ascii="Arial" w:eastAsia="Times New Roman" w:hAnsi="Arial" w:cs="Arial"/>
          <w:sz w:val="24"/>
          <w:szCs w:val="24"/>
        </w:rPr>
        <w:t xml:space="preserve">); Streptavidin - 40nm Silver Conjugate (SC-40-04, </w:t>
      </w:r>
      <w:proofErr w:type="spellStart"/>
      <w:r w:rsidRPr="004A2E41">
        <w:rPr>
          <w:rFonts w:ascii="Arial" w:eastAsia="Times New Roman" w:hAnsi="Arial" w:cs="Arial"/>
          <w:sz w:val="24"/>
          <w:szCs w:val="24"/>
        </w:rPr>
        <w:t>Cytodiagnostics</w:t>
      </w:r>
      <w:proofErr w:type="spellEnd"/>
      <w:r w:rsidRPr="004A2E41">
        <w:rPr>
          <w:rFonts w:ascii="Arial" w:eastAsia="Times New Roman" w:hAnsi="Arial" w:cs="Arial"/>
          <w:sz w:val="24"/>
          <w:szCs w:val="24"/>
        </w:rPr>
        <w:t>); Sodium tetrathionate dihydrate (Fisher Scientific, AC461920250); Cy5 NHS Ester (Click Chemistry Tools, 1076); NAP™-25 20 ST (Sigma-Aldrich, GE17-0852-01); 10X PBS Solution (Bio Basic, PD8117); 4T1, Mammary Tumor Mouse Cells (ATCC, CRL-2539); RAW 264.7 Mouse Macrophages (ATCC, TIB-71); DC 2.4 Mouse Dendritic Cells (Sigma Aldrich, SCC142M); DMEM, high glucose, pyruvate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11995065); RPMI-1640 Medium (ATCC, 30-2001); Fetal Bovine Serum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16000044); Penicillin Streptomycin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15-140-122); Trypsin-EDTA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25200072); Paraformaldehyde Solution (PFA), 4% in PBS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J19943K2); Triton™ X-100 (Sigma-Aldrich, T8787); Bovine Serum Albumin (BSA) (Sigma-Aldrich, A7906); Transferrin From Human Serum, </w:t>
      </w:r>
      <w:proofErr w:type="spellStart"/>
      <w:r w:rsidRPr="004A2E41">
        <w:rPr>
          <w:rFonts w:ascii="Arial" w:eastAsia="Times New Roman" w:hAnsi="Arial" w:cs="Arial"/>
          <w:sz w:val="24"/>
          <w:szCs w:val="24"/>
        </w:rPr>
        <w:t>Tetramethylrhodamine</w:t>
      </w:r>
      <w:proofErr w:type="spellEnd"/>
      <w:r w:rsidRPr="004A2E41">
        <w:rPr>
          <w:rFonts w:ascii="Arial" w:eastAsia="Times New Roman" w:hAnsi="Arial" w:cs="Arial"/>
          <w:sz w:val="24"/>
          <w:szCs w:val="24"/>
        </w:rPr>
        <w:t xml:space="preserve"> Conjugate (TRITC transferrin)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T2872); Wheat germ agglutinin (WGA), CF488A conjugate (</w:t>
      </w:r>
      <w:proofErr w:type="spellStart"/>
      <w:r w:rsidRPr="004A2E41">
        <w:rPr>
          <w:rFonts w:ascii="Arial" w:eastAsia="Times New Roman" w:hAnsi="Arial" w:cs="Arial"/>
          <w:sz w:val="24"/>
          <w:szCs w:val="24"/>
        </w:rPr>
        <w:t>Biotium</w:t>
      </w:r>
      <w:proofErr w:type="spellEnd"/>
      <w:r w:rsidRPr="004A2E41">
        <w:rPr>
          <w:rFonts w:ascii="Arial" w:eastAsia="Times New Roman" w:hAnsi="Arial" w:cs="Arial"/>
          <w:sz w:val="24"/>
          <w:szCs w:val="24"/>
        </w:rPr>
        <w:t xml:space="preserve">, 29022-1); </w:t>
      </w:r>
      <w:proofErr w:type="spellStart"/>
      <w:r w:rsidRPr="004A2E41">
        <w:rPr>
          <w:rFonts w:ascii="Arial" w:eastAsia="Times New Roman" w:hAnsi="Arial" w:cs="Arial"/>
          <w:sz w:val="24"/>
          <w:szCs w:val="24"/>
        </w:rPr>
        <w:t>NucBlue</w:t>
      </w:r>
      <w:proofErr w:type="spellEnd"/>
      <w:r w:rsidRPr="004A2E41">
        <w:rPr>
          <w:rFonts w:ascii="Arial" w:eastAsia="Times New Roman" w:hAnsi="Arial" w:cs="Arial"/>
          <w:sz w:val="24"/>
          <w:szCs w:val="24"/>
        </w:rPr>
        <w:t xml:space="preserve">™ Fixed Cell </w:t>
      </w:r>
      <w:proofErr w:type="spellStart"/>
      <w:r w:rsidRPr="004A2E41">
        <w:rPr>
          <w:rFonts w:ascii="Arial" w:eastAsia="Times New Roman" w:hAnsi="Arial" w:cs="Arial"/>
          <w:sz w:val="24"/>
          <w:szCs w:val="24"/>
        </w:rPr>
        <w:t>ReadyProbes</w:t>
      </w:r>
      <w:proofErr w:type="spellEnd"/>
      <w:r w:rsidRPr="004A2E41">
        <w:rPr>
          <w:rFonts w:ascii="Arial" w:eastAsia="Times New Roman" w:hAnsi="Arial" w:cs="Arial"/>
          <w:sz w:val="24"/>
          <w:szCs w:val="24"/>
        </w:rPr>
        <w:t>™ Reagent (DAPI)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R37606);</w:t>
      </w:r>
      <w:r w:rsidR="008A318D">
        <w:rPr>
          <w:rFonts w:ascii="Arial" w:eastAsia="Times New Roman" w:hAnsi="Arial" w:cs="Arial"/>
          <w:sz w:val="24"/>
          <w:szCs w:val="24"/>
        </w:rPr>
        <w:t xml:space="preserve"> </w:t>
      </w:r>
      <w:proofErr w:type="spellStart"/>
      <w:r w:rsidR="008A318D" w:rsidRPr="008A318D">
        <w:rPr>
          <w:rFonts w:ascii="Arial" w:eastAsia="Times New Roman" w:hAnsi="Arial" w:cs="Arial"/>
          <w:sz w:val="24"/>
          <w:szCs w:val="24"/>
        </w:rPr>
        <w:t>NucBlue</w:t>
      </w:r>
      <w:proofErr w:type="spellEnd"/>
      <w:r w:rsidR="008A318D" w:rsidRPr="008A318D">
        <w:rPr>
          <w:rFonts w:ascii="Arial" w:eastAsia="Times New Roman" w:hAnsi="Arial" w:cs="Arial"/>
          <w:sz w:val="24"/>
          <w:szCs w:val="24"/>
        </w:rPr>
        <w:t xml:space="preserve">™ Live </w:t>
      </w:r>
      <w:proofErr w:type="spellStart"/>
      <w:r w:rsidR="008A318D" w:rsidRPr="008A318D">
        <w:rPr>
          <w:rFonts w:ascii="Arial" w:eastAsia="Times New Roman" w:hAnsi="Arial" w:cs="Arial"/>
          <w:sz w:val="24"/>
          <w:szCs w:val="24"/>
        </w:rPr>
        <w:t>ReadyProbes</w:t>
      </w:r>
      <w:proofErr w:type="spellEnd"/>
      <w:r w:rsidR="008A318D" w:rsidRPr="008A318D">
        <w:rPr>
          <w:rFonts w:ascii="Arial" w:eastAsia="Times New Roman" w:hAnsi="Arial" w:cs="Arial"/>
          <w:sz w:val="24"/>
          <w:szCs w:val="24"/>
        </w:rPr>
        <w:t>™ Reagent (Hoechst 33342)</w:t>
      </w:r>
      <w:r w:rsidR="008A318D">
        <w:rPr>
          <w:rFonts w:ascii="Arial" w:eastAsia="Times New Roman" w:hAnsi="Arial" w:cs="Arial"/>
          <w:sz w:val="24"/>
          <w:szCs w:val="24"/>
        </w:rPr>
        <w:t xml:space="preserve"> (</w:t>
      </w:r>
      <w:proofErr w:type="spellStart"/>
      <w:r w:rsidR="008A318D">
        <w:rPr>
          <w:rFonts w:ascii="Arial" w:eastAsia="Times New Roman" w:hAnsi="Arial" w:cs="Arial"/>
          <w:sz w:val="24"/>
          <w:szCs w:val="24"/>
        </w:rPr>
        <w:t>Thermo</w:t>
      </w:r>
      <w:proofErr w:type="spellEnd"/>
      <w:r w:rsidR="008A318D">
        <w:rPr>
          <w:rFonts w:ascii="Arial" w:eastAsia="Times New Roman" w:hAnsi="Arial" w:cs="Arial"/>
          <w:sz w:val="24"/>
          <w:szCs w:val="24"/>
        </w:rPr>
        <w:t xml:space="preserve"> Fisher, </w:t>
      </w:r>
      <w:r w:rsidR="008A318D" w:rsidRPr="008A318D">
        <w:rPr>
          <w:rFonts w:ascii="Arial" w:eastAsia="Times New Roman" w:hAnsi="Arial" w:cs="Arial"/>
          <w:sz w:val="24"/>
          <w:szCs w:val="24"/>
        </w:rPr>
        <w:t>R37605</w:t>
      </w:r>
      <w:r w:rsidR="008A318D">
        <w:rPr>
          <w:rFonts w:ascii="Arial" w:eastAsia="Times New Roman" w:hAnsi="Arial" w:cs="Arial"/>
          <w:sz w:val="24"/>
          <w:szCs w:val="24"/>
        </w:rPr>
        <w:t>);</w:t>
      </w:r>
      <w:r w:rsidRPr="004A2E41">
        <w:rPr>
          <w:rFonts w:ascii="Arial" w:eastAsia="Times New Roman" w:hAnsi="Arial" w:cs="Arial"/>
          <w:sz w:val="24"/>
          <w:szCs w:val="24"/>
        </w:rPr>
        <w:t xml:space="preserve"> Acryloyl-X, SE, 6-((acryloyl)amino)hexanoic Acid, </w:t>
      </w:r>
      <w:proofErr w:type="spellStart"/>
      <w:r w:rsidRPr="004A2E41">
        <w:rPr>
          <w:rFonts w:ascii="Arial" w:eastAsia="Times New Roman" w:hAnsi="Arial" w:cs="Arial"/>
          <w:sz w:val="24"/>
          <w:szCs w:val="24"/>
        </w:rPr>
        <w:t>Succinimidyl</w:t>
      </w:r>
      <w:proofErr w:type="spellEnd"/>
      <w:r w:rsidRPr="004A2E41">
        <w:rPr>
          <w:rFonts w:ascii="Arial" w:eastAsia="Times New Roman" w:hAnsi="Arial" w:cs="Arial"/>
          <w:sz w:val="24"/>
          <w:szCs w:val="24"/>
        </w:rPr>
        <w:t xml:space="preserve"> Ester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A20770); Sodium Acrylate (Sigma-Aldrich, 408220); </w:t>
      </w:r>
      <w:bookmarkStart w:id="66" w:name="_Hlk110789346"/>
      <w:r w:rsidRPr="004A2E41">
        <w:rPr>
          <w:rFonts w:ascii="Arial" w:eastAsia="Times New Roman" w:hAnsi="Arial" w:cs="Arial"/>
          <w:sz w:val="24"/>
          <w:szCs w:val="24"/>
        </w:rPr>
        <w:t>N,N′-</w:t>
      </w:r>
      <w:proofErr w:type="spellStart"/>
      <w:r w:rsidRPr="004A2E41">
        <w:rPr>
          <w:rFonts w:ascii="Arial" w:eastAsia="Times New Roman" w:hAnsi="Arial" w:cs="Arial"/>
          <w:sz w:val="24"/>
          <w:szCs w:val="24"/>
        </w:rPr>
        <w:t>Methylenebisacrylamide</w:t>
      </w:r>
      <w:bookmarkEnd w:id="66"/>
      <w:proofErr w:type="spellEnd"/>
      <w:r w:rsidRPr="004A2E41">
        <w:rPr>
          <w:rFonts w:ascii="Arial" w:eastAsia="Times New Roman" w:hAnsi="Arial" w:cs="Arial"/>
          <w:sz w:val="24"/>
          <w:szCs w:val="24"/>
        </w:rPr>
        <w:t xml:space="preserve"> (Bis) (Sigma-Aldrich, </w:t>
      </w:r>
      <w:r w:rsidRPr="004A2E41">
        <w:rPr>
          <w:rFonts w:ascii="Arial" w:eastAsia="Times New Roman" w:hAnsi="Arial" w:cs="Arial"/>
          <w:sz w:val="24"/>
          <w:szCs w:val="24"/>
        </w:rPr>
        <w:lastRenderedPageBreak/>
        <w:t xml:space="preserve">M7279); Acrylamide Solution, 40% (Sigma-Aldrich, A4058); N,N′-(1,2-Dihydroxyethylene)bisacrylamide (DHEBA) (Sigma-Aldrich, 294381); Sodium Bicarbonate (Sigma-Aldrich, S6014); Sodium Hydroxide (Sigma-Aldrich, 221465); Sulfuric Acid (VWR, JT9681); Hydrogen Peroxide (Sigma-Aldrich, 216763); Gelatin from Bovine Skin Type B (Sigma-Aldrich, G9391); Paraformaldehyde 16% Solution, EM Grade (Electron Microscopy Sciences, 15710-S); Glutaraldehyde (Electron Microscopy Sciences, 16020); Sodium Borohydride (Sigma-Aldrich, 213462); Glycine (Sigma-Aldrich, 50046); Sodium Dodecyl Sulfate (SDS) (Fisher Scientific, AC230421000); Dimethyl Sulfoxide (DMSO) (Sigma-Aldrich, D2650); </w:t>
      </w:r>
      <w:bookmarkStart w:id="67" w:name="_Hlk94797793"/>
      <w:r w:rsidRPr="004A2E41">
        <w:rPr>
          <w:rFonts w:ascii="Arial" w:eastAsia="Times New Roman" w:hAnsi="Arial" w:cs="Arial"/>
          <w:sz w:val="24"/>
          <w:szCs w:val="24"/>
        </w:rPr>
        <w:t xml:space="preserve">AF555Dye NHS Ester </w:t>
      </w:r>
      <w:bookmarkEnd w:id="67"/>
      <w:r w:rsidRPr="004A2E41">
        <w:rPr>
          <w:rFonts w:ascii="Arial" w:eastAsia="Times New Roman" w:hAnsi="Arial" w:cs="Arial"/>
          <w:sz w:val="24"/>
          <w:szCs w:val="24"/>
        </w:rPr>
        <w:t>(Click Chemistry Tools, 1341); Sodium Chloride (Sigma-Aldrich,</w:t>
      </w:r>
      <w:r w:rsidRPr="004A2E41">
        <w:rPr>
          <w:rFonts w:ascii="Arial" w:hAnsi="Arial" w:cs="Arial"/>
          <w:sz w:val="24"/>
          <w:szCs w:val="24"/>
        </w:rPr>
        <w:t xml:space="preserve"> </w:t>
      </w:r>
      <w:r w:rsidRPr="004A2E41">
        <w:rPr>
          <w:rFonts w:ascii="Arial" w:eastAsia="Times New Roman" w:hAnsi="Arial" w:cs="Arial"/>
          <w:sz w:val="24"/>
          <w:szCs w:val="24"/>
        </w:rPr>
        <w:t>S7653); Ammonium Persulfate (APS) (Sigma-Aldrich, A36378); N,N,N′,N′-</w:t>
      </w:r>
      <w:proofErr w:type="spellStart"/>
      <w:r w:rsidRPr="004A2E41">
        <w:rPr>
          <w:rFonts w:ascii="Arial" w:eastAsia="Times New Roman" w:hAnsi="Arial" w:cs="Arial"/>
          <w:sz w:val="24"/>
          <w:szCs w:val="24"/>
        </w:rPr>
        <w:t>Tetramethylethylenediamine</w:t>
      </w:r>
      <w:proofErr w:type="spellEnd"/>
      <w:r w:rsidRPr="004A2E41">
        <w:rPr>
          <w:rFonts w:ascii="Arial" w:eastAsia="Times New Roman" w:hAnsi="Arial" w:cs="Arial"/>
          <w:sz w:val="24"/>
          <w:szCs w:val="24"/>
        </w:rPr>
        <w:t xml:space="preserve"> (TEMED) (Sigma-Aldrich, T7024); Proteinase K (New England Biolabs, P8107S); Ethylenediaminetetraacetic acid (EDTA) (Sigma-Aldrich, EDS); Guanidine hydrochloride (Sigma-Aldrich, G3272); Tris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AM9855); </w:t>
      </w:r>
      <w:proofErr w:type="spellStart"/>
      <w:r w:rsidRPr="004A2E41">
        <w:rPr>
          <w:rFonts w:ascii="Arial" w:eastAsia="Times New Roman" w:hAnsi="Arial" w:cs="Arial"/>
          <w:sz w:val="24"/>
          <w:szCs w:val="24"/>
        </w:rPr>
        <w:t>NuPAGE</w:t>
      </w:r>
      <w:proofErr w:type="spellEnd"/>
      <w:r w:rsidRPr="004A2E41">
        <w:rPr>
          <w:rFonts w:ascii="Arial" w:eastAsia="Times New Roman" w:hAnsi="Arial" w:cs="Arial"/>
          <w:sz w:val="24"/>
          <w:szCs w:val="24"/>
        </w:rPr>
        <w:t xml:space="preserve"> LDS Sample Buffer (4X)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NP0007); </w:t>
      </w:r>
      <w:bookmarkStart w:id="68" w:name="_Hlk94960113"/>
      <w:r w:rsidRPr="004A2E41">
        <w:rPr>
          <w:rFonts w:ascii="Arial" w:eastAsia="Times New Roman" w:hAnsi="Arial" w:cs="Arial"/>
          <w:sz w:val="24"/>
          <w:szCs w:val="24"/>
        </w:rPr>
        <w:t>4-12% Bis-Tris Protein Gels</w:t>
      </w:r>
      <w:bookmarkEnd w:id="68"/>
      <w:r w:rsidRPr="004A2E41">
        <w:rPr>
          <w:rFonts w:ascii="Arial" w:eastAsia="Times New Roman" w:hAnsi="Arial" w:cs="Arial"/>
          <w:sz w:val="24"/>
          <w:szCs w:val="24"/>
        </w:rPr>
        <w:t>, 1.0 mm, 12-well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NP0322BOX); </w:t>
      </w:r>
      <w:proofErr w:type="spellStart"/>
      <w:r w:rsidRPr="004A2E41">
        <w:rPr>
          <w:rFonts w:ascii="Arial" w:eastAsia="Times New Roman" w:hAnsi="Arial" w:cs="Arial"/>
          <w:sz w:val="24"/>
          <w:szCs w:val="24"/>
        </w:rPr>
        <w:t>NuPAGE</w:t>
      </w:r>
      <w:proofErr w:type="spellEnd"/>
      <w:r w:rsidRPr="004A2E41">
        <w:rPr>
          <w:rFonts w:ascii="Arial" w:eastAsia="Times New Roman" w:hAnsi="Arial" w:cs="Arial"/>
          <w:sz w:val="24"/>
          <w:szCs w:val="24"/>
        </w:rPr>
        <w:t xml:space="preserve"> MOPS SDS Running Buffer (20X)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NP0001); SYPRO Tangerine Protein Gel Stain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S12010); </w:t>
      </w:r>
      <w:proofErr w:type="spellStart"/>
      <w:r w:rsidRPr="004A2E41">
        <w:rPr>
          <w:rFonts w:ascii="Arial" w:eastAsia="Times New Roman" w:hAnsi="Arial" w:cs="Arial"/>
          <w:sz w:val="24"/>
          <w:szCs w:val="24"/>
        </w:rPr>
        <w:t>PageRuler</w:t>
      </w:r>
      <w:proofErr w:type="spellEnd"/>
      <w:r w:rsidRPr="004A2E41">
        <w:rPr>
          <w:rFonts w:ascii="Arial" w:eastAsia="Times New Roman" w:hAnsi="Arial" w:cs="Arial"/>
          <w:sz w:val="24"/>
          <w:szCs w:val="24"/>
        </w:rPr>
        <w:t xml:space="preserve"> Plus Prestained 10 250kDa Protein Ladder (</w:t>
      </w:r>
      <w:proofErr w:type="spellStart"/>
      <w:r w:rsidRPr="004A2E41">
        <w:rPr>
          <w:rFonts w:ascii="Arial" w:eastAsia="Times New Roman" w:hAnsi="Arial" w:cs="Arial"/>
          <w:sz w:val="24"/>
          <w:szCs w:val="24"/>
        </w:rPr>
        <w:t>Thermo</w:t>
      </w:r>
      <w:proofErr w:type="spellEnd"/>
      <w:r w:rsidRPr="004A2E41">
        <w:rPr>
          <w:rFonts w:ascii="Arial" w:eastAsia="Times New Roman" w:hAnsi="Arial" w:cs="Arial"/>
          <w:sz w:val="24"/>
          <w:szCs w:val="24"/>
        </w:rPr>
        <w:t xml:space="preserve"> Fisher, PI26619); Dithiothreitol (DTT) (Fisher Scientific, FERR0861);  Acetic acid (Sigma Aldrich, 695092); Sodium phosphate dibasic (Sigma Aldrich, 795410); Gold Etchant (Sigma-Aldrich, 651842); Gold Standard 1000 µg/mL (High Purity Standards, 100021-2); Iridium Standard 1000 µg/mL (High Purity Standards, 100025-2); 0.22 µm Syringe Filter (Sigma, SLGP033NB); LoBind Microcentrifuge Tubes (Sigma-Aldrich, Z666491); 18 mm Round Coverslips #1 (VWR, 16004-300); #1.5H Glass Bottom </w:t>
      </w:r>
      <w:r w:rsidRPr="004A2E41">
        <w:rPr>
          <w:rFonts w:ascii="Arial" w:eastAsia="Times New Roman" w:hAnsi="Arial" w:cs="Arial"/>
          <w:sz w:val="24"/>
          <w:szCs w:val="24"/>
        </w:rPr>
        <w:lastRenderedPageBreak/>
        <w:t xml:space="preserve">Dishes (Fisher Scientific, 50-305-807); 12-Well Cell Culture Plate (VWR, 10062-894); 6-Well Cell Culture Plate (VWR, 10062-892); Cell Scrapers (Fisher, 08-100-241); TEM Grid, Carbon Type-B, 300 Mesh, Copper (Ted Pella, 01813-F); Uranyl Acetate (Ted Pella, 19481); Lead Citrate, </w:t>
      </w:r>
      <w:proofErr w:type="spellStart"/>
      <w:r w:rsidRPr="004A2E41">
        <w:rPr>
          <w:rFonts w:ascii="Arial" w:eastAsia="Times New Roman" w:hAnsi="Arial" w:cs="Arial"/>
          <w:sz w:val="24"/>
          <w:szCs w:val="24"/>
        </w:rPr>
        <w:t>UranyLess</w:t>
      </w:r>
      <w:proofErr w:type="spellEnd"/>
      <w:r w:rsidRPr="004A2E41">
        <w:rPr>
          <w:rFonts w:ascii="Arial" w:eastAsia="Times New Roman" w:hAnsi="Arial" w:cs="Arial"/>
          <w:sz w:val="24"/>
          <w:szCs w:val="24"/>
        </w:rPr>
        <w:t xml:space="preserve"> EM Stain (Electron Microscopy Sciences, 22409); Sodium Tartrate Dibasic Dihydrate (Sigma-Aldrich, 71994); Sodium DL-Lactate (Sigma-Aldrich, 71720); Sodium Pyruvate (Sigma-Aldrich, P5280); Calcium Chloride Dihydrate (Sigma-Aldrich, C3306); Magnesium Chloride (Sigma-Aldrich, M8266); Sodium Sulfate </w:t>
      </w:r>
      <w:r w:rsidRPr="008C387C">
        <w:rPr>
          <w:rFonts w:ascii="Arial" w:eastAsia="Times New Roman" w:hAnsi="Arial" w:cs="Arial"/>
          <w:sz w:val="24"/>
          <w:szCs w:val="24"/>
        </w:rPr>
        <w:t>(Sigma-Aldrich, 239313); Citric Acid (Fisher Scientific, MK-0627-500)</w:t>
      </w:r>
      <w:r w:rsidR="00A93631" w:rsidRPr="008C387C">
        <w:rPr>
          <w:rFonts w:ascii="Arial" w:eastAsia="Times New Roman" w:hAnsi="Arial" w:cs="Arial"/>
          <w:sz w:val="24"/>
          <w:szCs w:val="24"/>
        </w:rPr>
        <w:t>;</w:t>
      </w:r>
      <w:r w:rsidR="00F00A6C" w:rsidRPr="008C387C">
        <w:rPr>
          <w:rFonts w:ascii="Arial" w:eastAsia="Times New Roman" w:hAnsi="Arial" w:cs="Arial"/>
          <w:sz w:val="24"/>
          <w:szCs w:val="24"/>
        </w:rPr>
        <w:t xml:space="preserve"> Potassium Persulfate (Sigma-Aldrich, 379824); Methacrolein, 95% (Sigma-Aldrich, 133035); N,N-Dimethylacrylamide </w:t>
      </w:r>
      <w:r w:rsidR="00B75421" w:rsidRPr="008C387C">
        <w:rPr>
          <w:rFonts w:ascii="Arial" w:eastAsia="Times New Roman" w:hAnsi="Arial" w:cs="Arial"/>
          <w:sz w:val="24"/>
          <w:szCs w:val="24"/>
        </w:rPr>
        <w:t xml:space="preserve">(DMAA) </w:t>
      </w:r>
      <w:r w:rsidR="00F00A6C" w:rsidRPr="008C387C">
        <w:rPr>
          <w:rFonts w:ascii="Arial" w:eastAsia="Times New Roman" w:hAnsi="Arial" w:cs="Arial"/>
          <w:sz w:val="24"/>
          <w:szCs w:val="24"/>
        </w:rPr>
        <w:t>(Sigma-Aldrich, 274135); Urea (Sigma-Aldrich, U5378);</w:t>
      </w:r>
      <w:r w:rsidR="00A93631" w:rsidRPr="008C387C">
        <w:rPr>
          <w:rFonts w:ascii="Arial" w:eastAsia="Times New Roman" w:hAnsi="Arial" w:cs="Arial"/>
          <w:sz w:val="24"/>
          <w:szCs w:val="24"/>
        </w:rPr>
        <w:t xml:space="preserve"> </w:t>
      </w:r>
      <w:r w:rsidR="00357599" w:rsidRPr="008C387C">
        <w:rPr>
          <w:rFonts w:ascii="Arial" w:eastAsia="Times New Roman" w:hAnsi="Arial" w:cs="Arial"/>
          <w:sz w:val="24"/>
          <w:szCs w:val="24"/>
        </w:rPr>
        <w:t xml:space="preserve">Doxoves PEGylated Liposomal Doxorubicin HCl (Fisher Scientific, NC1488582); </w:t>
      </w:r>
      <w:r w:rsidR="00A93631" w:rsidRPr="008C387C">
        <w:rPr>
          <w:rFonts w:ascii="Arial" w:eastAsia="Times New Roman" w:hAnsi="Arial" w:cs="Arial"/>
          <w:sz w:val="24"/>
          <w:szCs w:val="24"/>
        </w:rPr>
        <w:t xml:space="preserve">Amicon Ultra-4 Centrifugal Filters-100,000 NMWL (Sigma-Aldrich, UFC810096); 1,2-distearoyl-sn-glycero-3-phosphocholine DSPC (Avanti Polar Lipids, </w:t>
      </w:r>
      <w:r w:rsidR="00DA0E72" w:rsidRPr="008C387C">
        <w:rPr>
          <w:rFonts w:ascii="Arial" w:eastAsia="Times New Roman" w:hAnsi="Arial" w:cs="Arial"/>
          <w:sz w:val="24"/>
          <w:szCs w:val="24"/>
        </w:rPr>
        <w:t xml:space="preserve">850365P-1g); Cholesterol (Avanti Polar Lipids, 700000-BULK); DiOC18(3) (3,3'-Dioctadecyloxacarbocyanine Perchlorate) (DiO) (Fisher Scientific, D275); </w:t>
      </w:r>
      <w:proofErr w:type="spellStart"/>
      <w:r w:rsidR="00357599" w:rsidRPr="008C387C">
        <w:rPr>
          <w:rFonts w:ascii="Arial" w:eastAsia="Times New Roman" w:hAnsi="Arial" w:cs="Arial"/>
          <w:sz w:val="24"/>
          <w:szCs w:val="24"/>
        </w:rPr>
        <w:t>mPEG</w:t>
      </w:r>
      <w:proofErr w:type="spellEnd"/>
      <w:r w:rsidR="00357599" w:rsidRPr="008C387C">
        <w:rPr>
          <w:rFonts w:ascii="Arial" w:eastAsia="Times New Roman" w:hAnsi="Arial" w:cs="Arial"/>
          <w:sz w:val="24"/>
          <w:szCs w:val="24"/>
        </w:rPr>
        <w:t xml:space="preserve">-DSPE, MW 2,000 (Laysan Bio, MPEG-DSPE-2000-1g); </w:t>
      </w:r>
      <w:r w:rsidR="00357599" w:rsidRPr="008C387C">
        <w:rPr>
          <w:rFonts w:ascii="Arial" w:hAnsi="Arial" w:cs="Arial"/>
          <w:sz w:val="24"/>
          <w:szCs w:val="24"/>
        </w:rPr>
        <w:t xml:space="preserve">1,2-Dipalmitoyl-sn-Glycero-3-Phosphothioethanol (Ptd thioethanol) (Avanti Polar Lipids, 870160P-100mg); </w:t>
      </w:r>
      <w:r w:rsidR="00DA0E72" w:rsidRPr="008C387C">
        <w:rPr>
          <w:rFonts w:ascii="Arial" w:eastAsia="Times New Roman" w:hAnsi="Arial" w:cs="Arial"/>
          <w:sz w:val="24"/>
          <w:szCs w:val="24"/>
        </w:rPr>
        <w:t>Dextran, Alexa Fluor 488, 10,000 MW, anionic, fixable (</w:t>
      </w:r>
      <w:proofErr w:type="spellStart"/>
      <w:r w:rsidR="00DA0E72" w:rsidRPr="008C387C">
        <w:rPr>
          <w:rFonts w:ascii="Arial" w:eastAsia="Times New Roman" w:hAnsi="Arial" w:cs="Arial"/>
          <w:sz w:val="24"/>
          <w:szCs w:val="24"/>
        </w:rPr>
        <w:t>Thermo</w:t>
      </w:r>
      <w:proofErr w:type="spellEnd"/>
      <w:r w:rsidR="00DA0E72" w:rsidRPr="008C387C">
        <w:rPr>
          <w:rFonts w:ascii="Arial" w:eastAsia="Times New Roman" w:hAnsi="Arial" w:cs="Arial"/>
          <w:sz w:val="24"/>
          <w:szCs w:val="24"/>
        </w:rPr>
        <w:t xml:space="preserve"> Fisher, D22910)</w:t>
      </w:r>
      <w:r w:rsidR="007A1547" w:rsidRPr="008C387C">
        <w:rPr>
          <w:rFonts w:ascii="Arial" w:eastAsia="Times New Roman" w:hAnsi="Arial" w:cs="Arial"/>
          <w:sz w:val="24"/>
          <w:szCs w:val="24"/>
        </w:rPr>
        <w:t xml:space="preserve">; Spectra/Por™ 2 12-14 </w:t>
      </w:r>
      <w:proofErr w:type="spellStart"/>
      <w:r w:rsidR="007A1547" w:rsidRPr="008C387C">
        <w:rPr>
          <w:rFonts w:ascii="Arial" w:eastAsia="Times New Roman" w:hAnsi="Arial" w:cs="Arial"/>
          <w:sz w:val="24"/>
          <w:szCs w:val="24"/>
        </w:rPr>
        <w:t>kD</w:t>
      </w:r>
      <w:proofErr w:type="spellEnd"/>
      <w:r w:rsidR="007A1547" w:rsidRPr="008C387C">
        <w:rPr>
          <w:rFonts w:ascii="Arial" w:eastAsia="Times New Roman" w:hAnsi="Arial" w:cs="Arial"/>
          <w:sz w:val="24"/>
          <w:szCs w:val="24"/>
        </w:rPr>
        <w:t xml:space="preserve"> MWCO Standard RC Dry Dialysis Kits (Fisher Scientific, 08-801-243)</w:t>
      </w:r>
      <w:r w:rsidR="001E58DD" w:rsidRPr="008C387C">
        <w:rPr>
          <w:rFonts w:ascii="Arial" w:eastAsia="Times New Roman" w:hAnsi="Arial" w:cs="Arial"/>
          <w:sz w:val="24"/>
          <w:szCs w:val="24"/>
        </w:rPr>
        <w:t>;</w:t>
      </w:r>
      <w:r w:rsidR="008A318D">
        <w:rPr>
          <w:rFonts w:ascii="Arial" w:eastAsia="Times New Roman" w:hAnsi="Arial" w:cs="Arial"/>
          <w:sz w:val="24"/>
          <w:szCs w:val="24"/>
        </w:rPr>
        <w:t xml:space="preserve"> Agarose (Fisher, </w:t>
      </w:r>
      <w:r w:rsidR="008A318D" w:rsidRPr="008A318D">
        <w:rPr>
          <w:rFonts w:ascii="Arial" w:eastAsia="Times New Roman" w:hAnsi="Arial" w:cs="Arial"/>
          <w:sz w:val="24"/>
          <w:szCs w:val="24"/>
        </w:rPr>
        <w:t>BP160-500</w:t>
      </w:r>
      <w:r w:rsidR="008A318D">
        <w:rPr>
          <w:rFonts w:ascii="Arial" w:eastAsia="Times New Roman" w:hAnsi="Arial" w:cs="Arial"/>
          <w:sz w:val="24"/>
          <w:szCs w:val="24"/>
        </w:rPr>
        <w:t>);</w:t>
      </w:r>
      <w:r w:rsidR="001E58DD" w:rsidRPr="008C387C">
        <w:rPr>
          <w:rFonts w:ascii="Arial" w:eastAsia="Times New Roman" w:hAnsi="Arial" w:cs="Arial"/>
          <w:sz w:val="24"/>
          <w:szCs w:val="24"/>
        </w:rPr>
        <w:t xml:space="preserve"> Tris-Borate-EDTA Buffer (TBE) (Fisher Scientific, BP1333-1)</w:t>
      </w:r>
      <w:r w:rsidR="00B47CEC" w:rsidRPr="008C387C">
        <w:rPr>
          <w:rFonts w:ascii="Arial" w:eastAsia="Times New Roman" w:hAnsi="Arial" w:cs="Arial"/>
          <w:sz w:val="24"/>
          <w:szCs w:val="24"/>
        </w:rPr>
        <w:t xml:space="preserve">; </w:t>
      </w:r>
      <w:proofErr w:type="spellStart"/>
      <w:r w:rsidR="00B47CEC" w:rsidRPr="008C387C">
        <w:rPr>
          <w:rFonts w:ascii="Arial" w:eastAsia="Times New Roman" w:hAnsi="Arial" w:cs="Arial"/>
          <w:sz w:val="24"/>
          <w:szCs w:val="24"/>
        </w:rPr>
        <w:t>Ficoll</w:t>
      </w:r>
      <w:proofErr w:type="spellEnd"/>
      <w:r w:rsidR="00B47CEC" w:rsidRPr="008C387C">
        <w:rPr>
          <w:rFonts w:ascii="Arial" w:eastAsia="Times New Roman" w:hAnsi="Arial" w:cs="Arial"/>
          <w:sz w:val="24"/>
          <w:szCs w:val="24"/>
        </w:rPr>
        <w:t xml:space="preserve"> 400 (</w:t>
      </w:r>
      <w:proofErr w:type="spellStart"/>
      <w:r w:rsidR="00B47CEC" w:rsidRPr="008C387C">
        <w:rPr>
          <w:rFonts w:ascii="Arial" w:eastAsia="Times New Roman" w:hAnsi="Arial" w:cs="Arial"/>
          <w:sz w:val="24"/>
          <w:szCs w:val="24"/>
        </w:rPr>
        <w:t>Polysucrose</w:t>
      </w:r>
      <w:proofErr w:type="spellEnd"/>
      <w:r w:rsidR="00B47CEC" w:rsidRPr="008C387C">
        <w:rPr>
          <w:rFonts w:ascii="Arial" w:eastAsia="Times New Roman" w:hAnsi="Arial" w:cs="Arial"/>
          <w:sz w:val="24"/>
          <w:szCs w:val="24"/>
        </w:rPr>
        <w:t xml:space="preserve"> 400) (Fisher Scientific, 50-488-658)</w:t>
      </w:r>
    </w:p>
    <w:p w14:paraId="4AEF8101" w14:textId="77777777" w:rsidR="00357599" w:rsidRPr="004A2E41" w:rsidRDefault="00357599" w:rsidP="004A2E41">
      <w:pPr>
        <w:spacing w:line="480" w:lineRule="auto"/>
        <w:jc w:val="both"/>
        <w:rPr>
          <w:rFonts w:ascii="Arial" w:eastAsia="Times New Roman" w:hAnsi="Arial" w:cs="Arial"/>
          <w:sz w:val="24"/>
          <w:szCs w:val="24"/>
        </w:rPr>
      </w:pPr>
    </w:p>
    <w:p w14:paraId="055B1147" w14:textId="16046D8C" w:rsidR="00F00A6C" w:rsidRDefault="00F00A6C">
      <w:pPr>
        <w:rPr>
          <w:rFonts w:ascii="Arial" w:hAnsi="Arial" w:cs="Arial"/>
          <w:sz w:val="24"/>
          <w:szCs w:val="24"/>
        </w:rPr>
      </w:pPr>
      <w:r>
        <w:rPr>
          <w:rFonts w:ascii="Arial" w:hAnsi="Arial" w:cs="Arial"/>
          <w:sz w:val="24"/>
          <w:szCs w:val="24"/>
        </w:rPr>
        <w:br w:type="page"/>
      </w:r>
    </w:p>
    <w:p w14:paraId="11B28180" w14:textId="77777777" w:rsidR="004A2E41" w:rsidRDefault="004A2E41" w:rsidP="00721691">
      <w:pPr>
        <w:pStyle w:val="Heading2"/>
        <w:rPr>
          <w:rStyle w:val="Heading1Char"/>
          <w:rFonts w:cs="Arial"/>
          <w:b/>
          <w:bCs/>
          <w:szCs w:val="24"/>
        </w:rPr>
      </w:pPr>
      <w:bookmarkStart w:id="69" w:name="_Toc116832142"/>
      <w:bookmarkStart w:id="70" w:name="_Toc151032444"/>
      <w:r w:rsidRPr="000E442D">
        <w:lastRenderedPageBreak/>
        <w:t>M</w:t>
      </w:r>
      <w:r w:rsidRPr="000E442D">
        <w:rPr>
          <w:rStyle w:val="Heading1Char"/>
          <w:rFonts w:cs="Arial"/>
          <w:b/>
          <w:bCs/>
          <w:szCs w:val="24"/>
        </w:rPr>
        <w:t>ethods</w:t>
      </w:r>
      <w:bookmarkEnd w:id="69"/>
      <w:bookmarkEnd w:id="70"/>
    </w:p>
    <w:p w14:paraId="4CB28315" w14:textId="77777777" w:rsidR="00721691" w:rsidRPr="00721691" w:rsidRDefault="00721691" w:rsidP="00721691"/>
    <w:p w14:paraId="081EC187" w14:textId="77777777" w:rsidR="004A2E41" w:rsidRPr="004A2E41" w:rsidRDefault="004A2E41" w:rsidP="00721691">
      <w:pPr>
        <w:pStyle w:val="Heading3"/>
      </w:pPr>
      <w:bookmarkStart w:id="71" w:name="_Toc116832143"/>
      <w:bookmarkStart w:id="72" w:name="_Toc151032445"/>
      <w:r w:rsidRPr="004A2E41">
        <w:t>Gold Nanoparticle (AuNP) Synthesis and PEGylation</w:t>
      </w:r>
      <w:bookmarkEnd w:id="71"/>
      <w:bookmarkEnd w:id="72"/>
    </w:p>
    <w:p w14:paraId="1EF30A19" w14:textId="13EB8ED8" w:rsidR="004A2E41" w:rsidRPr="004A2E41" w:rsidRDefault="004A2E41" w:rsidP="004A2E41">
      <w:pPr>
        <w:spacing w:line="480" w:lineRule="auto"/>
        <w:jc w:val="both"/>
        <w:rPr>
          <w:rFonts w:ascii="Arial" w:eastAsia="Times New Roman" w:hAnsi="Arial" w:cs="Arial"/>
          <w:sz w:val="24"/>
          <w:szCs w:val="24"/>
        </w:rPr>
      </w:pPr>
      <w:r w:rsidRPr="004A2E41">
        <w:rPr>
          <w:rFonts w:ascii="Arial" w:eastAsia="Times New Roman" w:hAnsi="Arial" w:cs="Arial"/>
          <w:sz w:val="24"/>
          <w:szCs w:val="24"/>
        </w:rPr>
        <w:t>Fifty-five nm citrate-coated gold nanoparticles (AuNPs) were synthesized using previously reported methods.</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{"citationItems":[{"id":"ITEM-1","itemData":{"DOI":"10.1021/ja907069u","ISSN":"00027863","abstract":"(Graph Presented) Elucidating the impact of nanoparticle size and shape on biological systems is of fundamental importance to nanotoxicology and biomedicine. Currently, the ability to determine this is limited by the lack of a model nanoparticle system having a narrow size and shape distribution over the relevant size range (2-200 nm). Hydroquinone can be used to produce 50-200 nm gold nanoparticles that are relatively monodispersed in size with nearly spherical shapes. © 2009 American Chemical Society.","author":[{"dropping-particle":"","family":"Perrault","given":"Steven D.","non-dropping-particle":"","parse-names":false,"suffix":""},{"dropping-particle":"","family":"Chan","given":"Warren C.W.","non-dropping-particle":"","parse-names":false,"suffix":""}],"container-title":"Journal of the American Chemical Society","id":"ITEM-1","issue":"47","issued":{"date-parts":[["2009"]]},"page":"17042-17043","title":"Synthesis and surface modification of highly monodispersed, spherical gold nanoparticles of 50-200 nm","type":"article-journal","volume":"131"},"uris":["http://www.mendeley.com/documents/?uuid=cfddc67f-c431-427d-96dc-5f9c58cfd44f"]},{"id":"ITEM-2","itemData":{"DOI":"10.1021/acsanm.9b02541","ISSN":"25740970","abstract":"Nanoparticle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8C387C">
        <w:rPr>
          <w:rFonts w:ascii="Cambria Math" w:eastAsia="Times New Roman" w:hAnsi="Cambria Math" w:cs="Cambria Math"/>
          <w:sz w:val="24"/>
          <w:szCs w:val="24"/>
        </w:rPr>
        <w:instrText>∼</w:instrText>
      </w:r>
      <w:r w:rsidR="008C387C">
        <w:rPr>
          <w:rFonts w:ascii="Arial" w:eastAsia="Times New Roman" w:hAnsi="Arial" w:cs="Arial"/>
          <w:sz w:val="24"/>
          <w:szCs w:val="24"/>
        </w:rPr>
        <w:instrText>;30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nanomedicine.","author":[{"dropping-particle":"","family":"Lee","given":"Joanne C","non-dropping-particle":"","parse-names":false,"suffix":""},{"dropping-particle":"","family":"Donahue","given":"Nathan D","non-dropping-particle":"","parse-names":false,"suffix":""},{"dropping-particle":"","family":"Mao","given":"Angelina S","non-dropping-particle":"","parse-names":false,"suffix":""},{"dropping-particle":"","family":"Karim","given":"Amber","non-dropping-particle":"","parse-names":false,"suffix":""},{"dropping-particle":"","family":"Komarneni","given":"Mallikharjuna","non-dropping-particle":"","parse-names":false,"suffix":""},{"dropping-particle":"","family":"Thomas","given":"Emily E","non-dropping-particle":"","parse-names":false,"suffix":""},{"dropping-particle":"","family":"Francek","given":"Emmy R","non-dropping-particle":"","parse-names":false,"suffix":""},{"dropping-particle":"","family":"Yang","given":"Wen","non-dropping-particle":"","parse-names":false,"suffix":""},{"dropping-particle":"","family":"Wilhelm","given":"Stefan","non-dropping-particle":"","parse-names":false,"suffix":""}],"container-title":"ACS Applied Nano Materials","id":"ITEM-2","issued":{"date-parts":[["2020"]]},"title":"Exploring Maleimide-Based Nanoparticle Surface Engineering to Control Cellular Interactions","type":"article-journal"},"uris":["http://www.mendeley.com/documents/?uuid=c75908a1-fe3e-4789-b8a7-471d12f0984d"]}],"mendeley":{"formattedCitation":"&lt;sup&gt;154,298&lt;/sup&gt;","plainTextFormattedCitation":"154,298","previouslyFormattedCitation":"&lt;sup&gt;154,298&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154,298</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A 250-mL reaction flask and magnetic stir bar were cleaned using an aqua regia solution made from 37 % HCl and 70% HNO</w:t>
      </w:r>
      <w:r w:rsidRPr="004A2E41">
        <w:rPr>
          <w:rFonts w:ascii="Arial" w:eastAsia="Times New Roman" w:hAnsi="Arial" w:cs="Arial"/>
          <w:sz w:val="24"/>
          <w:szCs w:val="24"/>
          <w:vertAlign w:val="subscript"/>
        </w:rPr>
        <w:t>3</w:t>
      </w:r>
      <w:r w:rsidRPr="004A2E41">
        <w:rPr>
          <w:rFonts w:ascii="Arial" w:eastAsia="Times New Roman" w:hAnsi="Arial" w:cs="Arial"/>
          <w:sz w:val="24"/>
          <w:szCs w:val="24"/>
        </w:rPr>
        <w:t xml:space="preserve"> and in a 3:1 ratio (v/v) for 15 minutes and then thoroughly washed with deionized water. Next, 98.9 g of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(18.2 MΩ,) was added to the flask along with 1 mL of 30 mg/mL sodium citrate tribasic dihydrate and was brought to a boil on a hotplate set to 300°C and stirring at 200 rpm. One hundred µL of 250 mM of gold (III) chloride solution (HAuCl</w:t>
      </w:r>
      <w:r w:rsidRPr="004A2E41">
        <w:rPr>
          <w:rFonts w:ascii="Arial" w:eastAsia="Times New Roman" w:hAnsi="Arial" w:cs="Arial"/>
          <w:sz w:val="24"/>
          <w:szCs w:val="24"/>
          <w:vertAlign w:val="subscript"/>
        </w:rPr>
        <w:t>4</w:t>
      </w:r>
      <w:r w:rsidRPr="004A2E41">
        <w:rPr>
          <w:rFonts w:ascii="Arial" w:eastAsia="Times New Roman" w:hAnsi="Arial" w:cs="Arial"/>
          <w:sz w:val="24"/>
          <w:szCs w:val="24"/>
        </w:rPr>
        <w:t xml:space="preserve">) was added to the flask and stirring was increased to 400 rpm for 7 minutes to produce 14-nm AuNPs seeds. Flasks were then cooled and the hydrodynamic diameter and polydispersity index (PDI) of the AuNPs were measured using the Malvern </w:t>
      </w:r>
      <w:proofErr w:type="spellStart"/>
      <w:r w:rsidRPr="004A2E41">
        <w:rPr>
          <w:rFonts w:ascii="Arial" w:eastAsia="Times New Roman" w:hAnsi="Arial" w:cs="Arial"/>
          <w:sz w:val="24"/>
          <w:szCs w:val="24"/>
        </w:rPr>
        <w:t>Zetasizer</w:t>
      </w:r>
      <w:proofErr w:type="spellEnd"/>
      <w:r w:rsidRPr="004A2E41">
        <w:rPr>
          <w:rFonts w:ascii="Arial" w:eastAsia="Times New Roman" w:hAnsi="Arial" w:cs="Arial"/>
          <w:sz w:val="24"/>
          <w:szCs w:val="24"/>
        </w:rPr>
        <w:t xml:space="preserve"> Nano ZS dynamic light scattering (DLS). Gold nanoparticles with a polydispersity index (PDI) &gt;0.1 were discarded. The concentrations of the AuNPs were calculated using absorbance readings from an Agilent Cary 5000 UV-Vis-NIR (UV-Vis) spectrophotometer. </w:t>
      </w:r>
    </w:p>
    <w:p w14:paraId="6CD72171" w14:textId="38A1D1FB"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Subsequently, 55-nm AuNPs were synthesized via seed-mediated growth using the 14-nm AuNPs.</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{"citationItems":[{"id":"ITEM-1","itemData":{"DOI":"10.1007/s00216-020-02783-6","ISSN":"1618-2642","PMID":"32627086","abstract":"Biological interactions, toxicity, and environmental fate of engineered nanoparticles are affected by colloidal stability and aggregation. To assess nanoparticle aggregation, analytical methods are needed that allow quantification of individual nanoparticle aggregates. However, most techniques used for nanoparticle aggregation analysis are limited to ensemble measurements or require harsh sample preparation that may introduce artifacts. An ideal method would analyze aggregate size in situ with single-nanoparticle resolution. Here, we established and validated single-particle inductively coupled plasma mass spectrometry (SP-ICP-MS) as an unbiased high-throughput analytical technique to quantify nanoparticle size distributions and aggregation in situ. We induced nanoparticle aggregation by exposure to physiologically relevant saline conditions and applied SP-ICP-MS to quantify aggregate size and aggregation kinetics at the individual aggregate level. In situ SP-ICP-MS analysis revealed rational surface engineering principles for the preparation of colloidally stable nanoparticles. Our quantitative SP-ICP-MS technique is a platform technology to evaluate aggregation characteristics of various types of surface-engineered nanoparticles under physiologically relevant conditions. Potential widespread applications of this method may include the study of nanoparticle aggregation in environmental samples and the preparation of colloidally stable nanoparticle formulations for bioanalytical assays and nanomedicine. [Figure not available: see fulltext.]","author":[{"dropping-particle":"","family":"Donahue","given":"Nathan D","non-dropping-particle":"","parse-names":false,"suffix":""},{"dropping-particle":"","family":"Francek","given":"Emmy R","non-dropping-particle":"","parse-names":false,"suffix":""},{"dropping-particle":"","family":"Kiyotake","given":"Emi","non-dropping-particle":"","parse-names":false,"suffix":""},{"dropping-particle":"","family":"Thomas","given":"Emily E","non-dropping-particle":"","parse-names":false,"suffix":""},{"dropping-particle":"","family":"Yang","given":"Wen","non-dropping-particle":"","parse-names":false,"suffix":""},{"dropping-particle":"","family":"Wang","given":"Lin","non-dropping-particle":"","parse-names":false,"suffix":""},{"dropping-particle":"","family":"Detamore","given":"Michael S","non-dropping-particle":"","parse-names":false,"suffix":""},{"dropping-particle":"","family":"Wilhelm","given":"Stefan","non-dropping-particle":"","parse-names":false,"suffix":""}],"container-title":"Analytical and Bioanalytical Chemistry","id":"ITEM-1","issue":"22","issued":{"date-parts":[["2020","9","6"]]},"page":"5205-5216","publisher":"Analytical and Bioanalytical Chemistry","title":"Assessing nanoparticle colloidal stability with single-particle inductively coupled plasma mass spectrometry (SP-ICP-MS)","type":"article-journal","volume":"412"},"uris":["http://www.mendeley.com/documents/?uuid=0ee27649-fcab-4c1a-a9c4-1838728e1a34"]},{"id":"ITEM-2","itemData":{"DOI":"10.1021/acsanm.9b02541","ISSN":"25740970","abstract":"Nanoparticle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8C387C">
        <w:rPr>
          <w:rFonts w:ascii="Cambria Math" w:eastAsia="Times New Roman" w:hAnsi="Cambria Math" w:cs="Cambria Math"/>
          <w:sz w:val="24"/>
          <w:szCs w:val="24"/>
        </w:rPr>
        <w:instrText>∼</w:instrText>
      </w:r>
      <w:r w:rsidR="008C387C">
        <w:rPr>
          <w:rFonts w:ascii="Arial" w:eastAsia="Times New Roman" w:hAnsi="Arial" w:cs="Arial"/>
          <w:sz w:val="24"/>
          <w:szCs w:val="24"/>
        </w:rPr>
        <w:instrText>;30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nanomedicine.","author":[{"dropping-particle":"","family":"Lee","given":"Joanne C","non-dropping-particle":"","parse-names":false,"suffix":""},{"dropping-particle":"","family":"Donahue","given":"Nathan D","non-dropping-particle":"","parse-names":false,"suffix":""},{"dropping-particle":"","family":"Mao","given":"Angelina S","non-dropping-particle":"","parse-names":false,"suffix":""},{"dropping-particle":"","family":"Karim","given":"Amber","non-dropping-particle":"","parse-names":false,"suffix":""},{"dropping-particle":"","family":"Komarneni","given":"Mallikharjuna","non-dropping-particle":"","parse-names":false,"suffix":""},{"dropping-particle":"","family":"Thomas","given":"Emily E","non-dropping-particle":"","parse-names":false,"suffix":""},{"dropping-particle":"","family":"Francek","given":"Emmy R","non-dropping-particle":"","parse-names":false,"suffix":""},{"dropping-particle":"","family":"Yang","given":"Wen","non-dropping-particle":"","parse-names":false,"suffix":""},{"dropping-particle":"","family":"Wilhelm","given":"Stefan","non-dropping-particle":"","parse-names":false,"suffix":""}],"container-title":"ACS Applied Nano Materials","id":"ITEM-2","issued":{"date-parts":[["2020"]]},"title":"Exploring Maleimide-Based Nanoparticle Surface Engineering to Control Cellular Interactions","type":"article-journal"},"uris":["http://www.mendeley.com/documents/?uuid=c75908a1-fe3e-4789-b8a7-471d12f0984d"]}],"mendeley":{"formattedCitation":"&lt;sup&gt;154,180&lt;/sup&gt;","plainTextFormattedCitation":"154,180","previouslyFormattedCitation":"&lt;sup&gt;154,180&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154,180</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In short, 95.63 mL of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0.986 mL of 25-mM HAuCl4, 0.986 mL of 15-mM sodium citrate tribasic, 1.41 mL of 2.5-nM of 14-nm AuNPs, and 0.986 mL of 25-mM hydroquinone were added to a clean flask at room temperature (RT) and stirred at 400 rpm overnight. The DLS and UV-</w:t>
      </w:r>
      <w:proofErr w:type="gramStart"/>
      <w:r w:rsidRPr="004A2E41">
        <w:rPr>
          <w:rFonts w:ascii="Arial" w:eastAsia="Times New Roman" w:hAnsi="Arial" w:cs="Arial"/>
          <w:sz w:val="24"/>
          <w:szCs w:val="24"/>
        </w:rPr>
        <w:t>Vis</w:t>
      </w:r>
      <w:proofErr w:type="gramEnd"/>
      <w:r w:rsidRPr="004A2E41">
        <w:rPr>
          <w:rFonts w:ascii="Arial" w:eastAsia="Times New Roman" w:hAnsi="Arial" w:cs="Arial"/>
          <w:sz w:val="24"/>
          <w:szCs w:val="24"/>
        </w:rPr>
        <w:t xml:space="preserve"> spectrophotometry measurements were taken, and then 1 mL of 10% (v/v) Tween 20 was added to the flask and stirred. The AuNPs were then concentrated by centrifugation at 2,000 xg (RCF, relative centrifugal force) for 2 hours at 4°C. The supernatants were removed, and the nanoparticles were </w:t>
      </w:r>
      <w:r w:rsidRPr="004A2E41">
        <w:rPr>
          <w:rFonts w:ascii="Arial" w:eastAsia="Times New Roman" w:hAnsi="Arial" w:cs="Arial"/>
          <w:sz w:val="24"/>
          <w:szCs w:val="24"/>
        </w:rPr>
        <w:lastRenderedPageBreak/>
        <w:t>resuspended in a solution of 0.01% (v/v) Tween 20 and 0.01% (w/v) sodium citrate tribasic dihydrate (Tween-citrate) and were then centrifuged at 2,000 xg for 30 minutes at 4°C and resuspended in Tween-citrate three times. The citrate-coated AuNPs were coated with 10-kDa MW methoxy-polyethylene glycol-OPSS (mPEG-OPSS) to surface area saturation for 30 minutes at RT. Surface saturation was defined as the point of increasing PEG molecules/nm</w:t>
      </w:r>
      <w:r w:rsidRPr="004A2E41">
        <w:rPr>
          <w:rFonts w:ascii="Arial" w:eastAsia="Times New Roman" w:hAnsi="Arial" w:cs="Arial"/>
          <w:sz w:val="24"/>
          <w:szCs w:val="24"/>
          <w:vertAlign w:val="superscript"/>
        </w:rPr>
        <w:t>2</w:t>
      </w:r>
      <w:r w:rsidRPr="004A2E41">
        <w:rPr>
          <w:rFonts w:ascii="Arial" w:eastAsia="Times New Roman" w:hAnsi="Arial" w:cs="Arial"/>
          <w:sz w:val="24"/>
          <w:szCs w:val="24"/>
        </w:rPr>
        <w:t xml:space="preserve"> of AuNP surface area at which the increase of the hydrodynamic diameter of the AuNPs plateaus, as measured by DLS.</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{"citationItems":[{"id":"ITEM-1","itemData":{"DOI":"10.1021/acsanm.9b02541","ISSN":"25740970","abstract":"Nanoparticle cellular interactions are governed by nanoparticle surface chemistry and the surface display of functional (bio)molecules. To conjugate and display thiol-containing (bio)molecules on nanoparticle surfaces, reactions between thiols and functional maleimide groups are often exploited. However, current procedures for modifying nanoparticle surfaces with maleimide groups are complex and can result in nanoparticle aggregation. Here, we demonstrate a straightforward, fast (</w:instrText>
      </w:r>
      <w:r w:rsidR="008C387C">
        <w:rPr>
          <w:rFonts w:ascii="Cambria Math" w:eastAsia="Times New Roman" w:hAnsi="Cambria Math" w:cs="Cambria Math"/>
          <w:sz w:val="24"/>
          <w:szCs w:val="24"/>
        </w:rPr>
        <w:instrText>∼</w:instrText>
      </w:r>
      <w:r w:rsidR="008C387C">
        <w:rPr>
          <w:rFonts w:ascii="Arial" w:eastAsia="Times New Roman" w:hAnsi="Arial" w:cs="Arial"/>
          <w:sz w:val="24"/>
          <w:szCs w:val="24"/>
        </w:rPr>
        <w:instrText>;30 min), efficient, and robust one-step surface engineering protocol for modifying gold nanoparticles with functional maleimide groups. We designed a hetero-bifunctional poly(ethylene glycol)-based molecule that attaches efficiently to the gold nanoparticle surface in a single step via its orthopyridyl disulfide (OPSS) terminal end, leaving its maleimide functional group available for downstream reaction with thiols. Using this surface engineering approach, we fabricated gold nanoparticles with near neutral and positive surface charges, respectively. We demonstrate that nanoparticle cellular uptake efficiencies in model mouse breast cancer (4T1) cells, human breast cancer (MDA-MB-231) cells, and human umbilical vein endothelial (HUVEC) cells in tissue culture can be tuned by up to 3 orders of magnitude by adjusting nanoparticle surface chemistry. Our straightforward and efficient maleimide-based nanoparticle surface engineering protocol creates a platform technology for controlled covalent surface attachment of a variety of thiol-containing (bio)molecules to nanoparticles for rational design of nanomaterials with precise cellular interactions for widespread applications in bioanalysis and nanomedicine.","author":[{"dropping-particle":"","family":"Lee","given":"Joanne C","non-dropping-particle":"","parse-names":false,"suffix":""},{"dropping-particle":"","family":"Donahue","given":"Nathan D","non-dropping-particle":"","parse-names":false,"suffix":""},{"dropping-particle":"","family":"Mao","given":"Angelina S","non-dropping-particle":"","parse-names":false,"suffix":""},{"dropping-particle":"","family":"Karim","given":"Amber","non-dropping-particle":"","parse-names":false,"suffix":""},{"dropping-particle":"","family":"Komarneni","given":"Mallikharjuna","non-dropping-particle":"","parse-names":false,"suffix":""},{"dropping-particle":"","family":"Thomas","given":"Emily E","non-dropping-particle":"","parse-names":false,"suffix":""},{"dropping-particle":"","family":"Francek","given":"Emmy R","non-dropping-particle":"","parse-names":false,"suffix":""},{"dropping-particle":"","family":"Yang","given":"Wen","non-dropping-particle":"","parse-names":false,"suffix":""},{"dropping-particle":"","family":"Wilhelm","given":"Stefan","non-dropping-particle":"","parse-names":false,"suffix":""}],"container-title":"ACS Applied Nano Materials","id":"ITEM-1","issued":{"date-parts":[["2020"]]},"title":"Exploring Maleimide-Based Nanoparticle Surface Engineering to Control Cellular Interactions","type":"article-journal"},"uris":["http://www.mendeley.com/documents/?uuid=c75908a1-fe3e-4789-b8a7-471d12f0984d"]}],"mendeley":{"formattedCitation":"&lt;sup&gt;154&lt;/sup&gt;","plainTextFormattedCitation":"154","previouslyFormattedCitation":"&lt;sup&gt;154&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154</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Excess PEG was removed by centrifugation at 2,200 xg for 30 minutes at 4°C and resuspended in 0.05% (v/v) Tween 20 in PBS three times. </w:t>
      </w:r>
    </w:p>
    <w:p w14:paraId="142AED61" w14:textId="3B9BE0F2"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To synthesize Cy5-PEG, first a solution of 100 mg/mL 5-kDa amine-PEG-thiol (NH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-PEG-SH) in 0.1 M of sodium bicarbonate was oxidized in 0.5 molar equivalents of sodium tetrathionate for 1 hour, as described by Dai et al.</w:t>
      </w:r>
      <w:r w:rsidRPr="004A2E41">
        <w:rPr>
          <w:rFonts w:ascii="Arial" w:eastAsia="Times New Roman" w:hAnsi="Arial" w:cs="Arial"/>
          <w:sz w:val="24"/>
          <w:szCs w:val="24"/>
        </w:rPr>
        <w:fldChar w:fldCharType="begin" w:fldLock="1"/>
      </w:r>
      <w:r w:rsidR="00B006C2">
        <w:rPr>
          <w:rFonts w:ascii="Arial" w:eastAsia="Times New Roman" w:hAnsi="Arial" w:cs="Arial"/>
          <w:sz w:val="24"/>
          <w:szCs w:val="24"/>
        </w:rPr>
        <w:instrText>ADDIN CSL_CITATION {"citationItems":[{"id":"ITEM-1","itemData":{"DOI":"10.1021/acsnano.8b03900","ISSN":"1936086X","abstract":"Coating the nanoparticle surface with cancer cell recognizing ligands is expected to facilitate specific delivery of nanoparticles to diseased cells in vivo. While this targeting strategy is appealing, no nanoparticle-based active targeting formulation for solid tumor treatment had made it past phase III clinical trials. Here, we quantified the cancer cell-targeting efficiencies of Trastuzumab (Herceptin) and folic acid coated gold and silica nanoparticles in multiple mouse tumor models. Surprisingly, we showed that less than 14 out of 1 million (0.0014% injected dose) intravenously administrated nanoparticles were delivered to targeted cancer cells, and that only 2 out of 100 cancer cells interacted with the nanoparticles. The majority of the intratumoral nanoparticles were either trapped in the extracellular matrix or taken up by perivascular tumor associated macrophages. The low cancer cell targeting efficiency and significant uptake by noncancer cells suggest the need to re-evaluate the active targeting process and therapeutic mechanisms using quantitative methods. This will be important for developing strategies to deliver emerging therapeutics such as genome editing, nucleic acid therapy, and immunotherapy for cancer treatment using nanocarriers.","author":[{"dropping-particle":"","family":"Dai","given":"Qin","non-dropping-particle":"","parse-names":false,"suffix":""},{"dropping-particle":"","family":"Wilhelm","given":"Stefan","non-dropping-particle":"","parse-names":false,"suffix":""},{"dropping-particle":"","family":"Ding","given":"Ding","non-dropping-particle":"","parse-names":false,"suffix":""},{"dropping-particle":"","family":"Syed","given":"Abdullah Muhammad","non-dropping-particle":"","parse-names":false,"suffix":""},{"dropping-particle":"","family":"Sindhwani","given":"Shrey","non-dropping-particle":"","parse-names":false,"suffix":""},{"dropping-particle":"","family":"Zhang","given":"Yuwei","non-dropping-particle":"","parse-names":false,"suffix":""},{"dropping-particle":"","family":"Chen","given":"Yih Yang","non-dropping-particle":"","parse-names":false,"suffix":""},{"dropping-particle":"","family":"Macmillan","given":"Presley","non-dropping-particle":"","parse-names":false,"suffix":""},{"dropping-particle":"","family":"Chan","given":"Warren C.W.","non-dropping-particle":"","parse-names":false,"suffix":""}],"container-title":"ACS Nano","id":"ITEM-1","issue":"8","issued":{"date-parts":[["2018"]]},"page":"8423-8435","title":"Quantifying the Ligand-Coated Nanoparticle Delivery to Cancer Cells in Solid Tumors","type":"article-journal","volume":"12"},"uris":["http://www.mendeley.com/documents/?uuid=47f65992-134a-451f-bfbe-26867c4b078b"]}],"mendeley":{"formattedCitation":"&lt;sup&gt;36&lt;/sup&gt;","plainTextFormattedCitation":"36","previouslyFormattedCitation":"&lt;sup&gt;36&lt;/sup&gt;"},"properties":{"noteIndex":0},"schema":"https://github.com/citation-style-language/schema/raw/master/csl-citation.json"}</w:instrText>
      </w:r>
      <w:r w:rsidRPr="004A2E41">
        <w:rPr>
          <w:rFonts w:ascii="Arial" w:eastAsia="Times New Roman" w:hAnsi="Arial" w:cs="Arial"/>
          <w:sz w:val="24"/>
          <w:szCs w:val="24"/>
        </w:rPr>
        <w:fldChar w:fldCharType="separate"/>
      </w:r>
      <w:r w:rsidR="00B006C2" w:rsidRPr="00B006C2">
        <w:rPr>
          <w:rFonts w:ascii="Arial" w:eastAsia="Times New Roman" w:hAnsi="Arial" w:cs="Arial"/>
          <w:noProof/>
          <w:sz w:val="24"/>
          <w:szCs w:val="24"/>
          <w:vertAlign w:val="superscript"/>
        </w:rPr>
        <w:t>36</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The solution was dialyzed with a Pierce </w:t>
      </w:r>
      <w:proofErr w:type="spellStart"/>
      <w:r w:rsidRPr="004A2E41">
        <w:rPr>
          <w:rFonts w:ascii="Arial" w:eastAsia="Times New Roman" w:hAnsi="Arial" w:cs="Arial"/>
          <w:sz w:val="24"/>
          <w:szCs w:val="24"/>
        </w:rPr>
        <w:t>Minidialysis</w:t>
      </w:r>
      <w:proofErr w:type="spellEnd"/>
      <w:r w:rsidRPr="004A2E41">
        <w:rPr>
          <w:rFonts w:ascii="Arial" w:eastAsia="Times New Roman" w:hAnsi="Arial" w:cs="Arial"/>
          <w:sz w:val="24"/>
          <w:szCs w:val="24"/>
        </w:rPr>
        <w:t xml:space="preserve"> unit with a molecular weight cutoff of 3.5 kDa for 1 hour with gentle stirring on a stir plate at RT. The pH of the solution was then adjusted to 8.0 using sodium bicarbonate, and 0.5 mg of Cy5-NHS ester was added to solution and vortexed for 3 hours. DTT (100 molar equivalents) was added to the solution and incubated for 1 hour. The solution was passed through a NAP-25 column equilibrated with 0.1 M sodium bicarbonate (pH 8.0), and excess dye was removed using a 3.5-kDa molecular weight (</w:t>
      </w:r>
      <w:proofErr w:type="spellStart"/>
      <w:r w:rsidRPr="004A2E41">
        <w:rPr>
          <w:rFonts w:ascii="Arial" w:eastAsia="Times New Roman" w:hAnsi="Arial" w:cs="Arial"/>
          <w:sz w:val="24"/>
          <w:szCs w:val="24"/>
        </w:rPr>
        <w:t>mW</w:t>
      </w:r>
      <w:proofErr w:type="spellEnd"/>
      <w:r w:rsidRPr="004A2E41">
        <w:rPr>
          <w:rFonts w:ascii="Arial" w:eastAsia="Times New Roman" w:hAnsi="Arial" w:cs="Arial"/>
          <w:sz w:val="24"/>
          <w:szCs w:val="24"/>
        </w:rPr>
        <w:t>) dialysis membrane overnight at 4°C against deionized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Cy5-AuNPs were formed by coating Cy5-PEG onto the 55-nm citrate-coated AuNPs at a density of 0.5 Cy5-PEG/ nm</w:t>
      </w:r>
      <w:r w:rsidRPr="004A2E41">
        <w:rPr>
          <w:rFonts w:ascii="Arial" w:eastAsia="Times New Roman" w:hAnsi="Arial" w:cs="Arial"/>
          <w:sz w:val="24"/>
          <w:szCs w:val="24"/>
          <w:vertAlign w:val="superscript"/>
        </w:rPr>
        <w:t xml:space="preserve">2 </w:t>
      </w:r>
      <w:r w:rsidRPr="004A2E41">
        <w:rPr>
          <w:rFonts w:ascii="Arial" w:eastAsia="Times New Roman" w:hAnsi="Arial" w:cs="Arial"/>
          <w:sz w:val="24"/>
          <w:szCs w:val="24"/>
        </w:rPr>
        <w:t xml:space="preserve">of NP surface area for 30 minutes, with centrifugations to remove excess PEG as previously described. The Cy5-AuNPs were then coated to surface area saturation </w:t>
      </w:r>
      <w:r w:rsidRPr="004A2E41">
        <w:rPr>
          <w:rFonts w:ascii="Arial" w:eastAsia="Times New Roman" w:hAnsi="Arial" w:cs="Arial"/>
          <w:sz w:val="24"/>
          <w:szCs w:val="24"/>
        </w:rPr>
        <w:lastRenderedPageBreak/>
        <w:t xml:space="preserve">with 10-kDa mPEG-OPSS similarly to the citrate-coated AuNPs. Fluorescence emission spectra were measured using a Horiba PTI </w:t>
      </w:r>
      <w:proofErr w:type="spellStart"/>
      <w:r w:rsidRPr="004A2E41">
        <w:rPr>
          <w:rFonts w:ascii="Arial" w:eastAsia="Times New Roman" w:hAnsi="Arial" w:cs="Arial"/>
          <w:sz w:val="24"/>
          <w:szCs w:val="24"/>
        </w:rPr>
        <w:t>Quantamaster</w:t>
      </w:r>
      <w:proofErr w:type="spellEnd"/>
      <w:r w:rsidRPr="004A2E41">
        <w:rPr>
          <w:rFonts w:ascii="Arial" w:eastAsia="Times New Roman" w:hAnsi="Arial" w:cs="Arial"/>
          <w:sz w:val="24"/>
          <w:szCs w:val="24"/>
        </w:rPr>
        <w:t xml:space="preserve"> Spectrofluorometer.  </w:t>
      </w:r>
    </w:p>
    <w:p w14:paraId="4DE1697F" w14:textId="735D802E"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 xml:space="preserve">Heparosan-coated 55-nm gold nanoparticles (HEP-AuNPs) were synthesized through a pH reduction method as described by Yang </w:t>
      </w:r>
      <w:r w:rsidRPr="004A2E41">
        <w:rPr>
          <w:rFonts w:ascii="Arial" w:eastAsia="Times New Roman" w:hAnsi="Arial" w:cs="Arial"/>
          <w:i/>
          <w:iCs/>
          <w:sz w:val="24"/>
          <w:szCs w:val="24"/>
        </w:rPr>
        <w:t>et al</w:t>
      </w:r>
      <w:r w:rsidRPr="004A2E41">
        <w:rPr>
          <w:rFonts w:ascii="Arial" w:eastAsia="Times New Roman" w:hAnsi="Arial" w:cs="Arial"/>
          <w:sz w:val="24"/>
          <w:szCs w:val="24"/>
        </w:rPr>
        <w:t>.</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id":"ITEM-2","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Letters","id":"ITEM-2","issued":{"date-parts":[["2022","9","1"]]},"title":"Controlling Nanoparticle Uptake in Innate Immune Cells with Heparosan Polysaccharides","type":"article-journal"},"uris":["http://www.mendeley.com/documents/?uuid=61b07701-018f-44b3-aaaa-a732980c0276"]}],"mendeley":{"formattedCitation":"&lt;sup&gt;300,301&lt;/sup&gt;","plainTextFormattedCitation":"300,301","previouslyFormattedCitation":"&lt;sup&gt;300,301&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300,301</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Briefly, 13-kDa HEP-OPSS was mixed with dilute HCl solution with a pH of 3.0. The solution was then mixed with citrate-coated AuNPs and was incubated at room temperature (RT) for 5 minutes. Saline was then added to the solution to a final concentration of 0.3 M and was incubated at RT for 20 minutes. More NaCl was then added to the solution to a final concentration to 0.7 M. Excess HEP and NaCl were removed by centrifugation at 2,300 xg for 30 minutes at 4°C and resuspension in 0.05% (v/v) Tween 20 in PBS thrice.</w:t>
      </w:r>
    </w:p>
    <w:p w14:paraId="5B98FD02" w14:textId="77777777" w:rsid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Bovine serum albumin-coated 55-nm gold nanoparticles (BSA-AuNPs) were made through a direct incubation of the Tween 20 and citrate-coated AuNPs in a 10-mg/mL solution of BSA in 1X PBS for 1 hour at 37</w:t>
      </w:r>
      <w:bookmarkStart w:id="73" w:name="_Hlk113373203"/>
      <w:r w:rsidRPr="004A2E41">
        <w:rPr>
          <w:rFonts w:ascii="Arial" w:eastAsia="Times New Roman" w:hAnsi="Arial" w:cs="Arial"/>
          <w:sz w:val="24"/>
          <w:szCs w:val="24"/>
        </w:rPr>
        <w:t>°</w:t>
      </w:r>
      <w:bookmarkEnd w:id="73"/>
      <w:r w:rsidRPr="004A2E41">
        <w:rPr>
          <w:rFonts w:ascii="Arial" w:eastAsia="Times New Roman" w:hAnsi="Arial" w:cs="Arial"/>
          <w:sz w:val="24"/>
          <w:szCs w:val="24"/>
        </w:rPr>
        <w:t xml:space="preserve">C. Excess BSA was removed by centrifugation at 2,300 xg for 30 minutes with pellet resuspension in 1X PBS thrice. </w:t>
      </w:r>
    </w:p>
    <w:p w14:paraId="5B0DF0A5" w14:textId="77777777" w:rsidR="00FD7228" w:rsidRPr="004A2E41" w:rsidRDefault="00FD7228" w:rsidP="004A2E41">
      <w:pPr>
        <w:spacing w:line="480" w:lineRule="auto"/>
        <w:ind w:firstLine="360"/>
        <w:jc w:val="both"/>
        <w:rPr>
          <w:rFonts w:ascii="Arial" w:eastAsia="Times New Roman" w:hAnsi="Arial" w:cs="Arial"/>
          <w:sz w:val="24"/>
          <w:szCs w:val="24"/>
        </w:rPr>
      </w:pPr>
    </w:p>
    <w:p w14:paraId="233BDAF0" w14:textId="2A37EF85" w:rsidR="00C557E6" w:rsidRPr="008C387C" w:rsidRDefault="00C557E6" w:rsidP="00721691">
      <w:pPr>
        <w:pStyle w:val="Heading3"/>
      </w:pPr>
      <w:bookmarkStart w:id="74" w:name="_Toc151032446"/>
      <w:r w:rsidRPr="008C387C">
        <w:t>Liposome Synthesis</w:t>
      </w:r>
      <w:bookmarkEnd w:id="74"/>
    </w:p>
    <w:p w14:paraId="13353217" w14:textId="2A781ADC" w:rsidR="007A1547" w:rsidRDefault="00C557E6" w:rsidP="007A1547">
      <w:pPr>
        <w:spacing w:line="480" w:lineRule="auto"/>
        <w:ind w:firstLine="720"/>
        <w:jc w:val="both"/>
        <w:rPr>
          <w:rFonts w:ascii="Arial" w:hAnsi="Arial" w:cs="Arial"/>
          <w:sz w:val="24"/>
          <w:szCs w:val="24"/>
        </w:rPr>
      </w:pPr>
      <w:r w:rsidRPr="008C387C">
        <w:rPr>
          <w:rFonts w:ascii="Arial" w:eastAsia="Times New Roman" w:hAnsi="Arial" w:cs="Arial"/>
          <w:sz w:val="24"/>
          <w:szCs w:val="24"/>
        </w:rPr>
        <w:t xml:space="preserve">A commercially available Ender3 3D printer was </w:t>
      </w:r>
      <w:r w:rsidR="00343A6C" w:rsidRPr="008C387C">
        <w:rPr>
          <w:rFonts w:ascii="Arial" w:eastAsia="Times New Roman" w:hAnsi="Arial" w:cs="Arial"/>
          <w:sz w:val="24"/>
          <w:szCs w:val="24"/>
        </w:rPr>
        <w:t xml:space="preserve">converted into three individual syringe pumps based on instructions described by </w:t>
      </w:r>
      <w:proofErr w:type="spellStart"/>
      <w:r w:rsidR="00343A6C" w:rsidRPr="008C387C">
        <w:rPr>
          <w:rFonts w:ascii="Arial" w:eastAsia="Times New Roman" w:hAnsi="Arial" w:cs="Arial"/>
          <w:sz w:val="24"/>
          <w:szCs w:val="24"/>
        </w:rPr>
        <w:t>Saggiomo</w:t>
      </w:r>
      <w:proofErr w:type="spellEnd"/>
      <w:r w:rsidR="00343A6C" w:rsidRPr="008C387C">
        <w:rPr>
          <w:rFonts w:ascii="Arial" w:eastAsia="Times New Roman" w:hAnsi="Arial" w:cs="Arial"/>
          <w:sz w:val="24"/>
          <w:szCs w:val="24"/>
        </w:rPr>
        <w:t xml:space="preserve"> </w:t>
      </w:r>
      <w:r w:rsidR="00343A6C" w:rsidRPr="008C387C">
        <w:rPr>
          <w:rFonts w:ascii="Arial" w:eastAsia="Times New Roman" w:hAnsi="Arial" w:cs="Arial"/>
          <w:i/>
          <w:iCs/>
          <w:sz w:val="24"/>
          <w:szCs w:val="24"/>
        </w:rPr>
        <w:t>et al</w:t>
      </w:r>
      <w:r w:rsidR="00343A6C" w:rsidRPr="008C387C">
        <w:rPr>
          <w:rFonts w:ascii="Arial" w:eastAsia="Times New Roman" w:hAnsi="Arial" w:cs="Arial"/>
          <w:sz w:val="24"/>
          <w:szCs w:val="24"/>
        </w:rPr>
        <w:t>.</w:t>
      </w:r>
      <w:r w:rsidR="00343A6C" w:rsidRPr="008C387C">
        <w:rPr>
          <w:rFonts w:ascii="Arial" w:eastAsia="Times New Roman" w:hAnsi="Arial" w:cs="Arial"/>
          <w:sz w:val="24"/>
          <w:szCs w:val="24"/>
        </w:rPr>
        <w:fldChar w:fldCharType="begin" w:fldLock="1"/>
      </w:r>
      <w:r w:rsidR="00E26DE5">
        <w:rPr>
          <w:rFonts w:ascii="Arial" w:eastAsia="Times New Roman" w:hAnsi="Arial" w:cs="Arial"/>
          <w:sz w:val="24"/>
          <w:szCs w:val="24"/>
        </w:rPr>
        <w:instrText xml:space="preserve">ADDIN CSL_CITATION {"citationItems":[{"id":"ITEM-1","itemData":{"DOI":"10.1016/j.ohx.2021.e00219","ISSN":"24680672","abstract":"A cheap, open source 3D printer (Creality Ender 3) is transformed into an Open Hardware, programmable syringe pump set. Only 3 parts need to be purchased outside of the printer kit. All other parts are either in the Ender 3 kit, or can be 3D printed. No prior knowledge in electronics or programming languages is required. The pumps are controlled by the 3D printer firmware and motherboard and programmed in simple G-code text files. The total cost of a three pumps setup is </w:instrText>
      </w:r>
      <w:r w:rsidR="00E26DE5">
        <w:rPr>
          <w:rFonts w:ascii="Cambria Math" w:eastAsia="Times New Roman" w:hAnsi="Cambria Math" w:cs="Cambria Math"/>
          <w:sz w:val="24"/>
          <w:szCs w:val="24"/>
        </w:rPr>
        <w:instrText>∼</w:instrText>
      </w:r>
      <w:r w:rsidR="00E26DE5">
        <w:rPr>
          <w:rFonts w:ascii="Arial" w:eastAsia="Times New Roman" w:hAnsi="Arial" w:cs="Arial"/>
          <w:sz w:val="24"/>
          <w:szCs w:val="24"/>
        </w:rPr>
        <w:instrText>€170. The pumps are capable of reaching stable flows down to 5 µL/min using cheap, disposable 10 mL syringes. Higher flow speeds are also achievable, in the order of mL/min.","author":[{"dropping-particle":"","family":"Baas","given":"Sander","non-dropping-particle":"","parse-names":false,"suffix":""},{"dropping-particle":"","family":"Saggiomo","given":"Vittorio","non-dropping-particle":"","parse-names":false,"suffix":""}],"container-title":"HardwareX","id":"ITEM-1","issued":{"date-parts":[["2021","10"]]},"page":"e00219","publisher":"The Author(s)","title":"Ender3 3D printer kit transformed into open, programmable syringe pump set","type":"article-journal","volume":"10"},"uris":["http://www.mendeley.com/documents/?uuid=ab00b19d-77f0-4305-a727-cbea9ba76e0c"]}],"mendeley":{"formattedCitation":"&lt;sup&gt;335&lt;/sup&gt;","plainTextFormattedCitation":"335","previouslyFormattedCitation":"&lt;sup&gt;335&lt;/sup&gt;"},"properties":{"noteIndex":0},"schema":"https://github.com/citation-style-language/schema/raw/master/csl-citation.json"}</w:instrText>
      </w:r>
      <w:r w:rsidR="00343A6C" w:rsidRPr="008C387C">
        <w:rPr>
          <w:rFonts w:ascii="Arial" w:eastAsia="Times New Roman" w:hAnsi="Arial" w:cs="Arial"/>
          <w:sz w:val="24"/>
          <w:szCs w:val="24"/>
        </w:rPr>
        <w:fldChar w:fldCharType="separate"/>
      </w:r>
      <w:r w:rsidR="008D4DC0" w:rsidRPr="008D4DC0">
        <w:rPr>
          <w:rFonts w:ascii="Arial" w:eastAsia="Times New Roman" w:hAnsi="Arial" w:cs="Arial"/>
          <w:noProof/>
          <w:sz w:val="24"/>
          <w:szCs w:val="24"/>
          <w:vertAlign w:val="superscript"/>
        </w:rPr>
        <w:t>335</w:t>
      </w:r>
      <w:r w:rsidR="00343A6C" w:rsidRPr="008C387C">
        <w:rPr>
          <w:rFonts w:ascii="Arial" w:eastAsia="Times New Roman" w:hAnsi="Arial" w:cs="Arial"/>
          <w:sz w:val="24"/>
          <w:szCs w:val="24"/>
        </w:rPr>
        <w:fldChar w:fldCharType="end"/>
      </w:r>
      <w:r w:rsidR="00343A6C" w:rsidRPr="008C387C">
        <w:rPr>
          <w:rFonts w:ascii="Arial" w:eastAsia="Times New Roman" w:hAnsi="Arial" w:cs="Arial"/>
          <w:sz w:val="24"/>
          <w:szCs w:val="24"/>
        </w:rPr>
        <w:t xml:space="preserve"> Organic components </w:t>
      </w:r>
      <w:r w:rsidR="000D0846" w:rsidRPr="008C387C">
        <w:rPr>
          <w:rFonts w:ascii="Arial" w:eastAsia="Times New Roman" w:hAnsi="Arial" w:cs="Arial"/>
          <w:sz w:val="24"/>
          <w:szCs w:val="24"/>
        </w:rPr>
        <w:t xml:space="preserve">(lipids and 0.044 mg/mL DiO as necessary) </w:t>
      </w:r>
      <w:r w:rsidR="00343A6C" w:rsidRPr="008C387C">
        <w:rPr>
          <w:rFonts w:ascii="Arial" w:eastAsia="Times New Roman" w:hAnsi="Arial" w:cs="Arial"/>
          <w:sz w:val="24"/>
          <w:szCs w:val="24"/>
        </w:rPr>
        <w:t xml:space="preserve">dissolved in 100% ethanol were filled in a 1 mL syringe while </w:t>
      </w:r>
      <w:r w:rsidR="000D0846" w:rsidRPr="008C387C">
        <w:rPr>
          <w:rFonts w:ascii="Arial" w:eastAsia="Times New Roman" w:hAnsi="Arial" w:cs="Arial"/>
          <w:sz w:val="24"/>
          <w:szCs w:val="24"/>
        </w:rPr>
        <w:t xml:space="preserve">32 mg of </w:t>
      </w:r>
      <w:r w:rsidR="00343A6C" w:rsidRPr="008C387C">
        <w:rPr>
          <w:rFonts w:ascii="Arial" w:eastAsia="Times New Roman" w:hAnsi="Arial" w:cs="Arial"/>
          <w:sz w:val="24"/>
          <w:szCs w:val="24"/>
        </w:rPr>
        <w:t xml:space="preserve">10 kDa dextran-AF488 in 1X PBS at 7 times the volume of the organic components </w:t>
      </w:r>
      <w:r w:rsidR="000D0846" w:rsidRPr="008C387C">
        <w:rPr>
          <w:rFonts w:ascii="Arial" w:eastAsia="Times New Roman" w:hAnsi="Arial" w:cs="Arial"/>
          <w:sz w:val="24"/>
          <w:szCs w:val="24"/>
        </w:rPr>
        <w:t xml:space="preserve">was filled in a 10 mL syringe. These syringes were connected to a T-mixer by PEEK </w:t>
      </w:r>
      <w:r w:rsidR="002E258B" w:rsidRPr="008C387C">
        <w:rPr>
          <w:rFonts w:ascii="Arial" w:eastAsia="Times New Roman" w:hAnsi="Arial" w:cs="Arial"/>
          <w:sz w:val="24"/>
          <w:szCs w:val="24"/>
        </w:rPr>
        <w:t>tubing and were pushed by the syringe pumps at a flow rate ratio of 7 (</w:t>
      </w:r>
      <w:r w:rsidR="002E258B" w:rsidRPr="008C387C">
        <w:rPr>
          <w:rFonts w:ascii="Arial" w:hAnsi="Arial" w:cs="Arial"/>
          <w:sz w:val="24"/>
          <w:szCs w:val="24"/>
        </w:rPr>
        <w:t xml:space="preserve">aqueous: organic). </w:t>
      </w:r>
      <w:r w:rsidR="002E4074" w:rsidRPr="008C387C">
        <w:rPr>
          <w:rFonts w:ascii="Arial" w:hAnsi="Arial" w:cs="Arial"/>
          <w:sz w:val="24"/>
          <w:szCs w:val="24"/>
        </w:rPr>
        <w:t xml:space="preserve">Liposomes that were made with Ptd thioethanol were </w:t>
      </w:r>
      <w:r w:rsidR="002E4074" w:rsidRPr="008C387C">
        <w:rPr>
          <w:rFonts w:ascii="Arial" w:hAnsi="Arial" w:cs="Arial"/>
          <w:sz w:val="24"/>
          <w:szCs w:val="24"/>
        </w:rPr>
        <w:lastRenderedPageBreak/>
        <w:t xml:space="preserve">HEPylated by mixing with HEP-OPSS at a 1:1 molar ratio of Ptd thioethanol to HEP-OPSS for 2 hours on a tube rotator. </w:t>
      </w:r>
      <w:r w:rsidR="007A1547" w:rsidRPr="008C387C">
        <w:rPr>
          <w:rFonts w:ascii="Arial" w:hAnsi="Arial" w:cs="Arial"/>
          <w:sz w:val="24"/>
          <w:szCs w:val="24"/>
        </w:rPr>
        <w:t xml:space="preserve">If necessary, dialysis was accomplished by filling the liposome solutions in 12-14 kDa dialysis </w:t>
      </w:r>
      <w:proofErr w:type="gramStart"/>
      <w:r w:rsidR="007A1547" w:rsidRPr="008C387C">
        <w:rPr>
          <w:rFonts w:ascii="Arial" w:hAnsi="Arial" w:cs="Arial"/>
          <w:sz w:val="24"/>
          <w:szCs w:val="24"/>
        </w:rPr>
        <w:t>membranes, and</w:t>
      </w:r>
      <w:proofErr w:type="gramEnd"/>
      <w:r w:rsidR="007A1547" w:rsidRPr="008C387C">
        <w:rPr>
          <w:rFonts w:ascii="Arial" w:hAnsi="Arial" w:cs="Arial"/>
          <w:sz w:val="24"/>
          <w:szCs w:val="24"/>
        </w:rPr>
        <w:t xml:space="preserve"> placed in a chilled beaker filled with 1X PBS </w:t>
      </w:r>
      <w:r w:rsidR="002E4074" w:rsidRPr="008C387C">
        <w:rPr>
          <w:rFonts w:ascii="Arial" w:hAnsi="Arial" w:cs="Arial"/>
          <w:sz w:val="24"/>
          <w:szCs w:val="24"/>
        </w:rPr>
        <w:t>while</w:t>
      </w:r>
      <w:r w:rsidR="007A1547" w:rsidRPr="008C387C">
        <w:rPr>
          <w:rFonts w:ascii="Arial" w:hAnsi="Arial" w:cs="Arial"/>
          <w:sz w:val="24"/>
          <w:szCs w:val="24"/>
        </w:rPr>
        <w:t xml:space="preserve"> stirring overnight. </w:t>
      </w:r>
      <w:r w:rsidR="002E258B" w:rsidRPr="008C387C">
        <w:rPr>
          <w:rFonts w:ascii="Arial" w:hAnsi="Arial" w:cs="Arial"/>
          <w:sz w:val="24"/>
          <w:szCs w:val="24"/>
        </w:rPr>
        <w:t xml:space="preserve">Amicon centrifugal filters (100 kDa nominal molecular weight limit) that were pre-wet with 0.1% (w/v) BSA in 1X PBS by centrifuging at 1500 xg for 15 minutes at 4 C. </w:t>
      </w:r>
      <w:r w:rsidR="007A1547" w:rsidRPr="008C387C">
        <w:rPr>
          <w:rFonts w:ascii="Arial" w:hAnsi="Arial" w:cs="Arial"/>
          <w:sz w:val="24"/>
          <w:szCs w:val="24"/>
        </w:rPr>
        <w:t>To remove unencapsulated dextran, l</w:t>
      </w:r>
      <w:r w:rsidR="002E258B" w:rsidRPr="008C387C">
        <w:rPr>
          <w:rFonts w:ascii="Arial" w:hAnsi="Arial" w:cs="Arial"/>
          <w:sz w:val="24"/>
          <w:szCs w:val="24"/>
        </w:rPr>
        <w:t xml:space="preserve">iposomes were </w:t>
      </w:r>
      <w:r w:rsidR="007A1547" w:rsidRPr="008C387C">
        <w:rPr>
          <w:rFonts w:ascii="Arial" w:hAnsi="Arial" w:cs="Arial"/>
          <w:sz w:val="24"/>
          <w:szCs w:val="24"/>
        </w:rPr>
        <w:t>washed in BSA coated Amicon centrifugal filters at 3000 xg for 30 minutes and resuspended in 1X PBS repeatedly until the total volume reduction factor was &gt;1000X.</w:t>
      </w:r>
      <w:r w:rsidR="007A1547">
        <w:rPr>
          <w:rFonts w:ascii="Arial" w:hAnsi="Arial" w:cs="Arial"/>
          <w:sz w:val="24"/>
          <w:szCs w:val="24"/>
        </w:rPr>
        <w:t xml:space="preserve">  </w:t>
      </w:r>
    </w:p>
    <w:p w14:paraId="66CCBE68" w14:textId="77777777" w:rsidR="00FD7228" w:rsidRPr="007A1547" w:rsidRDefault="00FD7228" w:rsidP="007A1547">
      <w:pPr>
        <w:spacing w:line="480" w:lineRule="auto"/>
        <w:ind w:firstLine="720"/>
        <w:jc w:val="both"/>
        <w:rPr>
          <w:rFonts w:ascii="Arial" w:hAnsi="Arial" w:cs="Arial"/>
          <w:sz w:val="24"/>
          <w:szCs w:val="24"/>
        </w:rPr>
      </w:pPr>
    </w:p>
    <w:p w14:paraId="071295B5" w14:textId="77777777" w:rsidR="004A2E41" w:rsidRPr="004A2E41" w:rsidRDefault="004A2E41" w:rsidP="00721691">
      <w:pPr>
        <w:pStyle w:val="Heading3"/>
      </w:pPr>
      <w:bookmarkStart w:id="75" w:name="_Toc116832144"/>
      <w:bookmarkStart w:id="76" w:name="_Toc151032447"/>
      <w:r w:rsidRPr="004A2E41">
        <w:t>Cell Culture</w:t>
      </w:r>
      <w:bookmarkEnd w:id="75"/>
      <w:bookmarkEnd w:id="76"/>
    </w:p>
    <w:p w14:paraId="6F060383" w14:textId="043B706D" w:rsidR="004A2E41" w:rsidRPr="004A2E41" w:rsidRDefault="004A2E41" w:rsidP="004A2E41">
      <w:pPr>
        <w:spacing w:line="480" w:lineRule="auto"/>
        <w:jc w:val="both"/>
        <w:rPr>
          <w:rFonts w:ascii="Arial" w:eastAsia="Times New Roman" w:hAnsi="Arial" w:cs="Arial"/>
          <w:sz w:val="24"/>
          <w:szCs w:val="24"/>
        </w:rPr>
      </w:pPr>
      <w:r w:rsidRPr="004A2E41">
        <w:rPr>
          <w:rFonts w:ascii="Arial" w:eastAsia="Times New Roman" w:hAnsi="Arial" w:cs="Arial"/>
          <w:sz w:val="24"/>
          <w:szCs w:val="24"/>
        </w:rPr>
        <w:t xml:space="preserve">The 4T1 cells and RAW 264.7 macrophages were grown in culture media consisting of DMEM </w:t>
      </w:r>
      <w:bookmarkStart w:id="77" w:name="_Hlk110080053"/>
      <w:r w:rsidRPr="004A2E41">
        <w:rPr>
          <w:rFonts w:ascii="Arial" w:eastAsia="Times New Roman" w:hAnsi="Arial" w:cs="Arial"/>
          <w:sz w:val="24"/>
          <w:szCs w:val="24"/>
        </w:rPr>
        <w:t xml:space="preserve">supplemented with 10% FBS and 1% penicillin/streptomycin. The DC 2.4 cells were grown in RPMI 1640 supplemented with 10% FBS and 1% penicillin/streptomycin. During passages, </w:t>
      </w:r>
      <w:bookmarkEnd w:id="77"/>
      <w:r w:rsidRPr="004A2E41">
        <w:rPr>
          <w:rFonts w:ascii="Arial" w:eastAsia="Times New Roman" w:hAnsi="Arial" w:cs="Arial"/>
          <w:sz w:val="24"/>
          <w:szCs w:val="24"/>
        </w:rPr>
        <w:t>0.25% trypsin-EDTA was used to detach 4T1 and DC 2.4 cells from culture flasks, while cell scrapers were used for the RAW 264.7 cells. Prior to plating cells, 18-mm glass coverslips were cleaned using piranha solution (3:1 (v/v) 95% sulfuric acid: 30% hydrogen peroxide) for 15 minutes before being washed with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O three times, placed in 12-well plates, and sterilized by UV light in a biosafety hood for 10 minutes. The coverslips were then incubated in 2-mg/mL gelatin for 2 hours and washed with 1X PBS three times. Cells in complete culture media were plated on to the coverslips in 12-well culture plates at a density of 30,000 cells/well and were allowed to adhere overnight. </w:t>
      </w:r>
      <w:bookmarkStart w:id="78" w:name="_Hlk129732530"/>
      <w:r w:rsidRPr="004A2E41">
        <w:rPr>
          <w:rFonts w:ascii="Arial" w:eastAsia="Times New Roman" w:hAnsi="Arial" w:cs="Arial"/>
          <w:sz w:val="24"/>
          <w:szCs w:val="24"/>
        </w:rPr>
        <w:t xml:space="preserve">All AuNP incubations with cells were at a concentration of 200 </w:t>
      </w:r>
      <w:proofErr w:type="spellStart"/>
      <w:r w:rsidRPr="004A2E41">
        <w:rPr>
          <w:rFonts w:ascii="Arial" w:eastAsia="Times New Roman" w:hAnsi="Arial" w:cs="Arial"/>
          <w:sz w:val="24"/>
          <w:szCs w:val="24"/>
        </w:rPr>
        <w:t>pM</w:t>
      </w:r>
      <w:proofErr w:type="spellEnd"/>
      <w:r w:rsidRPr="004A2E41">
        <w:rPr>
          <w:rFonts w:ascii="Arial" w:eastAsia="Times New Roman" w:hAnsi="Arial" w:cs="Arial"/>
          <w:sz w:val="24"/>
          <w:szCs w:val="24"/>
        </w:rPr>
        <w:t xml:space="preserve"> AuNP in culture media for 24 hours in 4T1 cells and 3 hours in DC 2.4 cells and RAW 264.7 </w:t>
      </w:r>
      <w:r w:rsidRPr="004A2E41">
        <w:rPr>
          <w:rFonts w:ascii="Arial" w:eastAsia="Times New Roman" w:hAnsi="Arial" w:cs="Arial"/>
          <w:sz w:val="24"/>
          <w:szCs w:val="24"/>
        </w:rPr>
        <w:lastRenderedPageBreak/>
        <w:t>macrophages, based on previously published work with these conditions.</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id":"ITEM-2","itemData":{"DOI":"10.1021/acs.nanolett.2c02226","ISSN":"1530-6984","author":[{"dropping-particle":"","family":"Yang","given":"Wen","non-dropping-particle":"","parse-names":false,"suffix":""},{"dropping-particle":"","family":"Frickenstein","given":"Alex N","non-dropping-particle":"","parse-names":false,"suffix":""},{"dropping-particle":"","family":"Sheth","given":"Vinit","non-dropping-particle":"","parse-names":false,"suffix":""},{"dropping-particle":"","family":"Holden","given":"Alyssa","non-dropping-particle":"","parse-names":false,"suffix":""},{"dropping-particle":"","family":"Mettenbrink","given":"Evan M","non-dropping-particle":"","parse-names":false,"suffix":""},{"dropping-particle":"","family":"Wang","given":"Lin","non-dropping-particle":"","parse-names":false,"suffix":""},{"dropping-particle":"","family":"Woodward","given":"Alexis A","non-dropping-particle":"","parse-names":false,"suffix":""},{"dropping-particle":"","family":"Joo","given":"Bryan S","non-dropping-particle":"","parse-names":false,"suffix":""},{"dropping-particle":"","family":"Butterfield","given":"Sarah K","non-dropping-particle":"","parse-names":false,"suffix":""},{"dropping-particle":"","family":"Donahue","given":"Nathan D","non-dropping-particle":"","parse-names":false,"suffix":""},{"dropping-particle":"","family":"Green","given":"Dixy E","non-dropping-particle":"","parse-names":false,"suffix":""},{"dropping-particle":"","family":"Thomas","given":"Abigail G","non-dropping-particle":"","parse-names":false,"suffix":""},{"dropping-particle":"","family":"Harcourt","given":"Tekena","non-dropping-particle":"","parse-names":false,"suffix":""},{"dropping-particle":"","family":"Young","given":"Hamilton","non-dropping-particle":"","parse-names":false,"suffix":""},{"dropping-particle":"","family":"Tang","given":"Mulan","non-dropping-particle":"","parse-names":false,"suffix":""},{"dropping-particle":"","family":"Malik","given":"Zain A","non-dropping-particle":"","parse-names":false,"suffix":""},{"dropping-particle":"","family":"Harrison","given":"Roger G","non-dropping-particle":"","parse-names":false,"suffix":""},{"dropping-particle":"","family":"Mukherjee","given":"Priyabrata","non-dropping-particle":"","parse-names":false,"suffix":""},{"dropping-particle":"","family":"DeAngelis","given":"Paul L.","non-dropping-particle":"","parse-names":false,"suffix":""},{"dropping-particle":"","family":"Wilhelm","given":"Stefan","non-dropping-particle":"","parse-names":false,"suffix":""}],"container-title":"Nano Letters","id":"ITEM-2","issued":{"date-parts":[["2022","9","1"]]},"title":"Controlling Nanoparticle Uptake in Innate Immune Cells with Heparosan Polysaccharides","type":"article-journal"},"uris":["http://www.mendeley.com/documents/?uuid=61b07701-018f-44b3-aaaa-a732980c0276"]}],"mendeley":{"formattedCitation":"&lt;sup&gt;300,301&lt;/sup&gt;","plainTextFormattedCitation":"300,301","previouslyFormattedCitation":"&lt;sup&gt;300,301&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300,301</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All </w:t>
      </w:r>
      <w:proofErr w:type="spellStart"/>
      <w:r w:rsidRPr="004A2E41">
        <w:rPr>
          <w:rFonts w:ascii="Arial" w:eastAsia="Times New Roman" w:hAnsi="Arial" w:cs="Arial"/>
          <w:sz w:val="24"/>
          <w:szCs w:val="24"/>
        </w:rPr>
        <w:t>AgNP</w:t>
      </w:r>
      <w:proofErr w:type="spellEnd"/>
      <w:r w:rsidRPr="004A2E41">
        <w:rPr>
          <w:rFonts w:ascii="Arial" w:eastAsia="Times New Roman" w:hAnsi="Arial" w:cs="Arial"/>
          <w:sz w:val="24"/>
          <w:szCs w:val="24"/>
        </w:rPr>
        <w:t xml:space="preserve"> incubations with RAW 264.7 macrophages were at 1:10 dilutions from the purchased stock concentrations in cell culture media for 24 hours, which would approximately be </w:t>
      </w:r>
      <w:r w:rsidRPr="008C387C">
        <w:rPr>
          <w:rFonts w:ascii="Arial" w:eastAsia="Times New Roman" w:hAnsi="Arial" w:cs="Arial"/>
          <w:sz w:val="24"/>
          <w:szCs w:val="24"/>
        </w:rPr>
        <w:t xml:space="preserve">28.4 </w:t>
      </w:r>
      <w:proofErr w:type="spellStart"/>
      <w:r w:rsidRPr="008C387C">
        <w:rPr>
          <w:rFonts w:ascii="Arial" w:eastAsia="Times New Roman" w:hAnsi="Arial" w:cs="Arial"/>
          <w:sz w:val="24"/>
          <w:szCs w:val="24"/>
        </w:rPr>
        <w:t>pM</w:t>
      </w:r>
      <w:proofErr w:type="spellEnd"/>
      <w:r w:rsidRPr="008C387C">
        <w:rPr>
          <w:rFonts w:ascii="Arial" w:eastAsia="Times New Roman" w:hAnsi="Arial" w:cs="Arial"/>
          <w:sz w:val="24"/>
          <w:szCs w:val="24"/>
        </w:rPr>
        <w:t xml:space="preserve"> for the 40-nm Strep-AgNPs and 8.4 </w:t>
      </w:r>
      <w:proofErr w:type="spellStart"/>
      <w:r w:rsidRPr="008C387C">
        <w:rPr>
          <w:rFonts w:ascii="Arial" w:eastAsia="Times New Roman" w:hAnsi="Arial" w:cs="Arial"/>
          <w:sz w:val="24"/>
          <w:szCs w:val="24"/>
        </w:rPr>
        <w:t>pM</w:t>
      </w:r>
      <w:proofErr w:type="spellEnd"/>
      <w:r w:rsidRPr="008C387C">
        <w:rPr>
          <w:rFonts w:ascii="Arial" w:eastAsia="Times New Roman" w:hAnsi="Arial" w:cs="Arial"/>
          <w:sz w:val="24"/>
          <w:szCs w:val="24"/>
        </w:rPr>
        <w:t xml:space="preserve"> for the 60-nm Strep-AgNPs. </w:t>
      </w:r>
      <w:bookmarkEnd w:id="78"/>
      <w:r w:rsidR="002E4074" w:rsidRPr="008C387C">
        <w:rPr>
          <w:rFonts w:ascii="Arial" w:eastAsia="Times New Roman" w:hAnsi="Arial" w:cs="Arial"/>
          <w:sz w:val="24"/>
          <w:szCs w:val="24"/>
        </w:rPr>
        <w:t xml:space="preserve">Doxoves incubations in RAW 264.7 macrophages were done at a drug concentration of 100 µg/mL </w:t>
      </w:r>
      <w:r w:rsidR="00FD7228" w:rsidRPr="008C387C">
        <w:rPr>
          <w:rFonts w:ascii="Arial" w:eastAsia="Times New Roman" w:hAnsi="Arial" w:cs="Arial"/>
          <w:sz w:val="24"/>
          <w:szCs w:val="24"/>
        </w:rPr>
        <w:t xml:space="preserve">in complete DMEM </w:t>
      </w:r>
      <w:r w:rsidR="002E4074" w:rsidRPr="008C387C">
        <w:rPr>
          <w:rFonts w:ascii="Arial" w:eastAsia="Times New Roman" w:hAnsi="Arial" w:cs="Arial"/>
          <w:sz w:val="24"/>
          <w:szCs w:val="24"/>
        </w:rPr>
        <w:t xml:space="preserve">for 3 or </w:t>
      </w:r>
      <w:r w:rsidR="00FD7228" w:rsidRPr="008C387C">
        <w:rPr>
          <w:rFonts w:ascii="Arial" w:eastAsia="Times New Roman" w:hAnsi="Arial" w:cs="Arial"/>
          <w:sz w:val="24"/>
          <w:szCs w:val="24"/>
        </w:rPr>
        <w:t>12</w:t>
      </w:r>
      <w:r w:rsidR="002E4074" w:rsidRPr="008C387C">
        <w:rPr>
          <w:rFonts w:ascii="Arial" w:eastAsia="Times New Roman" w:hAnsi="Arial" w:cs="Arial"/>
          <w:sz w:val="24"/>
          <w:szCs w:val="24"/>
        </w:rPr>
        <w:t xml:space="preserve"> hours.</w:t>
      </w:r>
      <w:r w:rsidR="00FD7228" w:rsidRPr="008C387C">
        <w:rPr>
          <w:rFonts w:ascii="Arial" w:eastAsia="Times New Roman" w:hAnsi="Arial" w:cs="Arial"/>
          <w:sz w:val="24"/>
          <w:szCs w:val="24"/>
        </w:rPr>
        <w:t xml:space="preserve"> All other liposomes were first concentrated 4X with Amicon centrifugal filters and diluted 1:10 in complete DMEM before being incubated with RAW 264.7 cells for 3 or 24 hours. </w:t>
      </w:r>
      <w:r w:rsidRPr="008C387C">
        <w:rPr>
          <w:rFonts w:ascii="Arial" w:eastAsia="Times New Roman" w:hAnsi="Arial" w:cs="Arial"/>
          <w:sz w:val="24"/>
          <w:szCs w:val="24"/>
        </w:rPr>
        <w:t xml:space="preserve">Following the </w:t>
      </w:r>
      <w:r w:rsidR="00FD7228" w:rsidRPr="008C387C">
        <w:rPr>
          <w:rFonts w:ascii="Arial" w:eastAsia="Times New Roman" w:hAnsi="Arial" w:cs="Arial"/>
          <w:sz w:val="24"/>
          <w:szCs w:val="24"/>
        </w:rPr>
        <w:t>incubations</w:t>
      </w:r>
      <w:r w:rsidRPr="008C387C">
        <w:rPr>
          <w:rFonts w:ascii="Arial" w:eastAsia="Times New Roman" w:hAnsi="Arial" w:cs="Arial"/>
          <w:sz w:val="24"/>
          <w:szCs w:val="24"/>
        </w:rPr>
        <w:t>, the cells were washed with 1X PBS thrice before fixation and further processing.</w:t>
      </w:r>
    </w:p>
    <w:p w14:paraId="54C1B2B9" w14:textId="77777777" w:rsidR="004A2E41" w:rsidRPr="004A2E41" w:rsidRDefault="004A2E41" w:rsidP="004A2E41">
      <w:pPr>
        <w:spacing w:line="480" w:lineRule="auto"/>
        <w:jc w:val="both"/>
        <w:rPr>
          <w:rFonts w:ascii="Arial" w:eastAsia="Times New Roman" w:hAnsi="Arial" w:cs="Arial"/>
          <w:sz w:val="24"/>
          <w:szCs w:val="24"/>
        </w:rPr>
      </w:pPr>
    </w:p>
    <w:p w14:paraId="25F2400C" w14:textId="77777777" w:rsidR="004A2E41" w:rsidRPr="004A2E41" w:rsidRDefault="004A2E41" w:rsidP="00721691">
      <w:pPr>
        <w:pStyle w:val="Heading3"/>
      </w:pPr>
      <w:bookmarkStart w:id="79" w:name="_Toc116832145"/>
      <w:bookmarkStart w:id="80" w:name="_Toc151032448"/>
      <w:r w:rsidRPr="004A2E41">
        <w:t>Cell Expansion</w:t>
      </w:r>
      <w:bookmarkEnd w:id="79"/>
      <w:bookmarkEnd w:id="80"/>
    </w:p>
    <w:p w14:paraId="598FC1DB" w14:textId="754D71DF" w:rsidR="004A2E41" w:rsidRPr="004A2E41" w:rsidRDefault="004A2E41" w:rsidP="004A2E41">
      <w:pPr>
        <w:spacing w:line="480" w:lineRule="auto"/>
        <w:jc w:val="both"/>
        <w:rPr>
          <w:rFonts w:ascii="Arial" w:eastAsia="Times New Roman" w:hAnsi="Arial" w:cs="Arial"/>
          <w:sz w:val="24"/>
          <w:szCs w:val="24"/>
        </w:rPr>
      </w:pPr>
      <w:r w:rsidRPr="004A2E41">
        <w:rPr>
          <w:rFonts w:ascii="Arial" w:eastAsia="Times New Roman" w:hAnsi="Arial" w:cs="Arial"/>
          <w:sz w:val="24"/>
          <w:szCs w:val="24"/>
        </w:rPr>
        <w:t xml:space="preserve">Four X expansion was performed based on the proExM protocol described by Boyden </w:t>
      </w:r>
      <w:r w:rsidRPr="004A2E41">
        <w:rPr>
          <w:rFonts w:ascii="Arial" w:eastAsia="Times New Roman" w:hAnsi="Arial" w:cs="Arial"/>
          <w:i/>
          <w:iCs/>
          <w:sz w:val="24"/>
          <w:szCs w:val="24"/>
        </w:rPr>
        <w:t>et al</w:t>
      </w:r>
      <w:r w:rsidRPr="004A2E41">
        <w:rPr>
          <w:rFonts w:ascii="Arial" w:eastAsia="Times New Roman" w:hAnsi="Arial" w:cs="Arial"/>
          <w:sz w:val="24"/>
          <w:szCs w:val="24"/>
        </w:rPr>
        <w:t>.</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 xml:space="preserve">ADDIN CSL_CITATION {"citationItems":[{"id":"ITEM-1","itemData":{"DOI":"10.1002/cpcb.56","ISSN":"19342616","abstract":"Expansion microscopy (ExM) is a recently developed technique that enables nanoscale-resolution imaging of preserved cells and tissues on conventional diffraction-limited microscopes via isotropic physical expansion of the specimens before imaging. In ExM, biomolecules and/or fluorescent labels in the specimen are linked to a dense, expandable polymer matrix synthesized evenly throughout the specimen, which undergoes 3-dimensional expansion by </w:instrText>
      </w:r>
      <w:r w:rsidR="008C387C">
        <w:rPr>
          <w:rFonts w:ascii="Cambria Math" w:eastAsia="Times New Roman" w:hAnsi="Cambria Math" w:cs="Cambria Math"/>
          <w:sz w:val="24"/>
          <w:szCs w:val="24"/>
        </w:rPr>
        <w:instrText>∼</w:instrText>
      </w:r>
      <w:r w:rsidR="008C387C">
        <w:rPr>
          <w:rFonts w:ascii="Arial" w:eastAsia="Times New Roman" w:hAnsi="Arial" w:cs="Arial"/>
          <w:sz w:val="24"/>
          <w:szCs w:val="24"/>
        </w:rPr>
        <w:instrText>4.5 fold linearly when immersed in water. Since our first report, versions of ExM optimized for visualization of proteins, RNA, and other biomolecules have emerged. Here we describe best-practice, step-by-step ExM protocols for performing analysis of proteins (protein retention ExM, or proExM) as well as RNAs (expansion fluorescence in situ hybridization, or ExFISH), using chemicals and hardware found in a typical biology lab. Furthermore, a detailed protocol for handling and mounting expanded samples and for imaging them with confocal and light-sheet microscopes is provided. © 2018 by John Wiley &amp; Sons, Inc.","author":[{"dropping-particle":"","family":"Asano","given":"Shoh M.","non-dropping-particle":"","parse-names":false,"suffix":""},{"dropping-particle":"","family":"Gao","given":"Ruixuan","non-dropping-particle":"","parse-names":false,"suffix":""},{"dropping-particle":"","family":"Wassie","given":"Asmamaw T.","non-dropping-particle":"","parse-names":false,"suffix":""},{"dropping-particle":"","family":"Tillberg","given":"Paul W.","non-dropping-particle":"","parse-names":false,"suffix":""},{"dropping-particle":"","family":"Chen","given":"Fei","non-dropping-particle":"","parse-names":false,"suffix":""},{"dropping-particle":"","family":"Boyden","given":"Edward S.","non-dropping-particle":"","parse-names":false,"suffix":""}],"container-title":"Current Protocols in Cell Biology","id":"ITEM-1","issue":"1","issued":{"date-parts":[["2018"]]},"page":"1-41","title":"Expansion Microscopy: Protocols for Imaging Proteins and RNA in Cells and Tissues","type":"article-journal","volume":"80"},"uris":["http://www.mendeley.com/documents/?uuid=5b441f14-4fba-4b6e-91c8-060c0441e136"]}],"mendeley":{"formattedCitation":"&lt;sup&gt;294&lt;/sup&gt;","plainTextFormattedCitation":"294","previouslyFormattedCitation":"&lt;sup&gt;294&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294</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Briefly, cell samples grown on 18-mm glass coverslips were fixed with 4% PFA and permeabilized with 0.1% Triton X-100 before being incubated in 3% BSA for 10 minutes and stained with DAPI and WGA CF488A or NHS-AF555. Samples were treated with 100 µL of 0.1 mg/mL Acryloyl-X, SE on strips of parafilm in a humidified chamber for 6 hours. Polyacrylamide monomer solutions were made as 86 mg/mL sodium acrylate, 25 mg/mL acrylamide, 1.5 mg/mL N, Bis, and 117 mg/mL sodium chloride. Active gelation solutions were formed with 470 µL of monomer solution, 10 µL of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O, 10 µL of 10% APS, and 10 µL of TEMED. Immediately following the addition of the APS and TEMED, the active gelation solution was vortexed, and 200 µL of the solution was injected between the samples and a cover slip and was allowed to form a gel for 1 hour. The structural proteins in the cells were digested in 1 mL of a digestion buffer (50 mg/mL Triton X-100, </w:t>
      </w:r>
      <w:r w:rsidRPr="004A2E41">
        <w:rPr>
          <w:rFonts w:ascii="Arial" w:eastAsia="Times New Roman" w:hAnsi="Arial" w:cs="Arial"/>
          <w:sz w:val="24"/>
          <w:szCs w:val="24"/>
        </w:rPr>
        <w:lastRenderedPageBreak/>
        <w:t>1 mM EDTA, 50 mM Tris-Cl, 46.7 mg/mL sodium chloride, 8 U/mL proteinase K, pH adjusted to 8.0 with HCl) overnight in a humidified chamber at 55°C. The gels were placed in petri dishes and filled with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for expansion. The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O was aspirated out and replaced after 20 minutes 3-4 times to allow for full gel expansion. </w:t>
      </w:r>
    </w:p>
    <w:p w14:paraId="7B0CE2EB" w14:textId="2306FE24"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 xml:space="preserve">Pan-ExM was performed based on a protocol described by Bewersdorf </w:t>
      </w:r>
      <w:r w:rsidRPr="004A2E41">
        <w:rPr>
          <w:rFonts w:ascii="Arial" w:eastAsia="Times New Roman" w:hAnsi="Arial" w:cs="Arial"/>
          <w:i/>
          <w:iCs/>
          <w:sz w:val="24"/>
          <w:szCs w:val="24"/>
        </w:rPr>
        <w:t>et al</w:t>
      </w:r>
      <w:r w:rsidRPr="004A2E41">
        <w:rPr>
          <w:rFonts w:ascii="Arial" w:eastAsia="Times New Roman" w:hAnsi="Arial" w:cs="Arial"/>
          <w:sz w:val="24"/>
          <w:szCs w:val="24"/>
        </w:rPr>
        <w:t>.</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{"citationItems":[{"id":"ITEM-1","itemData":{"DOI":"10.1038/s41467-020-17523-8","ISSN":"2041-1723","abstract":"Resolving the distribution of specific proteins at the nanoscale in the structural context of the cell is a major challenge in fluorescence microscopy. Here we present a new concept that decrowds the intracellular space through 13 to 21-fold physical expansion while simultaneously retaining the proteins. This combination makes labeling of the proteome efficient enough that local protein densities are revealed and the cellular nanoarchitecture can be visualized by standard light microscopy.","author":[{"dropping-particle":"","family":"M’Saad","given":"Ons","non-dropping-particle":"","parse-names":false,"suffix":""},{"dropping-particle":"","family":"Bewersdorf","given":"Joerg","non-dropping-particle":"","parse-names":false,"suffix":""}],"container-title":"Nature Communications","id":"ITEM-1","issue":"1","issued":{"date-parts":[["2020","12","31"]]},"page":"3850","publisher":"Springer US","title":"Light microscopy of proteins in their ultrastructural context","type":"article-journal","volume":"11"},"uris":["http://www.mendeley.com/documents/?uuid=4a540ae9-cfd4-4c46-9883-3156d444641e"]}],"mendeley":{"formattedCitation":"&lt;sup&gt;280&lt;/sup&gt;","plainTextFormattedCitation":"280","previouslyFormattedCitation":"&lt;sup&gt;280&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280</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Cells were fixed with a solution of 3% PFA and 0.1% glutaraldehyde in 1X PBS for 15 minutes and then washed 3X with PBS. </w:t>
      </w:r>
      <w:bookmarkStart w:id="81" w:name="_Hlk147089918"/>
      <w:r w:rsidRPr="004A2E41">
        <w:rPr>
          <w:rFonts w:ascii="Arial" w:eastAsia="Times New Roman" w:hAnsi="Arial" w:cs="Arial"/>
          <w:sz w:val="24"/>
          <w:szCs w:val="24"/>
        </w:rPr>
        <w:t xml:space="preserve">The samples were quenched with 1 mg/mL sodium borohydride in PBS for 10 minutes and then 100 mM of glycine in 1X PBS for 20 minutes before being washed 3 times with PBS. </w:t>
      </w:r>
      <w:bookmarkEnd w:id="81"/>
      <w:r w:rsidRPr="004A2E41">
        <w:rPr>
          <w:rFonts w:ascii="Arial" w:eastAsia="Times New Roman" w:hAnsi="Arial" w:cs="Arial"/>
          <w:sz w:val="24"/>
          <w:szCs w:val="24"/>
        </w:rPr>
        <w:t>Samples were then incubated in a solution of 0.7% PFA and 0.1% acrylamide in 1X PBS for 6 hours at 37°C and then washed thrice with 1X PBS. Gel monomer solutions were prepared as 19% (w/v) sodium acrylate, 10% (w/v) acrylamide, and 0.1% (w/v) DHEBA in PBS. Activated gel solutions were prepared with 198 µL of monomer solution with 1 µL of 50% APS and 1 µL of 50% TEMED. 90 µL of active gel solution was injected between the samples and a cover slip, and were allowed to form a gel for 15 minutes at RT and then 1.5 hours at 37°C. Samples were then incubated in a digestion buffer made of 200 mM SDS, 200 mM NaCl, and 50 mM Tris in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(pH adjusted to 6.7 with HCl) for 15 minutes at RT and then for 1 hour at 37</w:t>
      </w:r>
      <w:bookmarkStart w:id="82" w:name="_Hlk129711305"/>
      <w:r w:rsidRPr="004A2E41">
        <w:rPr>
          <w:rFonts w:ascii="Arial" w:eastAsia="Times New Roman" w:hAnsi="Arial" w:cs="Arial"/>
          <w:sz w:val="24"/>
          <w:szCs w:val="24"/>
        </w:rPr>
        <w:t>°</w:t>
      </w:r>
      <w:bookmarkEnd w:id="82"/>
      <w:r w:rsidRPr="004A2E41">
        <w:rPr>
          <w:rFonts w:ascii="Arial" w:eastAsia="Times New Roman" w:hAnsi="Arial" w:cs="Arial"/>
          <w:sz w:val="24"/>
          <w:szCs w:val="24"/>
        </w:rPr>
        <w:t xml:space="preserve">C. A small portion of the gels were then expanded in a similar manner as the 4X gels. A portion of the expanded gels were then re-embedded in a neutral hydrogel, with a monomer solution consisting of 10% (w/v) acrylamide and 0.05% (w/v) DHEBA in 1X PBS. Activated gel solutions were made with 2,970 µL of monomer solution, 15 µL of 10% (w/v) APS, and 15 µL of 10% (v/v) TEMED, which the samples are incubated in at RT on an orbital shaker 3 times for 20 minutes each. The samples were then gently </w:t>
      </w:r>
      <w:r w:rsidRPr="004A2E41">
        <w:rPr>
          <w:rFonts w:ascii="Arial" w:eastAsia="Times New Roman" w:hAnsi="Arial" w:cs="Arial"/>
          <w:sz w:val="24"/>
          <w:szCs w:val="24"/>
        </w:rPr>
        <w:lastRenderedPageBreak/>
        <w:t xml:space="preserve">pressed with Kimwipe paper wipes to remove excess solution before being placed between a coverslip and glass slide and placed in a humified chamber. Oxygen was purged from the chamber and replaced with nitrogen, and the sample was incubated for 2 hours at 37°C. The samples were then incubated in a second gel solution, with a monomer solution consisting of 19% (w/v) sodium acrylate, 10% (w/v) acrylamide, and 0.1% (w/v) Bis in 1X PBS. Once again, activated gel solutions were made with 2,970 µL of monomer solution, 15 µL of 10% (w/v) APS, and 15 µL of 10% (v/v) TEMED, which the samples are incubated in on ice on an orbital shaker thrice for 15 minutes each. The steps following the neutral gel embedding until the second gel incubation are repeated for this gel. Following the 2-hour incubation in the nitrogen chamber, samples were incubated in a 200-mM NaOH solution for 1 hour and then washed with 1X PBS thrice for 30 minutes each. Samples were then stained with a 20 µg/mL solution of AF555Dye NHS ester in a 100-mM sodium bicarbonate solution for 1.5 hours on an orbital shaker and were then washed with 1X PBS at least three times for 20 minutes each until the gels were visibly clear. The samples were then expanded in a similar manner to the 4X gels. </w:t>
      </w:r>
    </w:p>
    <w:p w14:paraId="62D4F9A0" w14:textId="6061BA71" w:rsidR="00FC2DCF" w:rsidRPr="008C387C" w:rsidRDefault="00F00A6C" w:rsidP="002A0D1B">
      <w:pPr>
        <w:spacing w:line="480" w:lineRule="auto"/>
        <w:ind w:firstLine="360"/>
        <w:jc w:val="both"/>
        <w:rPr>
          <w:rFonts w:ascii="Arial" w:eastAsia="Times New Roman" w:hAnsi="Arial" w:cs="Arial"/>
          <w:sz w:val="24"/>
          <w:szCs w:val="24"/>
        </w:rPr>
      </w:pPr>
      <w:r w:rsidRPr="008C387C">
        <w:rPr>
          <w:rFonts w:ascii="Arial" w:eastAsia="Times New Roman" w:hAnsi="Arial" w:cs="Arial"/>
          <w:sz w:val="24"/>
          <w:szCs w:val="24"/>
        </w:rPr>
        <w:t xml:space="preserve">Magnify was performed based on a protocol described by Zhao </w:t>
      </w:r>
      <w:r w:rsidRPr="008C387C">
        <w:rPr>
          <w:rFonts w:ascii="Arial" w:eastAsia="Times New Roman" w:hAnsi="Arial" w:cs="Arial"/>
          <w:i/>
          <w:iCs/>
          <w:sz w:val="24"/>
          <w:szCs w:val="24"/>
        </w:rPr>
        <w:t>et al</w:t>
      </w:r>
      <w:r w:rsidRPr="008C387C">
        <w:rPr>
          <w:rFonts w:ascii="Arial" w:eastAsia="Times New Roman" w:hAnsi="Arial" w:cs="Arial"/>
          <w:sz w:val="24"/>
          <w:szCs w:val="24"/>
        </w:rPr>
        <w:t>.</w:t>
      </w:r>
      <w:r w:rsidRPr="008C387C">
        <w:rPr>
          <w:rFonts w:ascii="Arial" w:eastAsia="Times New Roman" w:hAnsi="Arial" w:cs="Arial"/>
          <w:sz w:val="24"/>
          <w:szCs w:val="24"/>
        </w:rPr>
        <w:fldChar w:fldCharType="begin" w:fldLock="1"/>
      </w:r>
      <w:r w:rsidR="00E26DE5">
        <w:rPr>
          <w:rFonts w:ascii="Arial" w:eastAsia="Times New Roman" w:hAnsi="Arial" w:cs="Arial"/>
          <w:sz w:val="24"/>
          <w:szCs w:val="24"/>
        </w:rPr>
        <w:instrText>ADDIN CSL_CITATION {"citationItems":[{"id":"ITEM-1","itemData":{"DOI":"10.1038/s41587-022-01546-1","ISSN":"15461696","abstract":"Expansion microscopy enables nanoimaging with conventional microscopes by physically and isotropically magnifying preserved biological specimens embedded in a crosslinked water-swellable hydrogel. Current expansion microscopy protocols require prior treatment with reactive anchoring chemicals to link specific labels and biomolecule classes to the gel. We describe a strategy called Magnify, which uses a mechanically sturdy gel that retains nucleic acids, proteins and lipids without the need for a separate anchoring step. Magnify expands biological specimens up to 11 times and facilitates imaging of cells and tissues with effectively around 25-nm resolution using a diffraction-limited objective lens of about 280 nm on conventional optical microscopes or with around 15 nm effective resolution if combined with super-resolution optical fluctuation imaging. We demonstrate Magnify on a broad range of biological specimens, providing insight into nanoscopic subcellular structures, including synaptic proteins from mouse brain, podocyte foot processes in formalin-fixed paraffin-embedded human kidney and defects in cilia and basal bodies in drug-treated human lung organoids.","author":[{"dropping-particle":"","family":"Klimas","given":"Aleksandra","non-dropping-particle":"","parse-names":false,"suffix":""},{"dropping-particle":"","family":"Gallagher","given":"Brendan R.","non-dropping-particle":"","parse-names":false,"suffix":""},{"dropping-particle":"","family":"Wijesekara","given":"Piyumi","non-dropping-particle":"","parse-names":false,"suffix":""},{"dropping-particle":"","family":"Fekir","given":"Sinda","non-dropping-particle":"","parse-names":false,"suffix":""},{"dropping-particle":"","family":"DiBernardo","given":"Emma F.","non-dropping-particle":"","parse-names":false,"suffix":""},{"dropping-particle":"","family":"Cheng","given":"Zhangyu","non-dropping-particle":"","parse-names":false,"suffix":""},{"dropping-particle":"","family":"Stolz","given":"Donna B.","non-dropping-particle":"","parse-names":false,"suffix":""},{"dropping-particle":"","family":"Cambi","given":"Franca","non-dropping-particle":"","parse-names":false,"suffix":""},{"dropping-particle":"","family":"Watkins","given":"Simon C.","non-dropping-particle":"","parse-names":false,"suffix":""},{"dropping-particle":"","family":"Brody","given":"Steven L.","non-dropping-particle":"","parse-names":false,"suffix":""},{"dropping-particle":"","family":"Horani","given":"Amjad","non-dropping-particle":"","parse-names":false,"suffix":""},{"dropping-particle":"","family":"Barth","given":"Alison L.","non-dropping-particle":"","parse-names":false,"suffix":""},{"dropping-particle":"","family":"Moore","given":"Christopher I.","non-dropping-particle":"","parse-names":false,"suffix":""},{"dropping-particle":"","family":"Ren","given":"Xi","non-dropping-particle":"","parse-names":false,"suffix":""},{"dropping-particle":"","family":"Zhao","given":"Yongxin","non-dropping-particle":"","parse-names":false,"suffix":""}],"container-title":"Nature Biotechnology","id":"ITEM-1","issued":{"date-parts":[["2023"]]},"publisher":"Springer US","title":"Magnify is a universal molecular anchoring strategy for expansion microscopy","type":"article-journal"},"uris":["http://www.mendeley.com/documents/?uuid=62267381-5794-4d06-9389-2b71ea248851"]}],"mendeley":{"formattedCitation":"&lt;sup&gt;325&lt;/sup&gt;","plainTextFormattedCitation":"325","previouslyFormattedCitation":"&lt;sup&gt;325&lt;/sup&gt;"},"properties":{"noteIndex":0},"schema":"https://github.com/citation-style-language/schema/raw/master/csl-citation.json"}</w:instrText>
      </w:r>
      <w:r w:rsidRPr="008C387C">
        <w:rPr>
          <w:rFonts w:ascii="Arial" w:eastAsia="Times New Roman" w:hAnsi="Arial" w:cs="Arial"/>
          <w:sz w:val="24"/>
          <w:szCs w:val="24"/>
        </w:rPr>
        <w:fldChar w:fldCharType="separate"/>
      </w:r>
      <w:r w:rsidR="008D4DC0" w:rsidRPr="008D4DC0">
        <w:rPr>
          <w:rFonts w:ascii="Arial" w:eastAsia="Times New Roman" w:hAnsi="Arial" w:cs="Arial"/>
          <w:noProof/>
          <w:sz w:val="24"/>
          <w:szCs w:val="24"/>
          <w:vertAlign w:val="superscript"/>
        </w:rPr>
        <w:t>325</w:t>
      </w:r>
      <w:r w:rsidRPr="008C387C">
        <w:rPr>
          <w:rFonts w:ascii="Arial" w:eastAsia="Times New Roman" w:hAnsi="Arial" w:cs="Arial"/>
          <w:sz w:val="24"/>
          <w:szCs w:val="24"/>
        </w:rPr>
        <w:fldChar w:fldCharType="end"/>
      </w:r>
      <w:r w:rsidRPr="008C387C">
        <w:rPr>
          <w:rFonts w:ascii="Arial" w:eastAsia="Times New Roman" w:hAnsi="Arial" w:cs="Arial"/>
          <w:sz w:val="24"/>
          <w:szCs w:val="24"/>
        </w:rPr>
        <w:t xml:space="preserve"> Cells were fixed with a solution of 3% PFA and 0.1% glutaraldehyde in 1X PBS for 15 minutes and then washed 3X with PBS.</w:t>
      </w:r>
      <w:r w:rsidR="00B75421" w:rsidRPr="008C387C">
        <w:rPr>
          <w:rFonts w:ascii="Arial" w:eastAsia="Times New Roman" w:hAnsi="Arial" w:cs="Arial"/>
          <w:sz w:val="24"/>
          <w:szCs w:val="24"/>
        </w:rPr>
        <w:t xml:space="preserve"> The samples were quenched with 1 mg/mL sodium borohydride in PBS for 10 minutes and then 100 mM of glycine in 1X PBS for 20 minutes before being washed 3 times with PBS. Gel monomer solutions were prepared as 34% (w/v) sodium acrylate, 10% (w/v) acrylamide, 4.16% (v/v) </w:t>
      </w:r>
      <w:r w:rsidR="00284494" w:rsidRPr="008C387C">
        <w:rPr>
          <w:rFonts w:ascii="Arial" w:eastAsia="Times New Roman" w:hAnsi="Arial" w:cs="Arial"/>
          <w:sz w:val="24"/>
          <w:szCs w:val="24"/>
        </w:rPr>
        <w:t xml:space="preserve">DMAA, 1% (w/v) sodium chloride, </w:t>
      </w:r>
      <w:r w:rsidR="00B75421" w:rsidRPr="008C387C">
        <w:rPr>
          <w:rFonts w:ascii="Arial" w:eastAsia="Times New Roman" w:hAnsi="Arial" w:cs="Arial"/>
          <w:sz w:val="24"/>
          <w:szCs w:val="24"/>
        </w:rPr>
        <w:t xml:space="preserve">0.01% (w/v) Bis in PBS. Activated gel solutions were prepared with </w:t>
      </w:r>
      <w:r w:rsidR="00284494" w:rsidRPr="008C387C">
        <w:rPr>
          <w:rFonts w:ascii="Arial" w:eastAsia="Times New Roman" w:hAnsi="Arial" w:cs="Arial"/>
          <w:sz w:val="24"/>
          <w:szCs w:val="24"/>
        </w:rPr>
        <w:t>1 mL</w:t>
      </w:r>
      <w:r w:rsidR="00B75421" w:rsidRPr="008C387C">
        <w:rPr>
          <w:rFonts w:ascii="Arial" w:eastAsia="Times New Roman" w:hAnsi="Arial" w:cs="Arial"/>
          <w:sz w:val="24"/>
          <w:szCs w:val="24"/>
        </w:rPr>
        <w:t xml:space="preserve"> of monomer solution with </w:t>
      </w:r>
      <w:r w:rsidR="00284494" w:rsidRPr="008C387C">
        <w:rPr>
          <w:rFonts w:ascii="Arial" w:eastAsia="Times New Roman" w:hAnsi="Arial" w:cs="Arial"/>
          <w:sz w:val="24"/>
          <w:szCs w:val="24"/>
        </w:rPr>
        <w:t xml:space="preserve">1 µL of methacrolein, </w:t>
      </w:r>
      <w:r w:rsidR="00B75421" w:rsidRPr="008C387C">
        <w:rPr>
          <w:rFonts w:ascii="Arial" w:eastAsia="Times New Roman" w:hAnsi="Arial" w:cs="Arial"/>
          <w:sz w:val="24"/>
          <w:szCs w:val="24"/>
        </w:rPr>
        <w:t>1</w:t>
      </w:r>
      <w:r w:rsidR="00284494" w:rsidRPr="008C387C">
        <w:rPr>
          <w:rFonts w:ascii="Arial" w:eastAsia="Times New Roman" w:hAnsi="Arial" w:cs="Arial"/>
          <w:sz w:val="24"/>
          <w:szCs w:val="24"/>
        </w:rPr>
        <w:t>0</w:t>
      </w:r>
      <w:r w:rsidR="00B75421" w:rsidRPr="008C387C">
        <w:rPr>
          <w:rFonts w:ascii="Arial" w:eastAsia="Times New Roman" w:hAnsi="Arial" w:cs="Arial"/>
          <w:sz w:val="24"/>
          <w:szCs w:val="24"/>
        </w:rPr>
        <w:t xml:space="preserve"> µL of </w:t>
      </w:r>
      <w:r w:rsidR="00284494" w:rsidRPr="008C387C">
        <w:rPr>
          <w:rFonts w:ascii="Arial" w:eastAsia="Times New Roman" w:hAnsi="Arial" w:cs="Arial"/>
          <w:sz w:val="24"/>
          <w:szCs w:val="24"/>
        </w:rPr>
        <w:t>1</w:t>
      </w:r>
      <w:r w:rsidR="00B75421" w:rsidRPr="008C387C">
        <w:rPr>
          <w:rFonts w:ascii="Arial" w:eastAsia="Times New Roman" w:hAnsi="Arial" w:cs="Arial"/>
          <w:sz w:val="24"/>
          <w:szCs w:val="24"/>
        </w:rPr>
        <w:t xml:space="preserve">0% </w:t>
      </w:r>
      <w:r w:rsidR="00284494" w:rsidRPr="008C387C">
        <w:rPr>
          <w:rFonts w:ascii="Arial" w:eastAsia="Times New Roman" w:hAnsi="Arial" w:cs="Arial"/>
          <w:sz w:val="24"/>
          <w:szCs w:val="24"/>
        </w:rPr>
        <w:t xml:space="preserve">(w/v) TEMED </w:t>
      </w:r>
      <w:r w:rsidR="00B75421" w:rsidRPr="008C387C">
        <w:rPr>
          <w:rFonts w:ascii="Arial" w:eastAsia="Times New Roman" w:hAnsi="Arial" w:cs="Arial"/>
          <w:sz w:val="24"/>
          <w:szCs w:val="24"/>
        </w:rPr>
        <w:t xml:space="preserve">and </w:t>
      </w:r>
      <w:r w:rsidR="00284494" w:rsidRPr="008C387C">
        <w:rPr>
          <w:rFonts w:ascii="Arial" w:eastAsia="Times New Roman" w:hAnsi="Arial" w:cs="Arial"/>
          <w:sz w:val="24"/>
          <w:szCs w:val="24"/>
        </w:rPr>
        <w:t>50</w:t>
      </w:r>
      <w:r w:rsidR="00B75421" w:rsidRPr="008C387C">
        <w:rPr>
          <w:rFonts w:ascii="Arial" w:eastAsia="Times New Roman" w:hAnsi="Arial" w:cs="Arial"/>
          <w:sz w:val="24"/>
          <w:szCs w:val="24"/>
        </w:rPr>
        <w:t xml:space="preserve"> µL of </w:t>
      </w:r>
      <w:r w:rsidR="00B75421" w:rsidRPr="008C387C">
        <w:rPr>
          <w:rFonts w:ascii="Arial" w:eastAsia="Times New Roman" w:hAnsi="Arial" w:cs="Arial"/>
          <w:sz w:val="24"/>
          <w:szCs w:val="24"/>
        </w:rPr>
        <w:lastRenderedPageBreak/>
        <w:t>5%</w:t>
      </w:r>
      <w:r w:rsidR="00284494" w:rsidRPr="008C387C">
        <w:rPr>
          <w:rFonts w:ascii="Arial" w:eastAsia="Times New Roman" w:hAnsi="Arial" w:cs="Arial"/>
          <w:sz w:val="24"/>
          <w:szCs w:val="24"/>
        </w:rPr>
        <w:t xml:space="preserve"> (w/v)</w:t>
      </w:r>
      <w:r w:rsidR="00B75421" w:rsidRPr="008C387C">
        <w:rPr>
          <w:rFonts w:ascii="Arial" w:eastAsia="Times New Roman" w:hAnsi="Arial" w:cs="Arial"/>
          <w:sz w:val="24"/>
          <w:szCs w:val="24"/>
        </w:rPr>
        <w:t xml:space="preserve"> </w:t>
      </w:r>
      <w:r w:rsidR="00284494" w:rsidRPr="008C387C">
        <w:rPr>
          <w:rFonts w:ascii="Arial" w:eastAsia="Times New Roman" w:hAnsi="Arial" w:cs="Arial"/>
          <w:sz w:val="24"/>
          <w:szCs w:val="24"/>
        </w:rPr>
        <w:t>potassium persulfate</w:t>
      </w:r>
      <w:r w:rsidR="00B75421" w:rsidRPr="008C387C">
        <w:rPr>
          <w:rFonts w:ascii="Arial" w:eastAsia="Times New Roman" w:hAnsi="Arial" w:cs="Arial"/>
          <w:sz w:val="24"/>
          <w:szCs w:val="24"/>
        </w:rPr>
        <w:t xml:space="preserve">. 90 µL of active gel solution was injected between the samples and a cover </w:t>
      </w:r>
      <w:r w:rsidR="00FC2DCF" w:rsidRPr="008C387C">
        <w:rPr>
          <w:rFonts w:ascii="Arial" w:eastAsia="Times New Roman" w:hAnsi="Arial" w:cs="Arial"/>
          <w:sz w:val="24"/>
          <w:szCs w:val="24"/>
        </w:rPr>
        <w:t>slip and</w:t>
      </w:r>
      <w:r w:rsidR="00B75421" w:rsidRPr="008C387C">
        <w:rPr>
          <w:rFonts w:ascii="Arial" w:eastAsia="Times New Roman" w:hAnsi="Arial" w:cs="Arial"/>
          <w:sz w:val="24"/>
          <w:szCs w:val="24"/>
        </w:rPr>
        <w:t xml:space="preserve"> were allowed to form a gel </w:t>
      </w:r>
      <w:r w:rsidR="00284494" w:rsidRPr="008C387C">
        <w:rPr>
          <w:rFonts w:ascii="Arial" w:eastAsia="Times New Roman" w:hAnsi="Arial" w:cs="Arial"/>
          <w:sz w:val="24"/>
          <w:szCs w:val="24"/>
        </w:rPr>
        <w:t xml:space="preserve">overnight at </w:t>
      </w:r>
      <w:r w:rsidR="00B75421" w:rsidRPr="008C387C">
        <w:rPr>
          <w:rFonts w:ascii="Arial" w:eastAsia="Times New Roman" w:hAnsi="Arial" w:cs="Arial"/>
          <w:sz w:val="24"/>
          <w:szCs w:val="24"/>
        </w:rPr>
        <w:t>37°C</w:t>
      </w:r>
      <w:r w:rsidR="00284494" w:rsidRPr="008C387C">
        <w:rPr>
          <w:rFonts w:ascii="Arial" w:eastAsia="Times New Roman" w:hAnsi="Arial" w:cs="Arial"/>
          <w:sz w:val="24"/>
          <w:szCs w:val="24"/>
        </w:rPr>
        <w:t xml:space="preserve"> in a humidified chamber</w:t>
      </w:r>
      <w:r w:rsidR="00B75421" w:rsidRPr="008C387C">
        <w:rPr>
          <w:rFonts w:ascii="Arial" w:eastAsia="Times New Roman" w:hAnsi="Arial" w:cs="Arial"/>
          <w:sz w:val="24"/>
          <w:szCs w:val="24"/>
        </w:rPr>
        <w:t xml:space="preserve">. Samples were then incubated in </w:t>
      </w:r>
      <w:r w:rsidR="00FC2DCF" w:rsidRPr="008C387C">
        <w:rPr>
          <w:rFonts w:ascii="Arial" w:eastAsia="Times New Roman" w:hAnsi="Arial" w:cs="Arial"/>
          <w:sz w:val="24"/>
          <w:szCs w:val="24"/>
        </w:rPr>
        <w:t>1 mL each of</w:t>
      </w:r>
      <w:r w:rsidR="00B75421" w:rsidRPr="008C387C">
        <w:rPr>
          <w:rFonts w:ascii="Arial" w:eastAsia="Times New Roman" w:hAnsi="Arial" w:cs="Arial"/>
          <w:sz w:val="24"/>
          <w:szCs w:val="24"/>
        </w:rPr>
        <w:t xml:space="preserve"> </w:t>
      </w:r>
      <w:r w:rsidR="00FC2DCF" w:rsidRPr="008C387C">
        <w:rPr>
          <w:rFonts w:ascii="Arial" w:eastAsia="Times New Roman" w:hAnsi="Arial" w:cs="Arial"/>
          <w:sz w:val="24"/>
          <w:szCs w:val="24"/>
        </w:rPr>
        <w:t>homogenization</w:t>
      </w:r>
      <w:r w:rsidR="00B75421" w:rsidRPr="008C387C">
        <w:rPr>
          <w:rFonts w:ascii="Arial" w:eastAsia="Times New Roman" w:hAnsi="Arial" w:cs="Arial"/>
          <w:sz w:val="24"/>
          <w:szCs w:val="24"/>
        </w:rPr>
        <w:t xml:space="preserve"> buffer made of </w:t>
      </w:r>
      <w:r w:rsidR="00FC2DCF" w:rsidRPr="008C387C">
        <w:rPr>
          <w:rFonts w:ascii="Arial" w:eastAsia="Times New Roman" w:hAnsi="Arial" w:cs="Arial"/>
          <w:sz w:val="24"/>
          <w:szCs w:val="24"/>
        </w:rPr>
        <w:t>10% (w/v)</w:t>
      </w:r>
      <w:r w:rsidR="00B75421" w:rsidRPr="008C387C">
        <w:rPr>
          <w:rFonts w:ascii="Arial" w:eastAsia="Times New Roman" w:hAnsi="Arial" w:cs="Arial"/>
          <w:sz w:val="24"/>
          <w:szCs w:val="24"/>
        </w:rPr>
        <w:t xml:space="preserve"> SDS,</w:t>
      </w:r>
      <w:r w:rsidR="00FC2DCF" w:rsidRPr="008C387C">
        <w:rPr>
          <w:rFonts w:ascii="Arial" w:eastAsia="Times New Roman" w:hAnsi="Arial" w:cs="Arial"/>
          <w:sz w:val="24"/>
          <w:szCs w:val="24"/>
        </w:rPr>
        <w:t xml:space="preserve"> 8 M urea,</w:t>
      </w:r>
      <w:r w:rsidR="00B75421" w:rsidRPr="008C387C">
        <w:rPr>
          <w:rFonts w:ascii="Arial" w:eastAsia="Times New Roman" w:hAnsi="Arial" w:cs="Arial"/>
          <w:sz w:val="24"/>
          <w:szCs w:val="24"/>
        </w:rPr>
        <w:t xml:space="preserve"> </w:t>
      </w:r>
      <w:r w:rsidR="00FC2DCF" w:rsidRPr="008C387C">
        <w:rPr>
          <w:rFonts w:ascii="Arial" w:eastAsia="Times New Roman" w:hAnsi="Arial" w:cs="Arial"/>
          <w:sz w:val="24"/>
          <w:szCs w:val="24"/>
        </w:rPr>
        <w:t xml:space="preserve">and </w:t>
      </w:r>
      <w:r w:rsidR="00B75421" w:rsidRPr="008C387C">
        <w:rPr>
          <w:rFonts w:ascii="Arial" w:eastAsia="Times New Roman" w:hAnsi="Arial" w:cs="Arial"/>
          <w:sz w:val="24"/>
          <w:szCs w:val="24"/>
        </w:rPr>
        <w:t>2</w:t>
      </w:r>
      <w:r w:rsidR="00FC2DCF" w:rsidRPr="008C387C">
        <w:rPr>
          <w:rFonts w:ascii="Arial" w:eastAsia="Times New Roman" w:hAnsi="Arial" w:cs="Arial"/>
          <w:sz w:val="24"/>
          <w:szCs w:val="24"/>
        </w:rPr>
        <w:t>5</w:t>
      </w:r>
      <w:r w:rsidR="00B75421" w:rsidRPr="008C387C">
        <w:rPr>
          <w:rFonts w:ascii="Arial" w:eastAsia="Times New Roman" w:hAnsi="Arial" w:cs="Arial"/>
          <w:sz w:val="24"/>
          <w:szCs w:val="24"/>
        </w:rPr>
        <w:t xml:space="preserve"> mM </w:t>
      </w:r>
      <w:r w:rsidR="00FC2DCF" w:rsidRPr="008C387C">
        <w:rPr>
          <w:rFonts w:ascii="Arial" w:eastAsia="Times New Roman" w:hAnsi="Arial" w:cs="Arial"/>
          <w:sz w:val="24"/>
          <w:szCs w:val="24"/>
        </w:rPr>
        <w:t xml:space="preserve">EDTA </w:t>
      </w:r>
      <w:r w:rsidR="00B75421" w:rsidRPr="008C387C">
        <w:rPr>
          <w:rFonts w:ascii="Arial" w:eastAsia="Times New Roman" w:hAnsi="Arial" w:cs="Arial"/>
          <w:sz w:val="24"/>
          <w:szCs w:val="24"/>
        </w:rPr>
        <w:t xml:space="preserve">in </w:t>
      </w:r>
      <w:r w:rsidR="003C512D">
        <w:rPr>
          <w:rFonts w:ascii="Arial" w:eastAsia="Times New Roman" w:hAnsi="Arial" w:cs="Arial"/>
          <w:sz w:val="24"/>
          <w:szCs w:val="24"/>
        </w:rPr>
        <w:t>2</w:t>
      </w:r>
      <w:r w:rsidR="00FC2DCF" w:rsidRPr="008C387C">
        <w:rPr>
          <w:rFonts w:ascii="Arial" w:eastAsia="Times New Roman" w:hAnsi="Arial" w:cs="Arial"/>
          <w:sz w:val="24"/>
          <w:szCs w:val="24"/>
        </w:rPr>
        <w:t>X PBS</w:t>
      </w:r>
      <w:r w:rsidR="00B75421" w:rsidRPr="008C387C">
        <w:rPr>
          <w:rFonts w:ascii="Arial" w:eastAsia="Times New Roman" w:hAnsi="Arial" w:cs="Arial"/>
          <w:sz w:val="24"/>
          <w:szCs w:val="24"/>
        </w:rPr>
        <w:t xml:space="preserve"> (pH adjusted to </w:t>
      </w:r>
      <w:r w:rsidR="00FC2DCF" w:rsidRPr="008C387C">
        <w:rPr>
          <w:rFonts w:ascii="Arial" w:eastAsia="Times New Roman" w:hAnsi="Arial" w:cs="Arial"/>
          <w:sz w:val="24"/>
          <w:szCs w:val="24"/>
        </w:rPr>
        <w:t>7.5</w:t>
      </w:r>
      <w:r w:rsidR="00B75421" w:rsidRPr="008C387C">
        <w:rPr>
          <w:rFonts w:ascii="Arial" w:eastAsia="Times New Roman" w:hAnsi="Arial" w:cs="Arial"/>
          <w:sz w:val="24"/>
          <w:szCs w:val="24"/>
        </w:rPr>
        <w:t xml:space="preserve">) for </w:t>
      </w:r>
      <w:r w:rsidR="00FC2DCF" w:rsidRPr="008C387C">
        <w:rPr>
          <w:rFonts w:ascii="Arial" w:eastAsia="Times New Roman" w:hAnsi="Arial" w:cs="Arial"/>
          <w:sz w:val="24"/>
          <w:szCs w:val="24"/>
        </w:rPr>
        <w:t>6 hours</w:t>
      </w:r>
      <w:r w:rsidR="00B75421" w:rsidRPr="008C387C">
        <w:rPr>
          <w:rFonts w:ascii="Arial" w:eastAsia="Times New Roman" w:hAnsi="Arial" w:cs="Arial"/>
          <w:sz w:val="24"/>
          <w:szCs w:val="24"/>
        </w:rPr>
        <w:t xml:space="preserve"> </w:t>
      </w:r>
      <w:r w:rsidR="00FC2DCF" w:rsidRPr="008C387C">
        <w:rPr>
          <w:rFonts w:ascii="Arial" w:eastAsia="Times New Roman" w:hAnsi="Arial" w:cs="Arial"/>
          <w:sz w:val="24"/>
          <w:szCs w:val="24"/>
        </w:rPr>
        <w:t>a</w:t>
      </w:r>
      <w:r w:rsidR="00B75421" w:rsidRPr="008C387C">
        <w:rPr>
          <w:rFonts w:ascii="Arial" w:eastAsia="Times New Roman" w:hAnsi="Arial" w:cs="Arial"/>
          <w:sz w:val="24"/>
          <w:szCs w:val="24"/>
        </w:rPr>
        <w:t xml:space="preserve">t </w:t>
      </w:r>
      <w:r w:rsidR="00FC2DCF" w:rsidRPr="008C387C">
        <w:rPr>
          <w:rFonts w:ascii="Arial" w:eastAsia="Times New Roman" w:hAnsi="Arial" w:cs="Arial"/>
          <w:sz w:val="24"/>
          <w:szCs w:val="24"/>
        </w:rPr>
        <w:t>80°C</w:t>
      </w:r>
      <w:r w:rsidR="003C512D">
        <w:rPr>
          <w:rFonts w:ascii="Arial" w:eastAsia="Times New Roman" w:hAnsi="Arial" w:cs="Arial"/>
          <w:sz w:val="24"/>
          <w:szCs w:val="24"/>
        </w:rPr>
        <w:t>,</w:t>
      </w:r>
      <w:r w:rsidR="00FC2DCF" w:rsidRPr="008C387C">
        <w:rPr>
          <w:rFonts w:ascii="Arial" w:eastAsia="Times New Roman" w:hAnsi="Arial" w:cs="Arial"/>
          <w:sz w:val="24"/>
          <w:szCs w:val="24"/>
        </w:rPr>
        <w:t xml:space="preserve"> then washed with 1X PBS thrice for </w:t>
      </w:r>
      <w:r w:rsidR="001C5782" w:rsidRPr="008C387C">
        <w:rPr>
          <w:rFonts w:ascii="Arial" w:eastAsia="Times New Roman" w:hAnsi="Arial" w:cs="Arial"/>
          <w:sz w:val="24"/>
          <w:szCs w:val="24"/>
        </w:rPr>
        <w:t>10</w:t>
      </w:r>
      <w:r w:rsidR="00FC2DCF" w:rsidRPr="008C387C">
        <w:rPr>
          <w:rFonts w:ascii="Arial" w:eastAsia="Times New Roman" w:hAnsi="Arial" w:cs="Arial"/>
          <w:sz w:val="24"/>
          <w:szCs w:val="24"/>
        </w:rPr>
        <w:t xml:space="preserve"> minutes each</w:t>
      </w:r>
      <w:r w:rsidR="001C5782" w:rsidRPr="008C387C">
        <w:rPr>
          <w:rFonts w:ascii="Arial" w:eastAsia="Times New Roman" w:hAnsi="Arial" w:cs="Arial"/>
          <w:sz w:val="24"/>
          <w:szCs w:val="24"/>
        </w:rPr>
        <w:t xml:space="preserve"> at RT, and then washed with 1% (v/v) Tween 20 in 1X PBS thrice for 10 minutes each at 60°C. </w:t>
      </w:r>
      <w:r w:rsidR="00FC2DCF" w:rsidRPr="008C387C">
        <w:rPr>
          <w:rFonts w:ascii="Arial" w:eastAsia="Times New Roman" w:hAnsi="Arial" w:cs="Arial"/>
          <w:sz w:val="24"/>
          <w:szCs w:val="24"/>
        </w:rPr>
        <w:t xml:space="preserve">Samples were then stained with a 20 µg/mL solution of NHS ester dye (AF405, AF488, or AF647) in a 100-mM sodium bicarbonate solution for 1.5 hours on an orbital shaker and were then washed with 1X PBS at least three times for 20 minutes each until the gels were visibly clear. </w:t>
      </w:r>
      <w:r w:rsidR="001C5782" w:rsidRPr="008C387C">
        <w:rPr>
          <w:rFonts w:ascii="Arial" w:eastAsia="Times New Roman" w:hAnsi="Arial" w:cs="Arial"/>
          <w:sz w:val="24"/>
          <w:szCs w:val="24"/>
        </w:rPr>
        <w:t>The gels were placed in petri dishes and filled with ultrapure H</w:t>
      </w:r>
      <w:r w:rsidR="001C5782" w:rsidRPr="008C387C">
        <w:rPr>
          <w:rFonts w:ascii="Arial" w:eastAsia="Times New Roman" w:hAnsi="Arial" w:cs="Arial"/>
          <w:sz w:val="24"/>
          <w:szCs w:val="24"/>
          <w:vertAlign w:val="subscript"/>
        </w:rPr>
        <w:t>2</w:t>
      </w:r>
      <w:r w:rsidR="001C5782" w:rsidRPr="008C387C">
        <w:rPr>
          <w:rFonts w:ascii="Arial" w:eastAsia="Times New Roman" w:hAnsi="Arial" w:cs="Arial"/>
          <w:sz w:val="24"/>
          <w:szCs w:val="24"/>
        </w:rPr>
        <w:t>O for expansion. The ultrapure H</w:t>
      </w:r>
      <w:r w:rsidR="001C5782" w:rsidRPr="008C387C">
        <w:rPr>
          <w:rFonts w:ascii="Arial" w:eastAsia="Times New Roman" w:hAnsi="Arial" w:cs="Arial"/>
          <w:sz w:val="24"/>
          <w:szCs w:val="24"/>
          <w:vertAlign w:val="subscript"/>
        </w:rPr>
        <w:t>2</w:t>
      </w:r>
      <w:r w:rsidR="001C5782" w:rsidRPr="008C387C">
        <w:rPr>
          <w:rFonts w:ascii="Arial" w:eastAsia="Times New Roman" w:hAnsi="Arial" w:cs="Arial"/>
          <w:sz w:val="24"/>
          <w:szCs w:val="24"/>
        </w:rPr>
        <w:t>O was aspirated out and replaced after 10 minutes 3-4 times to allow for full gel expansion.</w:t>
      </w:r>
    </w:p>
    <w:p w14:paraId="42198417" w14:textId="77777777" w:rsidR="001C5782" w:rsidRDefault="001C5782" w:rsidP="00FC2DCF">
      <w:pPr>
        <w:spacing w:line="480" w:lineRule="auto"/>
        <w:ind w:firstLine="360"/>
        <w:jc w:val="both"/>
        <w:rPr>
          <w:rFonts w:ascii="Arial" w:eastAsia="Times New Roman" w:hAnsi="Arial" w:cs="Arial"/>
          <w:sz w:val="24"/>
          <w:szCs w:val="24"/>
          <w:highlight w:val="green"/>
        </w:rPr>
      </w:pPr>
    </w:p>
    <w:p w14:paraId="6249A041" w14:textId="77777777" w:rsidR="004A2E41" w:rsidRPr="004A2E41" w:rsidRDefault="004A2E41" w:rsidP="00721691">
      <w:pPr>
        <w:pStyle w:val="Heading3"/>
      </w:pPr>
      <w:bookmarkStart w:id="83" w:name="_Toc116832146"/>
      <w:bookmarkStart w:id="84" w:name="_Toc151032449"/>
      <w:r w:rsidRPr="004A2E41">
        <w:t>Confocal Microscopy</w:t>
      </w:r>
      <w:bookmarkEnd w:id="83"/>
      <w:bookmarkEnd w:id="84"/>
      <w:r w:rsidRPr="004A2E41">
        <w:t xml:space="preserve"> </w:t>
      </w:r>
    </w:p>
    <w:p w14:paraId="36CDE043" w14:textId="648A60C6" w:rsidR="00C557E6" w:rsidRPr="004A2E41" w:rsidRDefault="004A2E41" w:rsidP="004A2E41">
      <w:pPr>
        <w:spacing w:line="480" w:lineRule="auto"/>
        <w:jc w:val="both"/>
        <w:rPr>
          <w:rFonts w:ascii="Arial" w:eastAsia="Times New Roman" w:hAnsi="Arial" w:cs="Arial"/>
          <w:sz w:val="24"/>
          <w:szCs w:val="24"/>
        </w:rPr>
      </w:pPr>
      <w:r w:rsidRPr="004A2E41">
        <w:rPr>
          <w:rFonts w:ascii="Arial" w:eastAsia="Times New Roman" w:hAnsi="Arial" w:cs="Arial"/>
          <w:sz w:val="24"/>
          <w:szCs w:val="24"/>
        </w:rPr>
        <w:t xml:space="preserve">To prevent </w:t>
      </w:r>
      <w:r w:rsidR="00C557E6">
        <w:rPr>
          <w:rFonts w:ascii="Arial" w:eastAsia="Times New Roman" w:hAnsi="Arial" w:cs="Arial"/>
          <w:sz w:val="24"/>
          <w:szCs w:val="24"/>
        </w:rPr>
        <w:t>pan</w:t>
      </w:r>
      <w:r w:rsidR="003C512D">
        <w:rPr>
          <w:rFonts w:ascii="Arial" w:eastAsia="Times New Roman" w:hAnsi="Arial" w:cs="Arial"/>
          <w:sz w:val="24"/>
          <w:szCs w:val="24"/>
        </w:rPr>
        <w:t>-</w:t>
      </w:r>
      <w:r w:rsidR="00C557E6">
        <w:rPr>
          <w:rFonts w:ascii="Arial" w:eastAsia="Times New Roman" w:hAnsi="Arial" w:cs="Arial"/>
          <w:sz w:val="24"/>
          <w:szCs w:val="24"/>
        </w:rPr>
        <w:t xml:space="preserve">ExM </w:t>
      </w:r>
      <w:r w:rsidRPr="004A2E41">
        <w:rPr>
          <w:rFonts w:ascii="Arial" w:eastAsia="Times New Roman" w:hAnsi="Arial" w:cs="Arial"/>
          <w:sz w:val="24"/>
          <w:szCs w:val="24"/>
        </w:rPr>
        <w:t>gels from sliding while imaging, they were first placed on a 35-mm #1.5H glass bottom dish. Henkel Duro brand super glue was applied around the bottom edge of the gel and the plate and was allowed to harden for 10-15 minutes. The tops of the gels were lightly washed with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to remove any superglue that had crusted over, and a round 18-mm coverglass was placed on top of each gel. Following this, a stiff acrylamide gel, consisting of 18.4% acrylamide and 1.6% Bis</w:t>
      </w:r>
      <w:r w:rsidRPr="004A2E41">
        <w:rPr>
          <w:rFonts w:ascii="Arial" w:eastAsia="Times New Roman" w:hAnsi="Arial" w:cs="Arial"/>
          <w:sz w:val="24"/>
          <w:szCs w:val="24"/>
        </w:rPr>
        <w:fldChar w:fldCharType="begin" w:fldLock="1"/>
      </w:r>
      <w:r w:rsidR="00E26DE5">
        <w:rPr>
          <w:rFonts w:ascii="Arial" w:eastAsia="Times New Roman" w:hAnsi="Arial" w:cs="Arial"/>
          <w:sz w:val="24"/>
          <w:szCs w:val="24"/>
        </w:rPr>
        <w:instrText>ADDIN CSL_CITATION {"citationItems":[{"id":"ITEM-1","itemData":{"DOI":"10.1021/acsami.5b09344","ISSN":"19448252","PMID":"26816386","abstract":"Adjusting the acrylamide monomer and cross-linker content in polyacrylamide gels controls the hydrogel stiffness, yet the reported elastic modulus for the same formulations varies widely and these discrepancies are frequently attributed to different measurement methods. Few studies exist that examine stiffness trends across monomer and cross-linker concentrations using the same characterization platform. In this work, we use Atomic Force Microscopy and analyze force-distance curves to derive the elastic modulus of polyacrylamide hydrogels. We find that gel elastic modulus increases with increasing cross-link concentration until an inflection point, after which gel stiffness decreases with increasing cross-linking. This behavior arises because of the formation of highly cross-linked clusters, which add inhomogeneity and heterogeneity to the network structure, causing the global network to soften even under high cross-linking conditions. We identify these inflection points for three different total polymer formulations. When we alter gelation kinetics by using a low polymerization temperature, we find that gels are stiffer when polymerized at 4 °C compared to room temperature, indicating a complex relationship between gel structure, elasticity, and network formation. We also investigate how gel stiffness changes during storage over 10 days and find that specific gel formulations undergo significant stiffening (1.55 ± 0.13), which may be explained by differences in gel swelling resulting from initial polymerization parameters. Taken together, our study emphasizes the importance of polyacrylamide formulation, polymerization temperature, gelation time, and storage duration in defining the structural and mechanical properties of the polyacrylamide hydrogels.","author":[{"dropping-particle":"","family":"Denisin","given":"Aleksandra K.","non-dropping-particle":"","parse-names":false,"suffix":""},{"dropping-particle":"","family":"Pruitt","given":"Beth L.","non-dropping-particle":"","parse-names":false,"suffix":""}],"container-title":"ACS Applied Materials and Interfaces","id":"ITEM-1","issue":"34","issued":{"date-parts":[["2016"]]},"page":"21893-21902","title":"Tuning the Range of Polyacrylamide Gel Stiffness for Mechanobiology Applications","type":"article-journal","volume":"8"},"uris":["http://www.mendeley.com/documents/?uuid=d5432e8f-6288-4a8c-b608-9e837e655690"]}],"mendeley":{"formattedCitation":"&lt;sup&gt;347&lt;/sup&gt;","plainTextFormattedCitation":"347","previouslyFormattedCitation":"&lt;sup&gt;347&lt;/sup&gt;"},"properties":{"noteIndex":0},"schema":"https://github.com/citation-style-language/schema/raw/master/csl-citation.json"}</w:instrText>
      </w:r>
      <w:r w:rsidRPr="004A2E41">
        <w:rPr>
          <w:rFonts w:ascii="Arial" w:eastAsia="Times New Roman" w:hAnsi="Arial" w:cs="Arial"/>
          <w:sz w:val="24"/>
          <w:szCs w:val="24"/>
        </w:rPr>
        <w:fldChar w:fldCharType="separate"/>
      </w:r>
      <w:r w:rsidR="008D4DC0" w:rsidRPr="008D4DC0">
        <w:rPr>
          <w:rFonts w:ascii="Arial" w:eastAsia="Times New Roman" w:hAnsi="Arial" w:cs="Arial"/>
          <w:noProof/>
          <w:sz w:val="24"/>
          <w:szCs w:val="24"/>
          <w:vertAlign w:val="superscript"/>
        </w:rPr>
        <w:t>347</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(activated with 1960 µL of monomer solution, 20 µL of 10% APS, and 20 µL of TEMED) was poured over the </w:t>
      </w:r>
      <w:r w:rsidRPr="008C387C">
        <w:rPr>
          <w:rFonts w:ascii="Arial" w:eastAsia="Times New Roman" w:hAnsi="Arial" w:cs="Arial"/>
          <w:sz w:val="24"/>
          <w:szCs w:val="24"/>
        </w:rPr>
        <w:t>glass and gels until they are fully submerged. Ultrapure H</w:t>
      </w:r>
      <w:r w:rsidRPr="008C387C">
        <w:rPr>
          <w:rFonts w:ascii="Arial" w:eastAsia="Times New Roman" w:hAnsi="Arial" w:cs="Arial"/>
          <w:sz w:val="24"/>
          <w:szCs w:val="24"/>
          <w:vertAlign w:val="subscript"/>
        </w:rPr>
        <w:t>2</w:t>
      </w:r>
      <w:r w:rsidRPr="008C387C">
        <w:rPr>
          <w:rFonts w:ascii="Arial" w:eastAsia="Times New Roman" w:hAnsi="Arial" w:cs="Arial"/>
          <w:sz w:val="24"/>
          <w:szCs w:val="24"/>
        </w:rPr>
        <w:t xml:space="preserve">O was then poured over the gels to prevent drying until imaging. </w:t>
      </w:r>
      <w:r w:rsidR="00C557E6" w:rsidRPr="008C387C">
        <w:rPr>
          <w:rFonts w:ascii="Arial" w:eastAsia="Times New Roman" w:hAnsi="Arial" w:cs="Arial"/>
          <w:sz w:val="24"/>
          <w:szCs w:val="24"/>
        </w:rPr>
        <w:t xml:space="preserve">To prevent Magnify gels from sliding while imaging, </w:t>
      </w:r>
      <w:r w:rsidR="00C557E6" w:rsidRPr="008C387C">
        <w:rPr>
          <w:rFonts w:ascii="Arial" w:eastAsia="Times New Roman" w:hAnsi="Arial" w:cs="Arial"/>
          <w:sz w:val="24"/>
          <w:szCs w:val="24"/>
        </w:rPr>
        <w:lastRenderedPageBreak/>
        <w:t>they were placed on 35-mm #1.5H glass bottom dishes that were coated with 0.1% (w/v) poly-L-lysine in ultrapure H</w:t>
      </w:r>
      <w:r w:rsidR="00C557E6" w:rsidRPr="008C387C">
        <w:rPr>
          <w:rFonts w:ascii="Arial" w:eastAsia="Times New Roman" w:hAnsi="Arial" w:cs="Arial"/>
          <w:sz w:val="24"/>
          <w:szCs w:val="24"/>
          <w:vertAlign w:val="subscript"/>
        </w:rPr>
        <w:t>2</w:t>
      </w:r>
      <w:r w:rsidR="00C557E6" w:rsidRPr="008C387C">
        <w:rPr>
          <w:rFonts w:ascii="Arial" w:eastAsia="Times New Roman" w:hAnsi="Arial" w:cs="Arial"/>
          <w:sz w:val="24"/>
          <w:szCs w:val="24"/>
        </w:rPr>
        <w:t>O.</w:t>
      </w:r>
    </w:p>
    <w:p w14:paraId="348EC499" w14:textId="038FF8C4"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 xml:space="preserve">Fluorescence images were taken on a </w:t>
      </w:r>
      <w:bookmarkStart w:id="85" w:name="_Hlk108010797"/>
      <w:r w:rsidRPr="004A2E41">
        <w:rPr>
          <w:rFonts w:ascii="Arial" w:eastAsia="Times New Roman" w:hAnsi="Arial" w:cs="Arial"/>
          <w:sz w:val="24"/>
          <w:szCs w:val="24"/>
        </w:rPr>
        <w:t>Zeiss LSM 880 confocal laser scanning microscope (CLSM) on the Zeiss Zen Black software</w:t>
      </w:r>
      <w:bookmarkEnd w:id="85"/>
      <w:r w:rsidRPr="004A2E41">
        <w:rPr>
          <w:rFonts w:ascii="Arial" w:eastAsia="Times New Roman" w:hAnsi="Arial" w:cs="Arial"/>
          <w:sz w:val="24"/>
          <w:szCs w:val="24"/>
        </w:rPr>
        <w:t xml:space="preserve"> using a 40X water immersion objective (NA=1.20) and a 405-nm diode laser, 488-nm argon laser, 561-nm diode-pumped solid-state laser, a 594-nm helium-neon laser, and a 633-nm helium-neon laser with a main beam splitter (MBS) 488/561/633 filter and photomultiplier tube (PMT) detectors. Transmitted light images were acquired through a 405-nm diode laser through a main beam splitter 488/561/633 filter to the PMT detector (T-PMT). The AuNP signal was acquired using light scattering principles described by Jiang et al.</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{"citationItems":[{"id":"ITEM-1","itemData":{"DOI":"10.1021/jacs.9b05894","ISSN":"15205126","abstract":"Simultaneously monitoring label-free nanoparticles (NPs) and fluorescent biomolecules inside the live cell in real time is challenging because both imaging methods require different instrumentation and measuring principles. Here we report a novel scattered light imaging (SLi) technique that allows label-free NPs to be monitored using a conventional confocal microscope. The method shows a high spatial resolution and can distinguish label-free silver nanoparticles (AgNPs) with a 10 nm size difference in live cells. We performed SLi to observe the uptake, movement, distribution, and transformation of AgNPs in live cells at a single-particle level. The method is applicable to accurately track the localization of a variety of nanomaterials inside the cell. With this approach, label-free NP and fluorescent-labeled biomolecules are imaged simultaneously making it possible to real-time monitor nanobio interactions.","author":[{"dropping-particle":"","family":"Wang","given":"Fengbang","non-dropping-particle":"","parse-names":false,"suffix":""},{"dropping-particle":"","family":"Chen","given":"Bolei","non-dropping-particle":"","parse-names":false,"suffix":""},{"dropping-particle":"","family":"Yan","given":"Bing","non-dropping-particle":"","parse-names":false,"suffix":""},{"dropping-particle":"","family":"Yin","given":"Yongguang","non-dropping-particle":"","parse-names":false,"suffix":""},{"dropping-particle":"","family":"Hu","given":"Ligang","non-dropping-particle":"","parse-names":false,"suffix":""},{"dropping-particle":"","family":"Liang","given":"Yong","non-dropping-particle":"","parse-names":false,"suffix":""},{"dropping-particle":"","family":"Song","given":"Maoyong","non-dropping-particle":"","parse-names":false,"suffix":""},{"dropping-particle":"","family":"Jiang","given":"Guibin","non-dropping-particle":"","parse-names":false,"suffix":""}],"container-title":"Journal of the American Chemical Society","id":"ITEM-1","issue":"36","issued":{"date-parts":[["2019"]]},"page":"14043-14047","title":"Scattered Light Imaging Enables Real-Time Monitoring of Label-Free Nanoparticles and Fluorescent Biomolecules in Live Cells","type":"article-journal","volume":"141"},"uris":["http://www.mendeley.com/documents/?uuid=4e571579-ee39-4a4a-8a2b-9d537cbe338e"]}],"mendeley":{"formattedCitation":"&lt;sup&gt;286&lt;/sup&gt;","plainTextFormattedCitation":"286","previouslyFormattedCitation":"&lt;sup&gt;286&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286</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with the 561-nm laser and a </w:t>
      </w:r>
      <w:bookmarkStart w:id="86" w:name="_Hlk108011447"/>
      <w:r w:rsidRPr="004A2E41">
        <w:rPr>
          <w:rFonts w:ascii="Arial" w:eastAsia="Times New Roman" w:hAnsi="Arial" w:cs="Arial"/>
          <w:sz w:val="24"/>
          <w:szCs w:val="24"/>
        </w:rPr>
        <w:t>MBS T80/R20 filter</w:t>
      </w:r>
      <w:bookmarkEnd w:id="86"/>
      <w:r w:rsidRPr="004A2E41">
        <w:rPr>
          <w:rFonts w:ascii="Arial" w:eastAsia="Times New Roman" w:hAnsi="Arial" w:cs="Arial"/>
          <w:sz w:val="24"/>
          <w:szCs w:val="24"/>
        </w:rPr>
        <w:t>, using a 1.5-20% laser power for unexpanded and 4X samples, and a 45% laser power for pan-ExM samples. The detector range for light scattering on samples that were not stained with AF55-NHS was 561 +/- 10 nm. For samples that were stained with AF555-NHS, the detector range was 561 +/- 5 nm to reduce crosstalk from the AF555. Airyscan images were acquired using the Airyscan detector on the Zeiss LSM 880 CLSM with a 63X Oil immersion objective (NA=1.40). The standard CLSM images used to compare against the Airyscan images in Figure S</w:t>
      </w:r>
      <w:r w:rsidR="008A318D">
        <w:rPr>
          <w:rFonts w:ascii="Arial" w:eastAsia="Times New Roman" w:hAnsi="Arial" w:cs="Arial"/>
          <w:sz w:val="24"/>
          <w:szCs w:val="24"/>
        </w:rPr>
        <w:t>3.1</w:t>
      </w:r>
      <w:r w:rsidRPr="004A2E41">
        <w:rPr>
          <w:rFonts w:ascii="Arial" w:eastAsia="Times New Roman" w:hAnsi="Arial" w:cs="Arial"/>
          <w:sz w:val="24"/>
          <w:szCs w:val="24"/>
        </w:rPr>
        <w:t xml:space="preserve"> were also taken with 63X Oil immersion objective (NA=1.40). </w:t>
      </w:r>
    </w:p>
    <w:p w14:paraId="6418E850" w14:textId="77777777" w:rsidR="004A2E41" w:rsidRPr="004A2E41" w:rsidRDefault="004A2E41" w:rsidP="004A2E41">
      <w:pPr>
        <w:spacing w:line="480" w:lineRule="auto"/>
        <w:jc w:val="both"/>
        <w:rPr>
          <w:rFonts w:ascii="Arial" w:eastAsia="Times New Roman" w:hAnsi="Arial" w:cs="Arial"/>
          <w:sz w:val="24"/>
          <w:szCs w:val="24"/>
        </w:rPr>
      </w:pPr>
    </w:p>
    <w:p w14:paraId="2A9530E3" w14:textId="77777777" w:rsidR="004A2E41" w:rsidRPr="004A2E41" w:rsidRDefault="004A2E41" w:rsidP="003C512D">
      <w:pPr>
        <w:pStyle w:val="Heading3"/>
        <w:spacing w:line="480" w:lineRule="auto"/>
      </w:pPr>
      <w:bookmarkStart w:id="87" w:name="_Toc116832147"/>
      <w:bookmarkStart w:id="88" w:name="_Toc151032450"/>
      <w:r w:rsidRPr="004A2E41">
        <w:t>Image Analysis</w:t>
      </w:r>
      <w:bookmarkEnd w:id="87"/>
      <w:bookmarkEnd w:id="88"/>
    </w:p>
    <w:p w14:paraId="3881368D" w14:textId="77777777" w:rsidR="004A2E41" w:rsidRPr="004A2E41" w:rsidRDefault="004A2E41" w:rsidP="003C512D">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 xml:space="preserve">Cell nuclei cross-sectional areas, whole cell nanoparticle light scattering signal intensities and fluorescence signal intensities were measured on ImageJ. </w:t>
      </w:r>
    </w:p>
    <w:p w14:paraId="5016A101" w14:textId="4EDDF4A7" w:rsidR="004A2E41" w:rsidRPr="004A2E41" w:rsidRDefault="004A2E41" w:rsidP="004A2E41">
      <w:pPr>
        <w:spacing w:line="480" w:lineRule="auto"/>
        <w:ind w:firstLine="360"/>
        <w:jc w:val="both"/>
        <w:rPr>
          <w:rFonts w:ascii="Arial" w:hAnsi="Arial" w:cs="Arial"/>
          <w:sz w:val="24"/>
          <w:szCs w:val="24"/>
        </w:rPr>
      </w:pPr>
      <w:r w:rsidRPr="004A2E41">
        <w:rPr>
          <w:rFonts w:ascii="Arial" w:hAnsi="Arial" w:cs="Arial"/>
          <w:sz w:val="24"/>
          <w:szCs w:val="24"/>
        </w:rPr>
        <w:lastRenderedPageBreak/>
        <w:t>To confirm the successful adoption of the proExM protocol, we randomly selected CLSM images of 90 non-expanded and expanded cells taken at the z-positions where their nuclei have their largest cross-sectional area. Next, we applied common thresholding methods in ImageJ</w:t>
      </w:r>
      <w:r w:rsidRPr="004A2E41">
        <w:rPr>
          <w:rFonts w:ascii="Arial" w:hAnsi="Arial" w:cs="Arial"/>
          <w:sz w:val="24"/>
          <w:szCs w:val="24"/>
        </w:rPr>
        <w:fldChar w:fldCharType="begin" w:fldLock="1"/>
      </w:r>
      <w:r w:rsidR="00E26DE5">
        <w:rPr>
          <w:rFonts w:ascii="Arial" w:hAnsi="Arial" w:cs="Arial"/>
          <w:sz w:val="24"/>
          <w:szCs w:val="24"/>
        </w:rPr>
        <w:instrText>ADDIN CSL_CITATION {"citationItems":[{"id":"ITEM-1","itemData":{"DOI":"10.1080/01913120701719189","ISSN":"0191-3123","author":[{"dropping-particle":"","family":"Papadopulos","given":"Francesca","non-dropping-particle":"","parse-names":false,"suffix":""},{"dropping-particle":"","family":"Spinelli","given":"Matthew","non-dropping-particle":"","parse-names":false,"suffix":""},{"dropping-particle":"","family":"Valente","given":"Sabrina","non-dropping-particle":"","parse-names":false,"suffix":""},{"dropping-particle":"","family":"Foroni","given":"Laura","non-dropping-particle":"","parse-names":false,"suffix":""},{"dropping-particle":"","family":"Orrico","given":"Catia","non-dropping-particle":"","parse-names":false,"suffix":""},{"dropping-particle":"","family":"Alviano","given":"Francesco","non-dropping-particle":"","parse-names":false,"suffix":""},{"dropping-particle":"","family":"Pasquinelli","given":"Gianandrea","non-dropping-particle":"","parse-names":false,"suffix":""}],"container-title":"Ultrastructural Pathology","id":"ITEM-1","issue":"6","issued":{"date-parts":[["2007","1","10"]]},"page":"401-407","title":"Common Tasks in Microscopic and Ultrastructural Image Analysis Using ImageJ","type":"article-journal","volume":"31"},"uris":["http://www.mendeley.com/documents/?uuid=6dd519ce-3861-4b58-846a-c4a4c8de6360"]}],"mendeley":{"formattedCitation":"&lt;sup&gt;348&lt;/sup&gt;","plainTextFormattedCitation":"348","previouslyFormattedCitation":"&lt;sup&gt;348&lt;/sup&gt;"},"properties":{"noteIndex":0},"schema":"https://github.com/citation-style-language/schema/raw/master/csl-citation.json"}</w:instrText>
      </w:r>
      <w:r w:rsidRPr="004A2E41">
        <w:rPr>
          <w:rFonts w:ascii="Arial" w:hAnsi="Arial" w:cs="Arial"/>
          <w:sz w:val="24"/>
          <w:szCs w:val="24"/>
        </w:rPr>
        <w:fldChar w:fldCharType="separate"/>
      </w:r>
      <w:r w:rsidR="008D4DC0" w:rsidRPr="008D4DC0">
        <w:rPr>
          <w:rFonts w:ascii="Arial" w:hAnsi="Arial" w:cs="Arial"/>
          <w:noProof/>
          <w:sz w:val="24"/>
          <w:szCs w:val="24"/>
          <w:vertAlign w:val="superscript"/>
        </w:rPr>
        <w:t>348</w:t>
      </w:r>
      <w:r w:rsidRPr="004A2E41">
        <w:rPr>
          <w:rFonts w:ascii="Arial" w:hAnsi="Arial" w:cs="Arial"/>
          <w:sz w:val="24"/>
          <w:szCs w:val="24"/>
        </w:rPr>
        <w:fldChar w:fldCharType="end"/>
      </w:r>
      <w:r w:rsidRPr="004A2E41">
        <w:rPr>
          <w:rFonts w:ascii="Arial" w:hAnsi="Arial" w:cs="Arial"/>
          <w:sz w:val="24"/>
          <w:szCs w:val="24"/>
        </w:rPr>
        <w:t xml:space="preserve"> to measure the cross-sectional areas of the corresponding cell nuclei. </w:t>
      </w:r>
      <w:r w:rsidRPr="004A2E41">
        <w:rPr>
          <w:rFonts w:ascii="Arial" w:eastAsia="Times New Roman" w:hAnsi="Arial" w:cs="Arial"/>
          <w:sz w:val="24"/>
          <w:szCs w:val="24"/>
        </w:rPr>
        <w:t xml:space="preserve">The thresholded images were </w:t>
      </w:r>
      <w:proofErr w:type="spellStart"/>
      <w:r w:rsidRPr="004A2E41">
        <w:rPr>
          <w:rFonts w:ascii="Arial" w:eastAsia="Times New Roman" w:hAnsi="Arial" w:cs="Arial"/>
          <w:sz w:val="24"/>
          <w:szCs w:val="24"/>
        </w:rPr>
        <w:t>despeckled</w:t>
      </w:r>
      <w:proofErr w:type="spellEnd"/>
      <w:r w:rsidRPr="004A2E41">
        <w:rPr>
          <w:rFonts w:ascii="Arial" w:eastAsia="Times New Roman" w:hAnsi="Arial" w:cs="Arial"/>
          <w:sz w:val="24"/>
          <w:szCs w:val="24"/>
        </w:rPr>
        <w:t xml:space="preserve"> by erosion operations, which were then corrected by dilation operations. Adjacent nuclei were separated with watershed segmentation. The pixel areas of the thresholded nuclei were measured, which were then converted to units of µm</w:t>
      </w:r>
      <w:r w:rsidRPr="004A2E41">
        <w:rPr>
          <w:rFonts w:ascii="Arial" w:eastAsia="Times New Roman" w:hAnsi="Arial" w:cs="Arial"/>
          <w:sz w:val="24"/>
          <w:szCs w:val="24"/>
          <w:vertAlign w:val="superscript"/>
        </w:rPr>
        <w:t>2</w:t>
      </w:r>
      <w:r w:rsidRPr="004A2E41">
        <w:rPr>
          <w:rFonts w:ascii="Arial" w:eastAsia="Times New Roman" w:hAnsi="Arial" w:cs="Arial"/>
          <w:sz w:val="24"/>
          <w:szCs w:val="24"/>
        </w:rPr>
        <w:t xml:space="preserve"> via the image scale factor. </w:t>
      </w:r>
      <w:r w:rsidRPr="004A2E41">
        <w:rPr>
          <w:rFonts w:ascii="Arial" w:hAnsi="Arial" w:cs="Arial"/>
          <w:sz w:val="24"/>
          <w:szCs w:val="24"/>
        </w:rPr>
        <w:t xml:space="preserve">We then calculated the resulting linear expansion factor of ~4.1X using Equation 1, </w:t>
      </w:r>
    </w:p>
    <w:p w14:paraId="0F2B7EC7" w14:textId="77777777" w:rsidR="004A2E41" w:rsidRPr="004A2E41" w:rsidRDefault="004A2E41" w:rsidP="004A2E41">
      <w:pPr>
        <w:spacing w:line="480" w:lineRule="auto"/>
        <w:ind w:left="720" w:firstLine="720"/>
        <w:jc w:val="both"/>
        <w:rPr>
          <w:rFonts w:ascii="Arial" w:eastAsiaTheme="minorEastAsia" w:hAnsi="Arial" w:cs="Arial"/>
          <w:b/>
          <w:bCs/>
          <w:sz w:val="24"/>
          <w:szCs w:val="24"/>
        </w:rPr>
      </w:pPr>
      <m:oMath>
        <m:r>
          <w:rPr>
            <w:rFonts w:ascii="Cambria Math" w:hAnsi="Cambria Math" w:cs="Arial"/>
            <w:sz w:val="24"/>
            <w:szCs w:val="24"/>
          </w:rPr>
          <m:t xml:space="preserve">Expansion Factor= </m:t>
        </m:r>
        <m:rad>
          <m:radPr>
            <m:degHide m:val="1"/>
            <m:ctrlPr>
              <w:rPr>
                <w:rFonts w:ascii="Cambria Math" w:hAnsi="Cambria Math" w:cs="Arial"/>
                <w:i/>
                <w:sz w:val="24"/>
                <w:szCs w:val="24"/>
              </w:rPr>
            </m:ctrlPr>
          </m:radPr>
          <m:deg/>
          <m:e>
            <m:f>
              <m:fPr>
                <m:ctrlPr>
                  <w:rPr>
                    <w:rFonts w:ascii="Cambria Math" w:hAnsi="Cambria Math" w:cs="Arial"/>
                    <w:i/>
                    <w:sz w:val="24"/>
                    <w:szCs w:val="24"/>
                  </w:rPr>
                </m:ctrlPr>
              </m:fPr>
              <m:num>
                <m:acc>
                  <m:accPr>
                    <m:chr m:val="̅"/>
                    <m:ctrlPr>
                      <w:rPr>
                        <w:rFonts w:ascii="Cambria Math" w:hAnsi="Cambria Math" w:cs="Arial"/>
                        <w:i/>
                        <w:sz w:val="24"/>
                        <w:szCs w:val="24"/>
                      </w:rPr>
                    </m:ctrlPr>
                  </m:accPr>
                  <m:e>
                    <m:r>
                      <m:rPr>
                        <m:nor/>
                      </m:rPr>
                      <w:rPr>
                        <w:rFonts w:ascii="Arial" w:hAnsi="Arial" w:cs="Arial"/>
                        <w:i/>
                        <w:iCs/>
                        <w:sz w:val="24"/>
                        <w:szCs w:val="24"/>
                      </w:rPr>
                      <m:t>Nuclei Are</m:t>
                    </m:r>
                    <m:sSub>
                      <m:sSubPr>
                        <m:ctrlPr>
                          <w:rPr>
                            <w:rFonts w:ascii="Cambria Math" w:hAnsi="Cambria Math" w:cs="Arial"/>
                            <w:i/>
                            <w:iCs/>
                            <w:sz w:val="24"/>
                            <w:szCs w:val="24"/>
                          </w:rPr>
                        </m:ctrlPr>
                      </m:sSubPr>
                      <m:e>
                        <m:r>
                          <m:rPr>
                            <m:nor/>
                          </m:rPr>
                          <w:rPr>
                            <w:rFonts w:ascii="Arial" w:hAnsi="Arial" w:cs="Arial"/>
                            <w:i/>
                            <w:iCs/>
                            <w:sz w:val="24"/>
                            <w:szCs w:val="24"/>
                          </w:rPr>
                          <m:t xml:space="preserve">a </m:t>
                        </m:r>
                      </m:e>
                      <m:sub>
                        <m:r>
                          <m:rPr>
                            <m:nor/>
                          </m:rPr>
                          <w:rPr>
                            <w:rFonts w:ascii="Arial" w:hAnsi="Arial" w:cs="Arial"/>
                            <w:i/>
                            <w:iCs/>
                            <w:sz w:val="24"/>
                            <w:szCs w:val="24"/>
                          </w:rPr>
                          <m:t>Expanded</m:t>
                        </m:r>
                      </m:sub>
                    </m:sSub>
                  </m:e>
                </m:acc>
              </m:num>
              <m:den>
                <m:acc>
                  <m:accPr>
                    <m:chr m:val="̅"/>
                    <m:ctrlPr>
                      <w:rPr>
                        <w:rFonts w:ascii="Cambria Math" w:hAnsi="Cambria Math" w:cs="Arial"/>
                        <w:i/>
                        <w:sz w:val="24"/>
                        <w:szCs w:val="24"/>
                      </w:rPr>
                    </m:ctrlPr>
                  </m:accPr>
                  <m:e>
                    <m:r>
                      <m:rPr>
                        <m:nor/>
                      </m:rPr>
                      <w:rPr>
                        <w:rFonts w:ascii="Arial" w:hAnsi="Arial" w:cs="Arial"/>
                        <w:i/>
                        <w:iCs/>
                        <w:sz w:val="24"/>
                        <w:szCs w:val="24"/>
                      </w:rPr>
                      <m:t>Nuclei Are</m:t>
                    </m:r>
                    <m:sSub>
                      <m:sSubPr>
                        <m:ctrlPr>
                          <w:rPr>
                            <w:rFonts w:ascii="Cambria Math" w:hAnsi="Cambria Math" w:cs="Arial"/>
                            <w:i/>
                            <w:iCs/>
                            <w:sz w:val="24"/>
                            <w:szCs w:val="24"/>
                          </w:rPr>
                        </m:ctrlPr>
                      </m:sSubPr>
                      <m:e>
                        <m:r>
                          <m:rPr>
                            <m:nor/>
                          </m:rPr>
                          <w:rPr>
                            <w:rFonts w:ascii="Arial" w:hAnsi="Arial" w:cs="Arial"/>
                            <w:i/>
                            <w:iCs/>
                            <w:sz w:val="24"/>
                            <w:szCs w:val="24"/>
                          </w:rPr>
                          <m:t xml:space="preserve">a </m:t>
                        </m:r>
                      </m:e>
                      <m:sub>
                        <m:r>
                          <m:rPr>
                            <m:nor/>
                          </m:rPr>
                          <w:rPr>
                            <w:rFonts w:ascii="Arial" w:hAnsi="Arial" w:cs="Arial"/>
                            <w:i/>
                            <w:iCs/>
                            <w:sz w:val="24"/>
                            <w:szCs w:val="24"/>
                          </w:rPr>
                          <m:t>Non-Expanded</m:t>
                        </m:r>
                      </m:sub>
                    </m:sSub>
                  </m:e>
                </m:acc>
              </m:den>
            </m:f>
          </m:e>
        </m:rad>
      </m:oMath>
      <w:r w:rsidRPr="004A2E41">
        <w:rPr>
          <w:rFonts w:ascii="Arial" w:hAnsi="Arial" w:cs="Arial"/>
          <w:sz w:val="24"/>
          <w:szCs w:val="24"/>
        </w:rPr>
        <w:tab/>
      </w:r>
      <w:r w:rsidRPr="004A2E41">
        <w:rPr>
          <w:rFonts w:ascii="Arial" w:hAnsi="Arial" w:cs="Arial"/>
          <w:sz w:val="24"/>
          <w:szCs w:val="24"/>
        </w:rPr>
        <w:tab/>
      </w:r>
      <w:r w:rsidRPr="004A2E41">
        <w:rPr>
          <w:rFonts w:ascii="Arial" w:hAnsi="Arial" w:cs="Arial"/>
          <w:sz w:val="24"/>
          <w:szCs w:val="24"/>
        </w:rPr>
        <w:tab/>
      </w:r>
      <w:r w:rsidRPr="004A2E41">
        <w:rPr>
          <w:rFonts w:ascii="Arial" w:hAnsi="Arial" w:cs="Arial"/>
          <w:sz w:val="24"/>
          <w:szCs w:val="24"/>
        </w:rPr>
        <w:tab/>
      </w:r>
      <w:r w:rsidRPr="004A2E41">
        <w:rPr>
          <w:rFonts w:ascii="Arial" w:hAnsi="Arial" w:cs="Arial"/>
          <w:b/>
          <w:bCs/>
          <w:sz w:val="24"/>
          <w:szCs w:val="24"/>
        </w:rPr>
        <w:t>Equation 1</w:t>
      </w:r>
    </w:p>
    <w:p w14:paraId="12AB62DA" w14:textId="0D53CBD5" w:rsidR="004A2E41" w:rsidRPr="004A2E41" w:rsidRDefault="004A2E41" w:rsidP="004A2E41">
      <w:pPr>
        <w:spacing w:line="480" w:lineRule="auto"/>
        <w:ind w:firstLine="360"/>
        <w:jc w:val="both"/>
        <w:rPr>
          <w:rFonts w:ascii="Arial" w:hAnsi="Arial" w:cs="Arial"/>
          <w:sz w:val="24"/>
          <w:szCs w:val="24"/>
        </w:rPr>
      </w:pPr>
      <w:r w:rsidRPr="004A2E41">
        <w:rPr>
          <w:rFonts w:ascii="Arial" w:hAnsi="Arial" w:cs="Arial"/>
          <w:sz w:val="24"/>
          <w:szCs w:val="24"/>
        </w:rPr>
        <w:t xml:space="preserve">where </w:t>
      </w:r>
      <m:oMath>
        <m:acc>
          <m:accPr>
            <m:chr m:val="̅"/>
            <m:ctrlPr>
              <w:rPr>
                <w:rFonts w:ascii="Cambria Math" w:hAnsi="Cambria Math" w:cs="Arial"/>
                <w:i/>
                <w:sz w:val="24"/>
                <w:szCs w:val="24"/>
              </w:rPr>
            </m:ctrlPr>
          </m:accPr>
          <m:e>
            <m:r>
              <m:rPr>
                <m:nor/>
              </m:rPr>
              <w:rPr>
                <w:rFonts w:ascii="Arial" w:hAnsi="Arial" w:cs="Arial"/>
                <w:i/>
                <w:iCs/>
                <w:sz w:val="24"/>
                <w:szCs w:val="24"/>
              </w:rPr>
              <m:t>Nuclei Are</m:t>
            </m:r>
            <m:sSub>
              <m:sSubPr>
                <m:ctrlPr>
                  <w:rPr>
                    <w:rFonts w:ascii="Cambria Math" w:hAnsi="Cambria Math" w:cs="Arial"/>
                    <w:i/>
                    <w:iCs/>
                    <w:sz w:val="24"/>
                    <w:szCs w:val="24"/>
                  </w:rPr>
                </m:ctrlPr>
              </m:sSubPr>
              <m:e>
                <m:r>
                  <m:rPr>
                    <m:nor/>
                  </m:rPr>
                  <w:rPr>
                    <w:rFonts w:ascii="Arial" w:hAnsi="Arial" w:cs="Arial"/>
                    <w:i/>
                    <w:iCs/>
                    <w:sz w:val="24"/>
                    <w:szCs w:val="24"/>
                  </w:rPr>
                  <m:t>a</m:t>
                </m:r>
              </m:e>
              <m:sub>
                <m:r>
                  <m:rPr>
                    <m:nor/>
                  </m:rPr>
                  <w:rPr>
                    <w:rFonts w:ascii="Arial" w:hAnsi="Arial" w:cs="Arial"/>
                    <w:i/>
                    <w:iCs/>
                    <w:sz w:val="24"/>
                    <w:szCs w:val="24"/>
                  </w:rPr>
                  <m:t xml:space="preserve"> Non-Expanded</m:t>
                </m:r>
              </m:sub>
            </m:sSub>
          </m:e>
        </m:acc>
      </m:oMath>
      <w:r w:rsidRPr="004A2E41">
        <w:rPr>
          <w:rFonts w:ascii="Arial" w:hAnsi="Arial" w:cs="Arial"/>
          <w:sz w:val="24"/>
          <w:szCs w:val="24"/>
        </w:rPr>
        <w:t xml:space="preserve"> and </w:t>
      </w:r>
      <m:oMath>
        <m:acc>
          <m:accPr>
            <m:chr m:val="̅"/>
            <m:ctrlPr>
              <w:rPr>
                <w:rFonts w:ascii="Cambria Math" w:hAnsi="Cambria Math" w:cs="Arial"/>
                <w:i/>
                <w:sz w:val="24"/>
                <w:szCs w:val="24"/>
              </w:rPr>
            </m:ctrlPr>
          </m:accPr>
          <m:e>
            <m:r>
              <m:rPr>
                <m:nor/>
              </m:rPr>
              <w:rPr>
                <w:rFonts w:ascii="Arial" w:hAnsi="Arial" w:cs="Arial"/>
                <w:i/>
                <w:iCs/>
                <w:sz w:val="24"/>
                <w:szCs w:val="24"/>
              </w:rPr>
              <m:t>Nuclei Are</m:t>
            </m:r>
            <m:sSub>
              <m:sSubPr>
                <m:ctrlPr>
                  <w:rPr>
                    <w:rFonts w:ascii="Cambria Math" w:hAnsi="Cambria Math" w:cs="Arial"/>
                    <w:i/>
                    <w:iCs/>
                    <w:sz w:val="24"/>
                    <w:szCs w:val="24"/>
                  </w:rPr>
                </m:ctrlPr>
              </m:sSubPr>
              <m:e>
                <m:r>
                  <m:rPr>
                    <m:nor/>
                  </m:rPr>
                  <w:rPr>
                    <w:rFonts w:ascii="Arial" w:hAnsi="Arial" w:cs="Arial"/>
                    <w:i/>
                    <w:iCs/>
                    <w:sz w:val="24"/>
                    <w:szCs w:val="24"/>
                  </w:rPr>
                  <m:t>a</m:t>
                </m:r>
                <m:r>
                  <w:rPr>
                    <w:rFonts w:ascii="Cambria Math" w:hAnsi="Cambria Math" w:cs="Arial"/>
                    <w:sz w:val="24"/>
                    <w:szCs w:val="24"/>
                  </w:rPr>
                  <m:t xml:space="preserve"> </m:t>
                </m:r>
              </m:e>
              <m:sub>
                <m:r>
                  <m:rPr>
                    <m:nor/>
                  </m:rPr>
                  <w:rPr>
                    <w:rFonts w:ascii="Arial" w:hAnsi="Arial" w:cs="Arial"/>
                    <w:i/>
                    <w:iCs/>
                    <w:sz w:val="24"/>
                    <w:szCs w:val="24"/>
                  </w:rPr>
                  <m:t>Expanded</m:t>
                </m:r>
              </m:sub>
            </m:sSub>
          </m:e>
        </m:acc>
      </m:oMath>
      <w:r w:rsidRPr="004A2E41">
        <w:rPr>
          <w:rFonts w:ascii="Arial" w:hAnsi="Arial" w:cs="Arial"/>
          <w:sz w:val="24"/>
          <w:szCs w:val="24"/>
        </w:rPr>
        <w:t xml:space="preserve"> refer to the mean areas of the measured nuclei in non-expanded and expanded cells, respectively.</w:t>
      </w:r>
      <w:r w:rsidR="003C512D">
        <w:rPr>
          <w:rFonts w:ascii="Arial" w:hAnsi="Arial" w:cs="Arial"/>
          <w:sz w:val="24"/>
          <w:szCs w:val="24"/>
        </w:rPr>
        <w:t xml:space="preserve"> Similar methods were applied to calculate the expansion factors from the pan-ExM and Magnify protocols. </w:t>
      </w:r>
    </w:p>
    <w:p w14:paraId="53FBEE68" w14:textId="77777777"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hAnsi="Arial" w:cs="Arial"/>
          <w:sz w:val="24"/>
          <w:szCs w:val="24"/>
        </w:rPr>
        <w:t xml:space="preserve">To quantify the increase in image resolution, we applied a grid of equally spaced lines across the images of non-expanded and expanded nuclei and measured the pixel intensities corresponding to a blue-fluorescent DNA stain, DAPI, along these lines (Figure S2a). We counted the peak numbers in the pixel intensity graphs across the line profiles for each analyzed nucleus and divided that count by the total length of the line profiles to determine the number of intensity peaks/µm as an unbiased measurement of resolution. The lengths of the line profiles across expanded nuclei were scaled down by the </w:t>
      </w:r>
      <w:r w:rsidRPr="004A2E41">
        <w:rPr>
          <w:rFonts w:ascii="Arial" w:hAnsi="Arial" w:cs="Arial"/>
          <w:sz w:val="24"/>
          <w:szCs w:val="24"/>
        </w:rPr>
        <w:lastRenderedPageBreak/>
        <w:t xml:space="preserve">previously determined expansion factor of 4.1X for comparison against the non-expanded nuclei. </w:t>
      </w:r>
    </w:p>
    <w:p w14:paraId="02F5E1E1" w14:textId="46B2E345" w:rsidR="004A2E41" w:rsidRPr="004A2E41" w:rsidRDefault="004A2E41" w:rsidP="004A2E41">
      <w:pPr>
        <w:spacing w:line="480" w:lineRule="auto"/>
        <w:ind w:firstLine="360"/>
        <w:jc w:val="both"/>
        <w:rPr>
          <w:rFonts w:ascii="Arial" w:eastAsia="Times New Roman" w:hAnsi="Arial" w:cs="Arial"/>
          <w:sz w:val="24"/>
          <w:szCs w:val="24"/>
        </w:rPr>
      </w:pPr>
      <w:r w:rsidRPr="004A2E41">
        <w:rPr>
          <w:rFonts w:ascii="Arial" w:eastAsia="Times New Roman" w:hAnsi="Arial" w:cs="Arial"/>
          <w:sz w:val="24"/>
          <w:szCs w:val="24"/>
        </w:rPr>
        <w:t>To randomly select cells for analysis, all the cells on each imaging frame were measured and collectively assigned a number tag from a random number generator. These number tags were then arranged in numerical order, allowing for any number of random cells to be selected from the top of the list. For nanoparticle light scattering and fluorescence signal intensities, the brightness of each channel was first set through the histogram in the Zen Lite software, before individual regions of interest were drawn around the membranes of the cells in ImageJ, and the integrated density was measured for the signals of interest. Outliers were removed based on Tukey’s method.</w:t>
      </w:r>
      <w:r w:rsidRPr="004A2E41">
        <w:rPr>
          <w:rFonts w:ascii="Arial" w:eastAsia="Times New Roman" w:hAnsi="Arial" w:cs="Arial"/>
          <w:sz w:val="24"/>
          <w:szCs w:val="24"/>
        </w:rPr>
        <w:fldChar w:fldCharType="begin" w:fldLock="1"/>
      </w:r>
      <w:r w:rsidR="00E26DE5">
        <w:rPr>
          <w:rFonts w:ascii="Arial" w:eastAsia="Times New Roman" w:hAnsi="Arial" w:cs="Arial"/>
          <w:sz w:val="24"/>
          <w:szCs w:val="24"/>
        </w:rPr>
        <w:instrText>ADDIN CSL_CITATION {"citationItems":[{"id":"ITEM-1","itemData":{"abstract":"Outlier detection is an important branch in data mining, which is the discovery of data that deviate a lot from other data patterns. Outlier identification can be classified in to formal and informal methods. This paper deals the informal methods also called as labeling methods. Identification of outliers in real time medical data using outlier labeling methods was studied. There are several labeling methods applying in practical situation in the dataset are computed. Finally the estimated results of the outliers are more appropriate way to resolving the large populations.","author":[{"dropping-particle":"","family":"Kannan","given":"K Senthamarai","non-dropping-particle":"","parse-names":false,"suffix":""},{"dropping-particle":"","family":"Manoj","given":"K","non-dropping-particle":"","parse-names":false,"suffix":""},{"dropping-particle":"","family":"Arumugam","given":"S","non-dropping-particle":"","parse-names":false,"suffix":""}],"container-title":"International Journal of Statistics and Systems(IJSS)","id":"ITEM-1","issue":"October","issued":{"date-parts":[["2015"]]},"title":"Labeling Methods for Identifying Outliers","type":"article-journal"},"uris":["http://www.mendeley.com/documents/?uuid=c0138337-96c1-4d96-9cc8-753b2e64d19b"]}],"mendeley":{"formattedCitation":"&lt;sup&gt;349&lt;/sup&gt;","plainTextFormattedCitation":"349","previouslyFormattedCitation":"&lt;sup&gt;349&lt;/sup&gt;"},"properties":{"noteIndex":0},"schema":"https://github.com/citation-style-language/schema/raw/master/csl-citation.json"}</w:instrText>
      </w:r>
      <w:r w:rsidRPr="004A2E41">
        <w:rPr>
          <w:rFonts w:ascii="Arial" w:eastAsia="Times New Roman" w:hAnsi="Arial" w:cs="Arial"/>
          <w:sz w:val="24"/>
          <w:szCs w:val="24"/>
        </w:rPr>
        <w:fldChar w:fldCharType="separate"/>
      </w:r>
      <w:r w:rsidR="008D4DC0" w:rsidRPr="008D4DC0">
        <w:rPr>
          <w:rFonts w:ascii="Arial" w:eastAsia="Times New Roman" w:hAnsi="Arial" w:cs="Arial"/>
          <w:noProof/>
          <w:sz w:val="24"/>
          <w:szCs w:val="24"/>
          <w:vertAlign w:val="superscript"/>
        </w:rPr>
        <w:t>349</w:t>
      </w:r>
      <w:r w:rsidRPr="004A2E41">
        <w:rPr>
          <w:rFonts w:ascii="Arial" w:eastAsia="Times New Roman" w:hAnsi="Arial" w:cs="Arial"/>
          <w:sz w:val="24"/>
          <w:szCs w:val="24"/>
        </w:rPr>
        <w:fldChar w:fldCharType="end"/>
      </w:r>
    </w:p>
    <w:p w14:paraId="2DE71CE7" w14:textId="1EAB1BD9" w:rsidR="004A2E41" w:rsidRPr="004A2E41" w:rsidRDefault="004A2E41" w:rsidP="004A2E41">
      <w:pPr>
        <w:spacing w:line="480" w:lineRule="auto"/>
        <w:ind w:firstLine="360"/>
        <w:jc w:val="both"/>
        <w:rPr>
          <w:rFonts w:ascii="Arial" w:hAnsi="Arial" w:cs="Arial"/>
          <w:sz w:val="24"/>
          <w:szCs w:val="24"/>
        </w:rPr>
      </w:pPr>
      <w:r w:rsidRPr="004A2E41">
        <w:rPr>
          <w:rFonts w:ascii="Arial" w:hAnsi="Arial" w:cs="Arial"/>
          <w:sz w:val="24"/>
          <w:szCs w:val="24"/>
        </w:rPr>
        <w:t>Nanoparticle light scattering signal counting, as well as cell and vesicle volumes for pan-ExM samples, were analyzed with MATLAB. The NHS-AF555 signal was set to appear gray and the light scattering channel was set to appear red, and then Z-stacks were converted from 12-bit images into 8-bit RGB images, having pixel values ranging from 0 to 255, through Zen Lite. Only the R channel was analyzed given that the NHS-AF555 was equivalent to grayscale and the light scattering signal had pixel values of 0 for the G and B channels. For nanoparticle counting, we found and utilized several useful patterns. First, the pixel values of the background areas in controls were equal or smaller than 10. This means that thresholds up to 10 may cause background noise to be counted towards nanoparticle signal counts. To safely filter out the background noise, three times the noise level was used as a reliable threshold (</w:t>
      </w:r>
      <w:proofErr w:type="gramStart"/>
      <w:r w:rsidRPr="004A2E41">
        <w:rPr>
          <w:rFonts w:ascii="Arial" w:hAnsi="Arial" w:cs="Arial"/>
          <w:sz w:val="24"/>
          <w:szCs w:val="24"/>
        </w:rPr>
        <w:t>i.e.</w:t>
      </w:r>
      <w:proofErr w:type="gramEnd"/>
      <w:r w:rsidRPr="004A2E41">
        <w:rPr>
          <w:rFonts w:ascii="Arial" w:hAnsi="Arial" w:cs="Arial"/>
          <w:sz w:val="24"/>
          <w:szCs w:val="24"/>
        </w:rPr>
        <w:t xml:space="preserve"> 30). Second, we observed that each nanoparticle occupied a grid of size 3×3 with the brightest pixel located in the center. Given a nanoparticle, denote the brightest pixel value as P, then the values of the </w:t>
      </w:r>
      <w:r w:rsidRPr="004A2E41">
        <w:rPr>
          <w:rFonts w:ascii="Arial" w:hAnsi="Arial" w:cs="Arial"/>
          <w:sz w:val="24"/>
          <w:szCs w:val="24"/>
        </w:rPr>
        <w:lastRenderedPageBreak/>
        <w:t>surrounding eight pixels fell within [1, P]. By considering these two important patterns, our algorithm calculated the number of nanoparticles and the area occupied. The volumes of the cells, as well as the cumulative nanoparticle and vesicle volumes, were approximated by the summation of the areas of each respective category throughout the entire Z-stacks. To delineate cell boundary, Otsu’s method</w:t>
      </w:r>
      <w:r w:rsidRPr="004A2E41">
        <w:rPr>
          <w:rFonts w:ascii="Arial" w:hAnsi="Arial" w:cs="Arial"/>
          <w:sz w:val="24"/>
          <w:szCs w:val="24"/>
        </w:rPr>
        <w:fldChar w:fldCharType="begin" w:fldLock="1"/>
      </w:r>
      <w:r w:rsidR="00E26DE5">
        <w:rPr>
          <w:rFonts w:ascii="Arial" w:hAnsi="Arial" w:cs="Arial"/>
          <w:sz w:val="24"/>
          <w:szCs w:val="24"/>
        </w:rPr>
        <w:instrText>ADDIN CSL_CITATION {"citationItems":[{"id":"ITEM-1","itemData":{"DOI":"10.1109/TSMC.1979.4310076","ISSN":"0018-9472","abstract":"Après avoir décomposé l'Atlas Linguistique de France carte par carte, l'A. a procédé à un travail de taxation et d'informatisation des données taxées, afin que ces données soient dialectométrisées. Il décrit le déroulement de ces opérations ainsi que la méthode dialectométrique utilisée qui permet de mesurer la distance linguistique, ou la similarité linguistique, entre différents points de l'ALF. Il présente les informations qu'apporte l'analyse dialectométrique de 24 cartes de l'ALF","author":[{"dropping-particle":"","family":"Otsu","given":"Nobuyuki","non-dropping-particle":"","parse-names":false,"suffix":""}],"container-title":"IEEE Transactions on Systems, Man, and Cybernetics","id":"ITEM-1","issue":"1","issued":{"date-parts":[["1979","1"]]},"page":"62-66","title":"A Threshold Selection Method from Gray-Level Histograms","type":"article-journal","volume":"9"},"uris":["http://www.mendeley.com/documents/?uuid=f7821e3f-2eff-4dfd-854d-35fd0d227f9f"]}],"mendeley":{"formattedCitation":"&lt;sup&gt;350&lt;/sup&gt;","plainTextFormattedCitation":"350","previouslyFormattedCitation":"&lt;sup&gt;350&lt;/sup&gt;"},"properties":{"noteIndex":0},"schema":"https://github.com/citation-style-language/schema/raw/master/csl-citation.json"}</w:instrText>
      </w:r>
      <w:r w:rsidRPr="004A2E41">
        <w:rPr>
          <w:rFonts w:ascii="Arial" w:hAnsi="Arial" w:cs="Arial"/>
          <w:sz w:val="24"/>
          <w:szCs w:val="24"/>
        </w:rPr>
        <w:fldChar w:fldCharType="separate"/>
      </w:r>
      <w:r w:rsidR="008D4DC0" w:rsidRPr="008D4DC0">
        <w:rPr>
          <w:rFonts w:ascii="Arial" w:hAnsi="Arial" w:cs="Arial"/>
          <w:noProof/>
          <w:sz w:val="24"/>
          <w:szCs w:val="24"/>
          <w:vertAlign w:val="superscript"/>
        </w:rPr>
        <w:t>350</w:t>
      </w:r>
      <w:r w:rsidRPr="004A2E41">
        <w:rPr>
          <w:rFonts w:ascii="Arial" w:hAnsi="Arial" w:cs="Arial"/>
          <w:sz w:val="24"/>
          <w:szCs w:val="24"/>
        </w:rPr>
        <w:fldChar w:fldCharType="end"/>
      </w:r>
      <w:r w:rsidRPr="004A2E41">
        <w:rPr>
          <w:rFonts w:ascii="Arial" w:hAnsi="Arial" w:cs="Arial"/>
          <w:sz w:val="24"/>
          <w:szCs w:val="24"/>
        </w:rPr>
        <w:t xml:space="preserve"> was first used to choose an optimal threshold and create a binary image where cell regions are separated from background. This method works by minimizing the intraclass variance of the thresholded cell and background pixels. Then, morphological operations (e.g., dilation, erosion, image opening, etc.) were applied to fill small holes, remove small, isolated regions to obtain a refined cell mask, denoted as M1. In this mask, white pixels represent </w:t>
      </w:r>
      <w:proofErr w:type="gramStart"/>
      <w:r w:rsidRPr="004A2E41">
        <w:rPr>
          <w:rFonts w:ascii="Arial" w:hAnsi="Arial" w:cs="Arial"/>
          <w:sz w:val="24"/>
          <w:szCs w:val="24"/>
        </w:rPr>
        <w:t>cell</w:t>
      </w:r>
      <w:proofErr w:type="gramEnd"/>
      <w:r w:rsidRPr="004A2E41">
        <w:rPr>
          <w:rFonts w:ascii="Arial" w:hAnsi="Arial" w:cs="Arial"/>
          <w:sz w:val="24"/>
          <w:szCs w:val="24"/>
        </w:rPr>
        <w:t>, whereas black pixels are background and vesicles. Most vesicles (black holes) were located inside the mask, and the rest located on the boundary of the mask. We further applied a series of morphological operations to fill out the black holes. This resulted in a much more compact cell mask denoted as M2, and cell area was calculated using this mask. Subtracting M1 from M2 resulted in a map where all vesicle regions were highlighted. Morphological operations were further applied to refine the results and generate a final mask M3 depicting vesicle regions. With the compact cell and vesicle masks, we computed cell and vesicle areas. When calculating the number of red dots areas that fall in vesicle regions, it should be noted that we purposely lowered the red dot threshold to 20. This can more accurately reflect the area of nanoparticles because the area of less bright surrounding pixels is considered instead of only considering the brightest pixels.</w:t>
      </w:r>
    </w:p>
    <w:p w14:paraId="164C8B30" w14:textId="77777777" w:rsidR="004A2E41" w:rsidRPr="004A2E41" w:rsidRDefault="004A2E41" w:rsidP="004A2E41">
      <w:pPr>
        <w:spacing w:line="480" w:lineRule="auto"/>
        <w:ind w:firstLine="360"/>
        <w:jc w:val="both"/>
        <w:rPr>
          <w:rFonts w:ascii="Arial" w:eastAsia="Times New Roman" w:hAnsi="Arial" w:cs="Arial"/>
          <w:sz w:val="24"/>
          <w:szCs w:val="24"/>
        </w:rPr>
      </w:pPr>
    </w:p>
    <w:p w14:paraId="11845C93" w14:textId="77777777" w:rsidR="004A2E41" w:rsidRPr="004A2E41" w:rsidRDefault="004A2E41" w:rsidP="00721691">
      <w:pPr>
        <w:pStyle w:val="Heading3"/>
      </w:pPr>
      <w:bookmarkStart w:id="89" w:name="_Toc116832148"/>
      <w:bookmarkStart w:id="90" w:name="_Toc151032451"/>
      <w:r w:rsidRPr="004A2E41">
        <w:lastRenderedPageBreak/>
        <w:t>Transmission Electron Microscopy (TEM)</w:t>
      </w:r>
      <w:bookmarkEnd w:id="89"/>
      <w:bookmarkEnd w:id="90"/>
    </w:p>
    <w:p w14:paraId="1DE0265B" w14:textId="77777777" w:rsidR="004A2E41" w:rsidRPr="004A2E41" w:rsidRDefault="004A2E41" w:rsidP="004A2E41">
      <w:pPr>
        <w:spacing w:line="480" w:lineRule="auto"/>
        <w:jc w:val="both"/>
        <w:rPr>
          <w:rFonts w:ascii="Arial" w:hAnsi="Arial" w:cs="Arial"/>
          <w:sz w:val="24"/>
          <w:szCs w:val="24"/>
        </w:rPr>
      </w:pPr>
      <w:r w:rsidRPr="004A2E41">
        <w:rPr>
          <w:rFonts w:ascii="Arial" w:hAnsi="Arial" w:cs="Arial"/>
          <w:sz w:val="24"/>
          <w:szCs w:val="24"/>
        </w:rPr>
        <w:t>TEM images of gold nanoparticles were acquired using a JEOL2010F 200-kV field emission analytical transmission electron microscope with a DE-12 camera on copper TEM grids. Negative staining was done with 0.2% uranyl acetate. TEM images of cell samples were acquired using a Hitachi H-7600 Transmission Electron Microscope. Cells were fixed in a solution of 2% (v/v) glutaraldehyde and 4% paraformaldehyde (v/v) in 0.2-M cacodylate buffer at room temperature for 1 hour and were then stored at 4</w:t>
      </w:r>
      <w:r w:rsidRPr="004A2E41">
        <w:rPr>
          <w:rFonts w:ascii="Arial" w:eastAsia="Times New Roman" w:hAnsi="Arial" w:cs="Arial"/>
          <w:sz w:val="24"/>
          <w:szCs w:val="24"/>
        </w:rPr>
        <w:t>°C</w:t>
      </w:r>
      <w:r w:rsidRPr="004A2E41">
        <w:rPr>
          <w:rFonts w:ascii="Arial" w:hAnsi="Arial" w:cs="Arial"/>
          <w:sz w:val="24"/>
          <w:szCs w:val="24"/>
        </w:rPr>
        <w:t xml:space="preserve"> until sectioning. Samples were </w:t>
      </w:r>
      <w:proofErr w:type="gramStart"/>
      <w:r w:rsidRPr="004A2E41">
        <w:rPr>
          <w:rFonts w:ascii="Arial" w:hAnsi="Arial" w:cs="Arial"/>
          <w:sz w:val="24"/>
          <w:szCs w:val="24"/>
        </w:rPr>
        <w:t>negative</w:t>
      </w:r>
      <w:proofErr w:type="gramEnd"/>
      <w:r w:rsidRPr="004A2E41">
        <w:rPr>
          <w:rFonts w:ascii="Arial" w:hAnsi="Arial" w:cs="Arial"/>
          <w:sz w:val="24"/>
          <w:szCs w:val="24"/>
        </w:rPr>
        <w:t xml:space="preserve"> stained with a 3% lead citrate solution.</w:t>
      </w:r>
    </w:p>
    <w:p w14:paraId="3B2C3851" w14:textId="77777777" w:rsidR="004A2E41" w:rsidRDefault="004A2E41" w:rsidP="004A2E41">
      <w:pPr>
        <w:spacing w:line="480" w:lineRule="auto"/>
        <w:jc w:val="both"/>
        <w:rPr>
          <w:rFonts w:ascii="Arial" w:hAnsi="Arial" w:cs="Arial"/>
          <w:sz w:val="24"/>
          <w:szCs w:val="24"/>
        </w:rPr>
      </w:pPr>
    </w:p>
    <w:p w14:paraId="0FD7BDF5" w14:textId="470E0371" w:rsidR="002A0D1B" w:rsidRPr="008C387C" w:rsidRDefault="002A0D1B" w:rsidP="00721691">
      <w:pPr>
        <w:pStyle w:val="Heading3"/>
      </w:pPr>
      <w:bookmarkStart w:id="91" w:name="_Toc151032452"/>
      <w:r w:rsidRPr="008C387C">
        <w:t>Agarose gel electrophoresis</w:t>
      </w:r>
      <w:bookmarkEnd w:id="91"/>
    </w:p>
    <w:p w14:paraId="41ED6839" w14:textId="220CAD47" w:rsidR="002A0D1B" w:rsidRDefault="002A0D1B" w:rsidP="002A0D1B">
      <w:pPr>
        <w:spacing w:line="480" w:lineRule="auto"/>
        <w:jc w:val="both"/>
        <w:rPr>
          <w:rFonts w:ascii="Arial" w:hAnsi="Arial" w:cs="Arial"/>
          <w:sz w:val="24"/>
          <w:szCs w:val="24"/>
        </w:rPr>
      </w:pPr>
      <w:r w:rsidRPr="008C387C">
        <w:rPr>
          <w:rFonts w:ascii="Arial" w:hAnsi="Arial" w:cs="Arial"/>
          <w:sz w:val="24"/>
          <w:szCs w:val="24"/>
        </w:rPr>
        <w:t xml:space="preserve">Agarose gel electrophoresis was run based on a protocol described by </w:t>
      </w:r>
      <w:r w:rsidRPr="008C387C">
        <w:rPr>
          <w:rFonts w:ascii="Arial" w:eastAsia="Times New Roman" w:hAnsi="Arial" w:cs="Arial"/>
          <w:sz w:val="24"/>
          <w:szCs w:val="24"/>
        </w:rPr>
        <w:t xml:space="preserve">Yang </w:t>
      </w:r>
      <w:r w:rsidRPr="008C387C">
        <w:rPr>
          <w:rFonts w:ascii="Arial" w:eastAsia="Times New Roman" w:hAnsi="Arial" w:cs="Arial"/>
          <w:i/>
          <w:iCs/>
          <w:sz w:val="24"/>
          <w:szCs w:val="24"/>
        </w:rPr>
        <w:t>et al</w:t>
      </w:r>
      <w:r w:rsidRPr="008C387C">
        <w:rPr>
          <w:rFonts w:ascii="Arial" w:eastAsia="Times New Roman" w:hAnsi="Arial" w:cs="Arial"/>
          <w:sz w:val="24"/>
          <w:szCs w:val="24"/>
        </w:rPr>
        <w:t>.</w:t>
      </w:r>
      <w:r w:rsidRPr="008C387C">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301&lt;/sup&gt;","plainTextFormattedCitation":"301","previouslyFormattedCitation":"&lt;sup&gt;301&lt;/sup&gt;"},"properties":{"noteIndex":0},"schema":"https://github.com/citation-style-language/schema/raw/master/csl-citation.json"}</w:instrText>
      </w:r>
      <w:r w:rsidRPr="008C387C">
        <w:rPr>
          <w:rFonts w:ascii="Arial" w:eastAsia="Times New Roman" w:hAnsi="Arial" w:cs="Arial"/>
          <w:sz w:val="24"/>
          <w:szCs w:val="24"/>
        </w:rPr>
        <w:fldChar w:fldCharType="separate"/>
      </w:r>
      <w:r w:rsidR="009D7D40" w:rsidRPr="008C387C">
        <w:rPr>
          <w:rFonts w:ascii="Arial" w:eastAsia="Times New Roman" w:hAnsi="Arial" w:cs="Arial"/>
          <w:noProof/>
          <w:sz w:val="24"/>
          <w:szCs w:val="24"/>
          <w:vertAlign w:val="superscript"/>
        </w:rPr>
        <w:t>301</w:t>
      </w:r>
      <w:r w:rsidRPr="008C387C">
        <w:rPr>
          <w:rFonts w:ascii="Arial" w:eastAsia="Times New Roman" w:hAnsi="Arial" w:cs="Arial"/>
          <w:sz w:val="24"/>
          <w:szCs w:val="24"/>
        </w:rPr>
        <w:fldChar w:fldCharType="end"/>
      </w:r>
      <w:r w:rsidRPr="008C387C">
        <w:rPr>
          <w:rFonts w:ascii="Arial" w:eastAsia="Times New Roman" w:hAnsi="Arial" w:cs="Arial"/>
          <w:sz w:val="24"/>
          <w:szCs w:val="24"/>
        </w:rPr>
        <w:t xml:space="preserve"> Briefly</w:t>
      </w:r>
      <w:r w:rsidR="001E58DD" w:rsidRPr="008C387C">
        <w:rPr>
          <w:rFonts w:ascii="Arial" w:eastAsia="Times New Roman" w:hAnsi="Arial" w:cs="Arial"/>
          <w:sz w:val="24"/>
          <w:szCs w:val="24"/>
        </w:rPr>
        <w:t xml:space="preserve">, agarose was </w:t>
      </w:r>
      <w:r w:rsidR="005D43BA" w:rsidRPr="008C387C">
        <w:rPr>
          <w:rFonts w:ascii="Arial" w:eastAsia="Times New Roman" w:hAnsi="Arial" w:cs="Arial"/>
          <w:sz w:val="24"/>
          <w:szCs w:val="24"/>
        </w:rPr>
        <w:t xml:space="preserve">melted </w:t>
      </w:r>
      <w:r w:rsidR="001E58DD" w:rsidRPr="008C387C">
        <w:rPr>
          <w:rFonts w:ascii="Arial" w:eastAsia="Times New Roman" w:hAnsi="Arial" w:cs="Arial"/>
          <w:sz w:val="24"/>
          <w:szCs w:val="24"/>
        </w:rPr>
        <w:t>in 0.5X TBE buffer to a 0.5% (w/v) concentration</w:t>
      </w:r>
      <w:r w:rsidR="005D43BA" w:rsidRPr="008C387C">
        <w:rPr>
          <w:rFonts w:ascii="Arial" w:eastAsia="Times New Roman" w:hAnsi="Arial" w:cs="Arial"/>
          <w:sz w:val="24"/>
          <w:szCs w:val="24"/>
        </w:rPr>
        <w:t>, and then casted in a gel tray with a comb</w:t>
      </w:r>
      <w:r w:rsidR="001E58DD" w:rsidRPr="008C387C">
        <w:rPr>
          <w:rFonts w:ascii="Arial" w:eastAsia="Times New Roman" w:hAnsi="Arial" w:cs="Arial"/>
          <w:sz w:val="24"/>
          <w:szCs w:val="24"/>
        </w:rPr>
        <w:t xml:space="preserve">. </w:t>
      </w:r>
      <w:r w:rsidR="005D43BA" w:rsidRPr="008C387C">
        <w:rPr>
          <w:rFonts w:ascii="Arial" w:eastAsia="Times New Roman" w:hAnsi="Arial" w:cs="Arial"/>
          <w:sz w:val="24"/>
          <w:szCs w:val="24"/>
        </w:rPr>
        <w:t xml:space="preserve">The gel was placed in a gel running tank which was then filled with 0.5X TBE buffer. Samples were mixed with 150 mg/mL </w:t>
      </w:r>
      <w:proofErr w:type="spellStart"/>
      <w:r w:rsidR="005D43BA" w:rsidRPr="008C387C">
        <w:rPr>
          <w:rFonts w:ascii="Arial" w:eastAsia="Times New Roman" w:hAnsi="Arial" w:cs="Arial"/>
          <w:sz w:val="24"/>
          <w:szCs w:val="24"/>
        </w:rPr>
        <w:t>Ficoll</w:t>
      </w:r>
      <w:proofErr w:type="spellEnd"/>
      <w:r w:rsidR="005D43BA" w:rsidRPr="008C387C">
        <w:rPr>
          <w:rFonts w:ascii="Arial" w:eastAsia="Times New Roman" w:hAnsi="Arial" w:cs="Arial"/>
          <w:sz w:val="24"/>
          <w:szCs w:val="24"/>
        </w:rPr>
        <w:t xml:space="preserve"> 400 at a ratio of 2 µL </w:t>
      </w:r>
      <w:proofErr w:type="spellStart"/>
      <w:r w:rsidR="005D43BA" w:rsidRPr="008C387C">
        <w:rPr>
          <w:rFonts w:ascii="Arial" w:eastAsia="Times New Roman" w:hAnsi="Arial" w:cs="Arial"/>
          <w:sz w:val="24"/>
          <w:szCs w:val="24"/>
        </w:rPr>
        <w:t>Ficoll</w:t>
      </w:r>
      <w:proofErr w:type="spellEnd"/>
      <w:r w:rsidR="005D43BA" w:rsidRPr="008C387C">
        <w:rPr>
          <w:rFonts w:ascii="Arial" w:eastAsia="Times New Roman" w:hAnsi="Arial" w:cs="Arial"/>
          <w:sz w:val="24"/>
          <w:szCs w:val="24"/>
        </w:rPr>
        <w:t xml:space="preserve"> </w:t>
      </w:r>
      <w:r w:rsidR="0097701F" w:rsidRPr="008C387C">
        <w:rPr>
          <w:rFonts w:ascii="Arial" w:eastAsia="Times New Roman" w:hAnsi="Arial" w:cs="Arial"/>
          <w:sz w:val="24"/>
          <w:szCs w:val="24"/>
        </w:rPr>
        <w:t>per 10 µL of sample. 10 µL of each sample was then loaded into the wells of the gel. The agarose gels were then run at 70 V for AuNPs or 80 V for liposomes for 30-40 minutes. The gel was then rinsed with deionized water, and then imaged on an Azure C600 gel imager.</w:t>
      </w:r>
    </w:p>
    <w:p w14:paraId="0EBF8E7F" w14:textId="77777777" w:rsidR="002A0D1B" w:rsidRPr="002A0D1B" w:rsidRDefault="002A0D1B" w:rsidP="004A2E41">
      <w:pPr>
        <w:spacing w:line="480" w:lineRule="auto"/>
        <w:jc w:val="both"/>
        <w:rPr>
          <w:rFonts w:ascii="Arial" w:hAnsi="Arial" w:cs="Arial"/>
          <w:sz w:val="24"/>
          <w:szCs w:val="24"/>
        </w:rPr>
      </w:pPr>
    </w:p>
    <w:p w14:paraId="2A794B4D" w14:textId="77777777" w:rsidR="004A2E41" w:rsidRPr="004A2E41" w:rsidRDefault="004A2E41" w:rsidP="00721691">
      <w:pPr>
        <w:pStyle w:val="Heading3"/>
      </w:pPr>
      <w:bookmarkStart w:id="92" w:name="_Toc116832149"/>
      <w:bookmarkStart w:id="93" w:name="_Toc151032453"/>
      <w:r w:rsidRPr="004A2E41">
        <w:t>Sodium dodecyl sulfate-polyacrylamide gel electrophoresis (SDS-PAGE)</w:t>
      </w:r>
      <w:bookmarkEnd w:id="92"/>
      <w:bookmarkEnd w:id="93"/>
    </w:p>
    <w:p w14:paraId="0A4A9494" w14:textId="648500B0" w:rsidR="004A2E41" w:rsidRPr="004A2E41" w:rsidRDefault="004A2E41" w:rsidP="004A2E41">
      <w:pPr>
        <w:spacing w:line="480" w:lineRule="auto"/>
        <w:jc w:val="both"/>
        <w:rPr>
          <w:rFonts w:ascii="Arial" w:eastAsia="Times New Roman" w:hAnsi="Arial" w:cs="Arial"/>
          <w:sz w:val="24"/>
          <w:szCs w:val="24"/>
        </w:rPr>
      </w:pPr>
      <w:r w:rsidRPr="004A2E41">
        <w:rPr>
          <w:rFonts w:ascii="Arial" w:eastAsia="Times New Roman" w:hAnsi="Arial" w:cs="Arial"/>
          <w:sz w:val="24"/>
          <w:szCs w:val="24"/>
        </w:rPr>
        <w:t xml:space="preserve">SDS-PAGE was run based on a protocol described by Yang </w:t>
      </w:r>
      <w:r w:rsidRPr="004A2E41">
        <w:rPr>
          <w:rFonts w:ascii="Arial" w:eastAsia="Times New Roman" w:hAnsi="Arial" w:cs="Arial"/>
          <w:i/>
          <w:iCs/>
          <w:sz w:val="24"/>
          <w:szCs w:val="24"/>
        </w:rPr>
        <w:t>et al</w:t>
      </w:r>
      <w:r w:rsidRPr="004A2E41">
        <w:rPr>
          <w:rFonts w:ascii="Arial" w:eastAsia="Times New Roman" w:hAnsi="Arial" w:cs="Arial"/>
          <w:sz w:val="24"/>
          <w:szCs w:val="24"/>
        </w:rPr>
        <w:t>.</w:t>
      </w:r>
      <w:r w:rsidRPr="004A2E41">
        <w:rPr>
          <w:rFonts w:ascii="Arial" w:eastAsia="Times New Roman" w:hAnsi="Arial" w:cs="Arial"/>
          <w:sz w:val="24"/>
          <w:szCs w:val="24"/>
        </w:rPr>
        <w:fldChar w:fldCharType="begin" w:fldLock="1"/>
      </w:r>
      <w:r w:rsidR="008C387C">
        <w:rPr>
          <w:rFonts w:ascii="Arial" w:eastAsia="Times New Roman" w:hAnsi="Arial" w:cs="Arial"/>
          <w:sz w:val="24"/>
          <w:szCs w:val="24"/>
        </w:rPr>
        <w:instrText>ADDIN CSL_CITATION {"citationItems":[{"id":"ITEM-1","itemData":{"DOI":"10.1021/acs.nanolett.2c00349","ISSN":"1530-6984","author":[{"dropping-particle":"","family":"Yang","given":"Wen","non-dropping-particle":"","parse-names":false,"suffix":""},{"dropping-particle":"","family":"Wang","given":"Lin","non-dropping-particle":"","parse-names":false,"suffix":""},{"dropping-particle":"","family":"Fang","given":"Mulin","non-dropping-particle":"","parse-names":false,"suffix":""},{"dropping-particle":"","family":"Sheth","given":"Vinit","non-dropping-particle":"","parse-names":false,"suffix":""},{"dropping-particle":"","family":"Zhang","given":"Yushan","non-dropping-particle":"","parse-names":false,"suffix":""},{"dropping-particle":"","family":"Holden","given":"Alyssa M","non-dropping-particle":"","parse-names":false,"suffix":""},{"dropping-particle":"","family":"Donahue","given":"Nathan D","non-dropping-particle":"","parse-names":false,"suffix":""},{"dropping-particle":"","family":"Green","given":"Dixy E","non-dropping-particle":"","parse-names":false,"suffix":""},{"dropping-particle":"","family":"Frickenstein","given":"Alex N","non-dropping-particle":"","parse-names":false,"suffix":""},{"dropping-particle":"","family":"Mettenbrink","given":"Evan M","non-dropping-particle":"","parse-names":false,"suffix":""},{"dropping-particle":"","family":"Schwemley","given":"Tyler A","non-dropping-particle":"","parse-names":false,"suffix":""},{"dropping-particle":"","family":"Francek","given":"Emmy R","non-dropping-particle":"","parse-names":false,"suffix":""},{"dropping-particle":"","family":"Haddad","given":"Majood","non-dropping-particle":"","parse-names":false,"suffix":""},{"dropping-particle":"","family":"Hossen","given":"Md Nazir","non-dropping-particle":"","parse-names":false,"suffix":""},{"dropping-particle":"","family":"Mukherjee","given":"Shirsha","non-dropping-particle":"","parse-names":false,"suffix":""},{"dropping-particle":"","family":"Wu","given":"Si","non-dropping-particle":"","parse-names":false,"suffix":""},{"dropping-particle":"","family":"DeAngelis","given":"Paul L.","non-dropping-particle":"","parse-names":false,"suffix":""},{"dropping-particle":"","family":"Wilhelm","given":"Stefan","non-dropping-particle":"","parse-names":false,"suffix":""}],"container-title":"Nano Letters","id":"ITEM-1","issue":"5","issued":{"date-parts":[["2022","3","9"]]},"page":"2103-2111","title":"Nanoparticle Surface Engineering with Heparosan Polysaccharide Reduces Serum Protein Adsorption and Enhances Cellular Uptake","type":"article-journal","volume":"22"},"uris":["http://www.mendeley.com/documents/?uuid=b12ce932-f80a-4ff4-8e43-09901a2b6c0a"]}],"mendeley":{"formattedCitation":"&lt;sup&gt;301&lt;/sup&gt;","plainTextFormattedCitation":"301","previouslyFormattedCitation":"&lt;sup&gt;301&lt;/sup&gt;"},"properties":{"noteIndex":0},"schema":"https://github.com/citation-style-language/schema/raw/master/csl-citation.json"}</w:instrText>
      </w:r>
      <w:r w:rsidRPr="004A2E41">
        <w:rPr>
          <w:rFonts w:ascii="Arial" w:eastAsia="Times New Roman" w:hAnsi="Arial" w:cs="Arial"/>
          <w:sz w:val="24"/>
          <w:szCs w:val="24"/>
        </w:rPr>
        <w:fldChar w:fldCharType="separate"/>
      </w:r>
      <w:r w:rsidR="009D7D40" w:rsidRPr="009D7D40">
        <w:rPr>
          <w:rFonts w:ascii="Arial" w:eastAsia="Times New Roman" w:hAnsi="Arial" w:cs="Arial"/>
          <w:noProof/>
          <w:sz w:val="24"/>
          <w:szCs w:val="24"/>
          <w:vertAlign w:val="superscript"/>
        </w:rPr>
        <w:t>301</w:t>
      </w:r>
      <w:r w:rsidRPr="004A2E41">
        <w:rPr>
          <w:rFonts w:ascii="Arial" w:eastAsia="Times New Roman" w:hAnsi="Arial" w:cs="Arial"/>
          <w:sz w:val="24"/>
          <w:szCs w:val="24"/>
        </w:rPr>
        <w:fldChar w:fldCharType="end"/>
      </w:r>
      <w:r w:rsidRPr="004A2E41">
        <w:rPr>
          <w:rFonts w:ascii="Arial" w:eastAsia="Times New Roman" w:hAnsi="Arial" w:cs="Arial"/>
          <w:sz w:val="24"/>
          <w:szCs w:val="24"/>
        </w:rPr>
        <w:t xml:space="preserve"> Briefly, samples with 20 cm</w:t>
      </w:r>
      <w:r w:rsidRPr="004A2E41">
        <w:rPr>
          <w:rFonts w:ascii="Arial" w:eastAsia="Times New Roman" w:hAnsi="Arial" w:cs="Arial"/>
          <w:sz w:val="24"/>
          <w:szCs w:val="24"/>
          <w:vertAlign w:val="superscript"/>
        </w:rPr>
        <w:t>2</w:t>
      </w:r>
      <w:r w:rsidRPr="004A2E41">
        <w:rPr>
          <w:rFonts w:ascii="Arial" w:eastAsia="Times New Roman" w:hAnsi="Arial" w:cs="Arial"/>
          <w:sz w:val="24"/>
          <w:szCs w:val="24"/>
        </w:rPr>
        <w:t xml:space="preserve"> of surface area of citrate-coated and PEGylated AuNPs were incubated in 700 µL of 100% fetal bovine serum (FBS) at 37°C for 16 hours in LoBind tubes (Eppendorf). Control samples were incubated in 1X PBS for PEGylated AuNPs and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O for </w:t>
      </w:r>
      <w:r w:rsidRPr="004A2E41">
        <w:rPr>
          <w:rFonts w:ascii="Arial" w:eastAsia="Times New Roman" w:hAnsi="Arial" w:cs="Arial"/>
          <w:sz w:val="24"/>
          <w:szCs w:val="24"/>
        </w:rPr>
        <w:lastRenderedPageBreak/>
        <w:t>citrate-coated AuNPs for better colloidal stability. The samples were then washed to remove free serum by centrifugation at 2,300 xg for 30 minutes at 4°C and resuspension in 0.05% (v/v) Tween 20 in PBS (0.05% Tween 20 in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O for citrate-coated control) thrice. After the final centrifugation, the AuNP pellets were resuspended in 8 µL of 4X </w:t>
      </w:r>
      <w:proofErr w:type="spellStart"/>
      <w:r w:rsidRPr="004A2E41">
        <w:rPr>
          <w:rFonts w:ascii="Arial" w:eastAsia="Times New Roman" w:hAnsi="Arial" w:cs="Arial"/>
          <w:sz w:val="24"/>
          <w:szCs w:val="24"/>
        </w:rPr>
        <w:t>NuPAGE</w:t>
      </w:r>
      <w:proofErr w:type="spellEnd"/>
      <w:r w:rsidRPr="004A2E41">
        <w:rPr>
          <w:rFonts w:ascii="Arial" w:eastAsia="Times New Roman" w:hAnsi="Arial" w:cs="Arial"/>
          <w:sz w:val="24"/>
          <w:szCs w:val="24"/>
        </w:rPr>
        <w:t xml:space="preserve"> LDS sample buffer and 4 µL of 500-mM DTT and incubated at 70°C for 1 hour to separate adsorbed proteins from the surface of the AuNPs. The samples were then centrifuged at 18,000 xg for 15 minutes to separate the removed proteins from the residual AuNPs. Supernatants were removed, and their volumes were equalized before the addition of 4 µL of 4X </w:t>
      </w:r>
      <w:proofErr w:type="spellStart"/>
      <w:r w:rsidRPr="004A2E41">
        <w:rPr>
          <w:rFonts w:ascii="Arial" w:eastAsia="Times New Roman" w:hAnsi="Arial" w:cs="Arial"/>
          <w:sz w:val="24"/>
          <w:szCs w:val="24"/>
        </w:rPr>
        <w:t>NuPAGE</w:t>
      </w:r>
      <w:proofErr w:type="spellEnd"/>
      <w:r w:rsidRPr="004A2E41">
        <w:rPr>
          <w:rFonts w:ascii="Arial" w:eastAsia="Times New Roman" w:hAnsi="Arial" w:cs="Arial"/>
          <w:sz w:val="24"/>
          <w:szCs w:val="24"/>
        </w:rPr>
        <w:t xml:space="preserve"> LDS sample buffer and 2 µL of 500-mM DTT and an incubation at 95°C for 5 minutes to completely denature the proteins. Following the denaturation, 20 µL of protein samples and 2 µL of 10-250 kDa protein ladder were loaded onto a 4-12% Bis-</w:t>
      </w:r>
      <w:proofErr w:type="gramStart"/>
      <w:r w:rsidRPr="004A2E41">
        <w:rPr>
          <w:rFonts w:ascii="Arial" w:eastAsia="Times New Roman" w:hAnsi="Arial" w:cs="Arial"/>
          <w:sz w:val="24"/>
          <w:szCs w:val="24"/>
        </w:rPr>
        <w:t>Tris</w:t>
      </w:r>
      <w:proofErr w:type="gramEnd"/>
      <w:r w:rsidRPr="004A2E41">
        <w:rPr>
          <w:rFonts w:ascii="Arial" w:eastAsia="Times New Roman" w:hAnsi="Arial" w:cs="Arial"/>
          <w:sz w:val="24"/>
          <w:szCs w:val="24"/>
        </w:rPr>
        <w:t xml:space="preserve"> protein gel in MOPS SDS running buffer, and were run at 200 V for 50 minutes. The gel was then removed from its encasing and rinsed with deionized water several times. The gel was fixed with 10% (v/v) acetic acid and 40% (v/v) ethanol overnight on an orbital shaker. After rinsing with deionized water, the gel was stained with 50 mL of 1X SYPRO Tangerine in 50-mM sodium phosphate dibasic and 150-mM sodium chloride for 1 hour on an orbital shaker. The gel was then rinsed with deionized water, and then imaged on an Azure C600 gel imager. A similar procedure was done with BSA-AuNPs and free BSA. </w:t>
      </w:r>
    </w:p>
    <w:p w14:paraId="6A32AFCE" w14:textId="77777777" w:rsidR="004A2E41" w:rsidRPr="004A2E41" w:rsidRDefault="004A2E41" w:rsidP="004A2E41">
      <w:pPr>
        <w:spacing w:line="480" w:lineRule="auto"/>
        <w:jc w:val="both"/>
        <w:rPr>
          <w:rFonts w:ascii="Arial" w:eastAsia="Times New Roman" w:hAnsi="Arial" w:cs="Arial"/>
          <w:sz w:val="24"/>
          <w:szCs w:val="24"/>
        </w:rPr>
      </w:pPr>
    </w:p>
    <w:p w14:paraId="358F5AF6" w14:textId="77777777" w:rsidR="004A2E41" w:rsidRPr="004A2E41" w:rsidRDefault="004A2E41" w:rsidP="00721691">
      <w:pPr>
        <w:pStyle w:val="Heading3"/>
      </w:pPr>
      <w:bookmarkStart w:id="94" w:name="_Toc116832150"/>
      <w:bookmarkStart w:id="95" w:name="_Toc151032454"/>
      <w:r w:rsidRPr="004A2E41">
        <w:t>Inductively Coupled Plasma Mass Spectrometry (ICP-MS)</w:t>
      </w:r>
      <w:bookmarkEnd w:id="94"/>
      <w:bookmarkEnd w:id="95"/>
    </w:p>
    <w:p w14:paraId="57A16323" w14:textId="5856AEB3" w:rsidR="004A2E41" w:rsidRPr="004A2E41" w:rsidRDefault="004A2E41" w:rsidP="004A2E41">
      <w:pPr>
        <w:spacing w:line="480" w:lineRule="auto"/>
        <w:jc w:val="both"/>
        <w:rPr>
          <w:rFonts w:ascii="Arial" w:hAnsi="Arial" w:cs="Arial"/>
          <w:sz w:val="24"/>
          <w:szCs w:val="24"/>
        </w:rPr>
      </w:pPr>
      <w:r w:rsidRPr="004A2E41">
        <w:rPr>
          <w:rFonts w:ascii="Arial" w:eastAsia="Times New Roman" w:hAnsi="Arial" w:cs="Arial"/>
          <w:sz w:val="24"/>
          <w:szCs w:val="24"/>
        </w:rPr>
        <w:t xml:space="preserve">Gold and iridium 1,000-µg/mL standard solutions were used to create a standard calibration curve for ICP-MS measurements. A 0.5-ppb iridium-acid water solution was </w:t>
      </w:r>
      <w:r w:rsidRPr="004A2E41">
        <w:rPr>
          <w:rFonts w:ascii="Arial" w:eastAsia="Times New Roman" w:hAnsi="Arial" w:cs="Arial"/>
          <w:sz w:val="24"/>
          <w:szCs w:val="24"/>
        </w:rPr>
        <w:lastRenderedPageBreak/>
        <w:t>made in 20-mM HNO</w:t>
      </w:r>
      <w:r w:rsidRPr="004A2E41">
        <w:rPr>
          <w:rFonts w:ascii="Arial" w:eastAsia="Times New Roman" w:hAnsi="Arial" w:cs="Arial"/>
          <w:sz w:val="24"/>
          <w:szCs w:val="24"/>
          <w:vertAlign w:val="subscript"/>
        </w:rPr>
        <w:t>3</w:t>
      </w:r>
      <w:r w:rsidRPr="004A2E41">
        <w:rPr>
          <w:rFonts w:ascii="Arial" w:eastAsia="Times New Roman" w:hAnsi="Arial" w:cs="Arial"/>
          <w:sz w:val="24"/>
          <w:szCs w:val="24"/>
        </w:rPr>
        <w:t xml:space="preserve"> and 60-mM HCl in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 xml:space="preserve">O, which is used for serial dilutions of the gold standard to make samples with gold contents of 200 µg/mL, 100 µg/mL, 50 µg/mL, 10 µg/mL, 5 µg/mL, and 1 µg/mL, with a 0 µg/mL sample being pure 0.5-ppb iridium-acid water. 4T1 cells were cultured directly on 12-well culture plates at a density of 100,000 cells/well and were incubated with 200-pM of PEG-AuNPs in complete culture media for 24 hours, or just complete culture media for controls, and were then washed with PBS thrice. RAW 264.7 cells were cultured in similar conditions and incubated with 200-pM of HEP-AuNPs or PEG-AuNPs. Cell standard curves were prepared for both cell lines with samples ranging from </w:t>
      </w:r>
      <w:r w:rsidR="008A318D">
        <w:rPr>
          <w:rFonts w:ascii="Arial" w:eastAsia="Times New Roman" w:hAnsi="Arial" w:cs="Arial"/>
          <w:sz w:val="24"/>
          <w:szCs w:val="24"/>
        </w:rPr>
        <w:t>1</w:t>
      </w:r>
      <w:r w:rsidRPr="004A2E41">
        <w:rPr>
          <w:rFonts w:ascii="Arial" w:eastAsia="Times New Roman" w:hAnsi="Arial" w:cs="Arial"/>
          <w:sz w:val="24"/>
          <w:szCs w:val="24"/>
        </w:rPr>
        <w:t>x10</w:t>
      </w:r>
      <w:r w:rsidRPr="004A2E41">
        <w:rPr>
          <w:rFonts w:ascii="Arial" w:eastAsia="Times New Roman" w:hAnsi="Arial" w:cs="Arial"/>
          <w:sz w:val="24"/>
          <w:szCs w:val="24"/>
          <w:vertAlign w:val="superscript"/>
        </w:rPr>
        <w:t>4</w:t>
      </w:r>
      <w:r w:rsidRPr="004A2E41">
        <w:rPr>
          <w:rFonts w:ascii="Arial" w:eastAsia="Times New Roman" w:hAnsi="Arial" w:cs="Arial"/>
          <w:sz w:val="24"/>
          <w:szCs w:val="24"/>
        </w:rPr>
        <w:t xml:space="preserve"> to </w:t>
      </w:r>
      <w:r w:rsidR="008A318D">
        <w:rPr>
          <w:rFonts w:ascii="Arial" w:eastAsia="Times New Roman" w:hAnsi="Arial" w:cs="Arial"/>
          <w:sz w:val="24"/>
          <w:szCs w:val="24"/>
        </w:rPr>
        <w:t>3</w:t>
      </w:r>
      <w:r w:rsidRPr="004A2E41">
        <w:rPr>
          <w:rFonts w:ascii="Arial" w:eastAsia="Times New Roman" w:hAnsi="Arial" w:cs="Arial"/>
          <w:sz w:val="24"/>
          <w:szCs w:val="24"/>
        </w:rPr>
        <w:t>x10</w:t>
      </w:r>
      <w:r w:rsidRPr="004A2E41">
        <w:rPr>
          <w:rFonts w:ascii="Arial" w:eastAsia="Times New Roman" w:hAnsi="Arial" w:cs="Arial"/>
          <w:sz w:val="24"/>
          <w:szCs w:val="24"/>
          <w:vertAlign w:val="superscript"/>
        </w:rPr>
        <w:t>6</w:t>
      </w:r>
      <w:r w:rsidRPr="004A2E41">
        <w:rPr>
          <w:rFonts w:ascii="Arial" w:eastAsia="Times New Roman" w:hAnsi="Arial" w:cs="Arial"/>
          <w:sz w:val="24"/>
          <w:szCs w:val="24"/>
        </w:rPr>
        <w:t xml:space="preserve"> cells as a basis of intracellular magnesium contents. Solutions from the proExM process were centrifuged at 4,000 xg for 30 minutes to pellet AuNPs, and the supernatants were removed. Samples were then digested with an aqua regia solution composed of 70% HNO</w:t>
      </w:r>
      <w:r w:rsidRPr="004A2E41">
        <w:rPr>
          <w:rFonts w:ascii="Arial" w:eastAsia="Times New Roman" w:hAnsi="Arial" w:cs="Arial"/>
          <w:sz w:val="24"/>
          <w:szCs w:val="24"/>
          <w:vertAlign w:val="subscript"/>
        </w:rPr>
        <w:t>3</w:t>
      </w:r>
      <w:r w:rsidRPr="004A2E41">
        <w:rPr>
          <w:rFonts w:ascii="Arial" w:eastAsia="Times New Roman" w:hAnsi="Arial" w:cs="Arial"/>
          <w:sz w:val="24"/>
          <w:szCs w:val="24"/>
        </w:rPr>
        <w:t xml:space="preserve"> and 37% HCl in a 4:1 ratio (V/V) for 30 minutes at room temperature. Following digestion, samples were transferred to 1.5-mL tubes and incubated at 60°C for 1 hour. Samples were then cooled and pulsed on a centrifuge before being diluted in a 1:10 or 1:20 ratio in 0.5-ppb iridium solution in ultrapure H</w:t>
      </w:r>
      <w:r w:rsidRPr="004A2E41">
        <w:rPr>
          <w:rFonts w:ascii="Arial" w:eastAsia="Times New Roman" w:hAnsi="Arial" w:cs="Arial"/>
          <w:sz w:val="24"/>
          <w:szCs w:val="24"/>
          <w:vertAlign w:val="subscript"/>
        </w:rPr>
        <w:t>2</w:t>
      </w:r>
      <w:r w:rsidRPr="004A2E41">
        <w:rPr>
          <w:rFonts w:ascii="Arial" w:eastAsia="Times New Roman" w:hAnsi="Arial" w:cs="Arial"/>
          <w:sz w:val="24"/>
          <w:szCs w:val="24"/>
        </w:rPr>
        <w:t>O, without HCl or HNO</w:t>
      </w:r>
      <w:r w:rsidRPr="004A2E41">
        <w:rPr>
          <w:rFonts w:ascii="Arial" w:eastAsia="Times New Roman" w:hAnsi="Arial" w:cs="Arial"/>
          <w:sz w:val="24"/>
          <w:szCs w:val="24"/>
          <w:vertAlign w:val="subscript"/>
        </w:rPr>
        <w:t>3</w:t>
      </w:r>
      <w:r w:rsidRPr="004A2E41">
        <w:rPr>
          <w:rFonts w:ascii="Arial" w:eastAsia="Times New Roman" w:hAnsi="Arial" w:cs="Arial"/>
          <w:sz w:val="24"/>
          <w:szCs w:val="24"/>
        </w:rPr>
        <w:t xml:space="preserve">. Samples from the proExM process were filtered through 0.22-µm syringe filters. Au197 and Mg24 content measurements were taken with a PerkinElmer </w:t>
      </w:r>
      <w:proofErr w:type="spellStart"/>
      <w:r w:rsidRPr="004A2E41">
        <w:rPr>
          <w:rFonts w:ascii="Arial" w:eastAsia="Times New Roman" w:hAnsi="Arial" w:cs="Arial"/>
          <w:sz w:val="24"/>
          <w:szCs w:val="24"/>
        </w:rPr>
        <w:t>NexIon</w:t>
      </w:r>
      <w:proofErr w:type="spellEnd"/>
      <w:r w:rsidRPr="004A2E41">
        <w:rPr>
          <w:rFonts w:ascii="Arial" w:eastAsia="Times New Roman" w:hAnsi="Arial" w:cs="Arial"/>
          <w:sz w:val="24"/>
          <w:szCs w:val="24"/>
        </w:rPr>
        <w:t xml:space="preserve"> 2000 ICP-MS using the </w:t>
      </w:r>
      <w:proofErr w:type="spellStart"/>
      <w:r w:rsidRPr="004A2E41">
        <w:rPr>
          <w:rFonts w:ascii="Arial" w:eastAsia="Times New Roman" w:hAnsi="Arial" w:cs="Arial"/>
          <w:sz w:val="24"/>
          <w:szCs w:val="24"/>
        </w:rPr>
        <w:t>Prepfast</w:t>
      </w:r>
      <w:proofErr w:type="spellEnd"/>
      <w:r w:rsidRPr="004A2E41">
        <w:rPr>
          <w:rFonts w:ascii="Arial" w:eastAsia="Times New Roman" w:hAnsi="Arial" w:cs="Arial"/>
          <w:sz w:val="24"/>
          <w:szCs w:val="24"/>
        </w:rPr>
        <w:t xml:space="preserve"> IC Sample Introduction system. The gold and cell standard curves were used to calculate the number of AuNPs/cell.</w:t>
      </w:r>
    </w:p>
    <w:p w14:paraId="65651266" w14:textId="77777777" w:rsidR="004A2E41" w:rsidRPr="004A2E41" w:rsidRDefault="004A2E41" w:rsidP="004A2E41">
      <w:pPr>
        <w:spacing w:line="480" w:lineRule="auto"/>
        <w:ind w:firstLine="360"/>
        <w:jc w:val="both"/>
        <w:rPr>
          <w:rFonts w:ascii="Arial" w:hAnsi="Arial" w:cs="Arial"/>
          <w:sz w:val="24"/>
          <w:szCs w:val="24"/>
        </w:rPr>
      </w:pPr>
      <w:r w:rsidRPr="004A2E41">
        <w:rPr>
          <w:rFonts w:ascii="Arial" w:hAnsi="Arial" w:cs="Arial"/>
          <w:sz w:val="24"/>
          <w:szCs w:val="24"/>
        </w:rPr>
        <w:t xml:space="preserve">When running residual solutions from proExM through ICP-MS, a significant difference in the detected gold content of cells that were treated with AuNPs compared to untreated controls at the first step, the Acryloyl-X, SE treatment (****p&lt;0.0001) was detected (Figure S14b). It is not likely that the gold content that was detected in this step is from intracellular </w:t>
      </w:r>
      <w:r w:rsidRPr="004A2E41">
        <w:rPr>
          <w:rFonts w:ascii="Arial" w:hAnsi="Arial" w:cs="Arial"/>
          <w:sz w:val="24"/>
          <w:szCs w:val="24"/>
        </w:rPr>
        <w:lastRenderedPageBreak/>
        <w:t xml:space="preserve">AuNPs that were removed from the cell in this step, given that this treatment is not a destructive process. It is more likely that the detected gold content was from uninternalized AuNPs that were stuck to the glass coverslip, which had been mechanically dislodged during the Acryloyl-X treatment. The next group that was digested for ICP-MS was the bottom coverslip that the cells had been grown on following the removal of the hydrogel. A significant difference in the detected gold content between the two groups was also detected here (**p&lt;0.01). However, it is once again not likely that this difference originated from lost intracellular AuNPs, but rather from cells that were not transferred to the gel, given that the gel would not cover the entire top surface area of the coverslip. Furthermore, small pieces of the gel tend to tear off the top coverslip as it is being separated from the bottom coverslip, resulting in more AuNP-containing cells being measured through ICP-MS at this step. There was not a significant difference in the detected gold content between the two groups (p&gt;0.99) in the digestion buffer, the top coverslip after the gels were peeled off, or the combination of the three washes that the gels were expanded in. Given that the digestion buffer and expansion washes are directly involved in the chemical and physical disruption of the mechanical structure of the cells, it would be expected that any intracellular AuNPs that would be lost would be found within those solutions. </w:t>
      </w:r>
    </w:p>
    <w:p w14:paraId="717FC757" w14:textId="66F101A9" w:rsidR="004A2E41" w:rsidRPr="004A2E41" w:rsidRDefault="004A2E41" w:rsidP="004A2E41">
      <w:pPr>
        <w:spacing w:line="480" w:lineRule="auto"/>
        <w:ind w:firstLine="360"/>
        <w:jc w:val="both"/>
        <w:rPr>
          <w:rFonts w:ascii="Arial" w:hAnsi="Arial" w:cs="Arial"/>
          <w:sz w:val="24"/>
          <w:szCs w:val="24"/>
        </w:rPr>
      </w:pPr>
      <w:r w:rsidRPr="004A2E41">
        <w:rPr>
          <w:rFonts w:ascii="Arial" w:hAnsi="Arial" w:cs="Arial"/>
          <w:sz w:val="24"/>
          <w:szCs w:val="24"/>
        </w:rPr>
        <w:t>To test the colloidal stability of HEP- and PEG-AuNPs in intracellular conditions, the AuNPs were incubated in ultrapure H</w:t>
      </w:r>
      <w:r w:rsidRPr="004A2E41">
        <w:rPr>
          <w:rFonts w:ascii="Arial" w:hAnsi="Arial" w:cs="Arial"/>
          <w:sz w:val="24"/>
          <w:szCs w:val="24"/>
          <w:vertAlign w:val="subscript"/>
        </w:rPr>
        <w:t>2</w:t>
      </w:r>
      <w:r w:rsidRPr="004A2E41">
        <w:rPr>
          <w:rFonts w:ascii="Arial" w:hAnsi="Arial" w:cs="Arial"/>
          <w:sz w:val="24"/>
          <w:szCs w:val="24"/>
        </w:rPr>
        <w:t>O, culture media (DMEM), complete culture media (DMEM +10% FBS + 1% penicillin streptomycin (P/S)), or artificial lysosomal fluid for 3 hours at 37</w:t>
      </w:r>
      <w:r w:rsidRPr="004A2E41">
        <w:rPr>
          <w:rFonts w:ascii="Arial" w:eastAsia="Times New Roman" w:hAnsi="Arial" w:cs="Arial"/>
          <w:sz w:val="24"/>
          <w:szCs w:val="24"/>
        </w:rPr>
        <w:t>°</w:t>
      </w:r>
      <w:r w:rsidRPr="004A2E41">
        <w:rPr>
          <w:rFonts w:ascii="Arial" w:hAnsi="Arial" w:cs="Arial"/>
          <w:sz w:val="24"/>
          <w:szCs w:val="24"/>
        </w:rPr>
        <w:t>C. The artificial lysosomal fluid was prepared based on specifications described by Innes et al.</w:t>
      </w:r>
      <w:r w:rsidRPr="004A2E41">
        <w:rPr>
          <w:rFonts w:ascii="Arial" w:hAnsi="Arial" w:cs="Arial"/>
          <w:sz w:val="24"/>
          <w:szCs w:val="24"/>
        </w:rPr>
        <w:fldChar w:fldCharType="begin" w:fldLock="1"/>
      </w:r>
      <w:r w:rsidR="008C387C">
        <w:rPr>
          <w:rFonts w:ascii="Arial" w:hAnsi="Arial" w:cs="Arial"/>
          <w:sz w:val="24"/>
          <w:szCs w:val="24"/>
        </w:rPr>
        <w:instrText>ADDIN CSL_CITATION {"citationItems":[{"id":"ITEM-1","itemData":{"DOI":"10.1080/10408444.2021.1903386","ISSN":"15476898","PMID":"33905298","abstract":"The use of simulated biological fluids (SBFs) is a promising in vitro technique to better understand the release mechanisms and possible in vivo behaviour of materials, including fibres, metal-containing particles and nanomaterials. Applications of SBFs in dissolution tests allow a measure of material biopersistence or, conversely, bioaccessibility that in turn can provide a useful inference of a materials biodistribution, its acute and long-term toxicity, as well as its pathogenicity. Given the wide range of SBFs reported in the literature, a review was conducted, with a focus on fluids used to replicate environments that may be encountered upon material inhalation, including extracellular and intracellular compartments. The review aims to identify when a fluid design can replicate realistic biological conditions, demonstrate operation validation, and/or provide robustness and reproducibility. The studies examined highlight simulated lung fluids (SLFs) that have been shown to suitably replicate physiological conditions, and identify specific components that play a pivotal role in dissolution mechanisms and biological activity; including organic molecules, redox-active species and chelating agents. Material dissolution was not always driven by pH, and likewise not only driven by SLF composition; specific materials and formulations correspond to specific dissolution mechanisms. It is recommended that SLF developments focus on biological predictivity and if not practical, on better biological mimicry, as such an approach ensures results are more likely to reflect in vivo behaviour regardless of the material under investigation.","author":[{"dropping-particle":"","family":"Innes","given":"Emma","non-dropping-particle":"","parse-names":false,"suffix":""},{"dropping-particle":"","family":"Yiu","given":"Humphrey H.P.","non-dropping-particle":"","parse-names":false,"suffix":""},{"dropping-particle":"","family":"McLean","given":"Polly","non-dropping-particle":"","parse-names":false,"suffix":""},{"dropping-particle":"","family":"Brown","given":"William","non-dropping-particle":"","parse-names":false,"suffix":""},{"dropping-particle":"","family":"Boyles","given":"Matthew","non-dropping-particle":"","parse-names":false,"suffix":""}],"container-title":"Critical Reviews in Toxicology","id":"ITEM-1","issue":"3","issued":{"date-parts":[["2021"]]},"page":"217-248","publisher":"Taylor &amp; Francis","title":"Simulated biological fluids–a systematic review of their biological relevance and use in relation to inhalation toxicology of particles and fibres","type":"article-journal","volume":"51"},"uris":["http://www.mendeley.com/documents/?uuid=e44e6133-48dc-4faa-82b8-e050d2253578"]}],"mendeley":{"formattedCitation":"&lt;sup&gt;311&lt;/sup&gt;","plainTextFormattedCitation":"311","previouslyFormattedCitation":"&lt;sup&gt;311&lt;/sup&gt;"},"properties":{"noteIndex":0},"schema":"https://github.com/citation-style-language/schema/raw/master/csl-citation.json"}</w:instrText>
      </w:r>
      <w:r w:rsidRPr="004A2E41">
        <w:rPr>
          <w:rFonts w:ascii="Arial" w:hAnsi="Arial" w:cs="Arial"/>
          <w:sz w:val="24"/>
          <w:szCs w:val="24"/>
        </w:rPr>
        <w:fldChar w:fldCharType="separate"/>
      </w:r>
      <w:r w:rsidR="009D7D40" w:rsidRPr="009D7D40">
        <w:rPr>
          <w:rFonts w:ascii="Arial" w:hAnsi="Arial" w:cs="Arial"/>
          <w:noProof/>
          <w:sz w:val="24"/>
          <w:szCs w:val="24"/>
          <w:vertAlign w:val="superscript"/>
        </w:rPr>
        <w:t>311</w:t>
      </w:r>
      <w:r w:rsidRPr="004A2E41">
        <w:rPr>
          <w:rFonts w:ascii="Arial" w:hAnsi="Arial" w:cs="Arial"/>
          <w:sz w:val="24"/>
          <w:szCs w:val="24"/>
        </w:rPr>
        <w:fldChar w:fldCharType="end"/>
      </w:r>
      <w:r w:rsidRPr="004A2E41">
        <w:rPr>
          <w:rFonts w:ascii="Arial" w:hAnsi="Arial" w:cs="Arial"/>
          <w:sz w:val="24"/>
          <w:szCs w:val="24"/>
        </w:rPr>
        <w:t xml:space="preserve"> Following the incubation, the AuNPs were centrifuged at 2,300 </w:t>
      </w:r>
      <w:r w:rsidRPr="004A2E41">
        <w:rPr>
          <w:rFonts w:ascii="Arial" w:hAnsi="Arial" w:cs="Arial"/>
          <w:sz w:val="24"/>
          <w:szCs w:val="24"/>
        </w:rPr>
        <w:lastRenderedPageBreak/>
        <w:t>xg for 30 minutes and resuspended in Tween-citrate twice. The AuNPs were then diluted to a concentration of 3x10</w:t>
      </w:r>
      <w:r w:rsidRPr="004A2E41">
        <w:rPr>
          <w:rFonts w:ascii="Arial" w:hAnsi="Arial" w:cs="Arial"/>
          <w:sz w:val="24"/>
          <w:szCs w:val="24"/>
          <w:vertAlign w:val="superscript"/>
        </w:rPr>
        <w:t>-16</w:t>
      </w:r>
      <w:r w:rsidRPr="004A2E41">
        <w:rPr>
          <w:rFonts w:ascii="Arial" w:hAnsi="Arial" w:cs="Arial"/>
          <w:sz w:val="24"/>
          <w:szCs w:val="24"/>
        </w:rPr>
        <w:t xml:space="preserve"> M and measured on the PerkinElmer </w:t>
      </w:r>
      <w:proofErr w:type="spellStart"/>
      <w:r w:rsidRPr="004A2E41">
        <w:rPr>
          <w:rFonts w:ascii="Arial" w:hAnsi="Arial" w:cs="Arial"/>
          <w:sz w:val="24"/>
          <w:szCs w:val="24"/>
        </w:rPr>
        <w:t>NexION</w:t>
      </w:r>
      <w:proofErr w:type="spellEnd"/>
      <w:r w:rsidRPr="004A2E41">
        <w:rPr>
          <w:rFonts w:ascii="Arial" w:hAnsi="Arial" w:cs="Arial"/>
          <w:sz w:val="24"/>
          <w:szCs w:val="24"/>
        </w:rPr>
        <w:t xml:space="preserve"> 2000 ICP-MS in single-particle mode.</w:t>
      </w:r>
      <w:r w:rsidRPr="004A2E41">
        <w:rPr>
          <w:rFonts w:ascii="Arial" w:hAnsi="Arial" w:cs="Arial"/>
          <w:sz w:val="24"/>
          <w:szCs w:val="24"/>
        </w:rPr>
        <w:fldChar w:fldCharType="begin" w:fldLock="1"/>
      </w:r>
      <w:r w:rsidR="008C387C">
        <w:rPr>
          <w:rFonts w:ascii="Arial" w:hAnsi="Arial" w:cs="Arial"/>
          <w:sz w:val="24"/>
          <w:szCs w:val="24"/>
        </w:rPr>
        <w:instrText>ADDIN CSL_CITATION {"citationItems":[{"id":"ITEM-1","itemData":{"DOI":"10.1007/s00216-020-02783-6","ISSN":"1618-2642","PMID":"32627086","abstract":"Biological interactions, toxicity, and environmental fate of engineered nanoparticles are affected by colloidal stability and aggregation. To assess nanoparticle aggregation, analytical methods are needed that allow quantification of individual nanoparticle aggregates. However, most techniques used for nanoparticle aggregation analysis are limited to ensemble measurements or require harsh sample preparation that may introduce artifacts. An ideal method would analyze aggregate size in situ with single-nanoparticle resolution. Here, we established and validated single-particle inductively coupled plasma mass spectrometry (SP-ICP-MS) as an unbiased high-throughput analytical technique to quantify nanoparticle size distributions and aggregation in situ. We induced nanoparticle aggregation by exposure to physiologically relevant saline conditions and applied SP-ICP-MS to quantify aggregate size and aggregation kinetics at the individual aggregate level. In situ SP-ICP-MS analysis revealed rational surface engineering principles for the preparation of colloidally stable nanoparticles. Our quantitative SP-ICP-MS technique is a platform technology to evaluate aggregation characteristics of various types of surface-engineered nanoparticles under physiologically relevant conditions. Potential widespread applications of this method may include the study of nanoparticle aggregation in environmental samples and the preparation of colloidally stable nanoparticle formulations for bioanalytical assays and nanomedicine. [Figure not available: see fulltext.]","author":[{"dropping-particle":"","family":"Donahue","given":"Nathan D","non-dropping-particle":"","parse-names":false,"suffix":""},{"dropping-particle":"","family":"Francek","given":"Emmy R","non-dropping-particle":"","parse-names":false,"suffix":""},{"dropping-particle":"","family":"Kiyotake","given":"Emi","non-dropping-particle":"","parse-names":false,"suffix":""},{"dropping-particle":"","family":"Thomas","given":"Emily E","non-dropping-particle":"","parse-names":false,"suffix":""},{"dropping-particle":"","family":"Yang","given":"Wen","non-dropping-particle":"","parse-names":false,"suffix":""},{"dropping-particle":"","family":"Wang","given":"Lin","non-dropping-particle":"","parse-names":false,"suffix":""},{"dropping-particle":"","family":"Detamore","given":"Michael S","non-dropping-particle":"","parse-names":false,"suffix":""},{"dropping-particle":"","family":"Wilhelm","given":"Stefan","non-dropping-particle":"","parse-names":false,"suffix":""}],"container-title":"Analytical and Bioanalytical Chemistry","id":"ITEM-1","issue":"22","issued":{"date-parts":[["2020","9","6"]]},"page":"5205-5216","publisher":"Analytical and Bioanalytical Chemistry","title":"Assessing nanoparticle colloidal stability with single-particle inductively coupled plasma mass spectrometry (SP-ICP-MS)","type":"article-journal","volume":"412"},"uris":["http://www.mendeley.com/documents/?uuid=0ee27649-fcab-4c1a-a9c4-1838728e1a34"]},{"id":"ITEM-2","itemData":{"DOI":"10.1007/s00216-023-04540-x","ISBN":"0123456789","ISSN":"16182650","abstract":"Bioanalytical and biomedical applications often require nanoparticles that exhibit narrow size distributions and biocompatibility. Here, we demonstrate how different synthesis methods affect gold nanoparticle (AuNPs) monodispersity and cytotoxicity. Using single particle inductively coupled plasma mass spectrometry (SP-ICP-MS), we found that the size distribution of AuNPs synthesized with a cetyltrimethylammonium chloride (CTAC) cap was significantly improved compared to AuNPs synthesized with citrate capping agents. We determined an up to 4× decrease in the full width at half maximum (FWHM) value of the normal distributions of AuNP diameter and up to a 12% decrease in relative standard deviation (RSD). While the CTAC-capped AuNPs exhibit narrow nanoparticle size distributions, they are cytotoxic, which limits safe and effective bioanalytical and biomedical applications. We sought to impart biocompatibility to CTAC-capped AuNPs through a PEGylation-based surface ligand exchange. We developed a unique ligand exchange method driven by physical force. We demonstrated the successful PEGylation using various PEG derivatives and used these PEGylated nanoparticles to further bioconjugate nucleic acids and peptides. Using cell viability quantification, we confirmed that the monodisperse PEGylated AuNPs were biocompatible. Our monodisperse and biocompatible nanoparticles may advance safe and effective bioanalytical and biomedical applications of nanomaterials. Graphical Abstract: [Figure not available: see fulltext.].","author":[{"dropping-particle":"","family":"Frickenstein","given":"Alex N.","non-dropping-particle":"","parse-names":false,"suffix":""},{"dropping-particle":"","family":"Mukherjee","given":"Shirsha","non-dropping-particle":"","parse-names":false,"suffix":""},{"dropping-particle":"","family":"Harcourt","given":"Tekena","non-dropping-particle":"","parse-names":false,"suffix":""},{"dropping-particle":"","family":"He","given":"Yuxin","non-dropping-particle":"","parse-names":false,"suffix":""},{"dropping-particle":"","family":"Sheth","given":"Vinit","non-dropping-particle":"","parse-names":false,"suffix":""},{"dropping-particle":"","family":"Wang","given":"Lin","non-dropping-particle":"","parse-names":false,"suffix":""},{"dropping-particle":"","family":"Malik","given":"Zain","non-dropping-particle":"","parse-names":false,"suffix":""},{"dropping-particle":"","family":"Wilhelm","given":"Stefan","non-dropping-particle":"","parse-names":false,"suffix":""}],"container-title":"Analytical and Bioanalytical Chemistry","id":"ITEM-2","issue":"0123456789","issued":{"date-parts":[["2023"]]},"publisher":"Springer Berlin Heidelberg","title":"Quantification of monodisperse and biocompatible gold nanoparticles by single-particle ICP-MS","type":"article-journal"},"uris":["http://www.mendeley.com/documents/?uuid=cd6ca1be-c1a6-4973-b39b-49ca955ead46"]}],"mendeley":{"formattedCitation":"&lt;sup&gt;180,299&lt;/sup&gt;","plainTextFormattedCitation":"180,299","previouslyFormattedCitation":"&lt;sup&gt;180,299&lt;/sup&gt;"},"properties":{"noteIndex":0},"schema":"https://github.com/citation-style-language/schema/raw/master/csl-citation.json"}</w:instrText>
      </w:r>
      <w:r w:rsidRPr="004A2E41">
        <w:rPr>
          <w:rFonts w:ascii="Arial" w:hAnsi="Arial" w:cs="Arial"/>
          <w:sz w:val="24"/>
          <w:szCs w:val="24"/>
        </w:rPr>
        <w:fldChar w:fldCharType="separate"/>
      </w:r>
      <w:r w:rsidR="009D7D40" w:rsidRPr="009D7D40">
        <w:rPr>
          <w:rFonts w:ascii="Arial" w:hAnsi="Arial" w:cs="Arial"/>
          <w:noProof/>
          <w:sz w:val="24"/>
          <w:szCs w:val="24"/>
          <w:vertAlign w:val="superscript"/>
        </w:rPr>
        <w:t>180,299</w:t>
      </w:r>
      <w:r w:rsidRPr="004A2E41">
        <w:rPr>
          <w:rFonts w:ascii="Arial" w:hAnsi="Arial" w:cs="Arial"/>
          <w:sz w:val="24"/>
          <w:szCs w:val="24"/>
        </w:rPr>
        <w:fldChar w:fldCharType="end"/>
      </w:r>
    </w:p>
    <w:p w14:paraId="376D3046" w14:textId="72F6BDD3" w:rsidR="004A2E41" w:rsidRDefault="004A2E41">
      <w:pPr>
        <w:rPr>
          <w:rFonts w:ascii="Arial" w:hAnsi="Arial" w:cs="Arial"/>
          <w:b/>
          <w:bCs/>
          <w:sz w:val="24"/>
          <w:szCs w:val="24"/>
        </w:rPr>
      </w:pPr>
      <w:r>
        <w:rPr>
          <w:rFonts w:ascii="Arial" w:hAnsi="Arial" w:cs="Arial"/>
          <w:b/>
          <w:bCs/>
          <w:sz w:val="24"/>
          <w:szCs w:val="24"/>
        </w:rPr>
        <w:br w:type="page"/>
      </w:r>
    </w:p>
    <w:p w14:paraId="7EDD2C47" w14:textId="32D53EAE" w:rsidR="004A2E41" w:rsidRDefault="004A2E41" w:rsidP="004C65B2">
      <w:pPr>
        <w:pStyle w:val="Heading1"/>
      </w:pPr>
      <w:bookmarkStart w:id="96" w:name="_Toc151032455"/>
      <w:r>
        <w:lastRenderedPageBreak/>
        <w:t>Appendix C: Supporting Figures and Tables</w:t>
      </w:r>
      <w:bookmarkEnd w:id="96"/>
    </w:p>
    <w:p w14:paraId="32EE564F" w14:textId="2407BA37" w:rsidR="004A2E41" w:rsidRPr="00BF7DB5" w:rsidRDefault="004A2E41" w:rsidP="00BF7DB5">
      <w:pPr>
        <w:rPr>
          <w:rFonts w:ascii="Arial" w:hAnsi="Arial" w:cs="Arial"/>
          <w:sz w:val="24"/>
          <w:szCs w:val="24"/>
        </w:rPr>
      </w:pPr>
      <w:bookmarkStart w:id="97" w:name="_Toc129890282"/>
      <w:r w:rsidRPr="00BF7DB5">
        <w:rPr>
          <w:rFonts w:ascii="Arial" w:hAnsi="Arial" w:cs="Arial"/>
          <w:sz w:val="24"/>
          <w:szCs w:val="24"/>
        </w:rPr>
        <w:t>Table S1.</w:t>
      </w:r>
      <w:r w:rsidR="009A0688" w:rsidRPr="00BF7DB5">
        <w:rPr>
          <w:rFonts w:ascii="Arial" w:hAnsi="Arial" w:cs="Arial"/>
          <w:sz w:val="24"/>
          <w:szCs w:val="24"/>
        </w:rPr>
        <w:t xml:space="preserve"> Metallic</w:t>
      </w:r>
      <w:r w:rsidRPr="00BF7DB5">
        <w:rPr>
          <w:rFonts w:ascii="Arial" w:hAnsi="Arial" w:cs="Arial"/>
          <w:sz w:val="24"/>
          <w:szCs w:val="24"/>
        </w:rPr>
        <w:t xml:space="preserve"> Nanoparticle Characterization using Dynamic Light Scattering</w:t>
      </w:r>
      <w:bookmarkStart w:id="98" w:name="_Hlk121662140"/>
      <w:bookmarkEnd w:id="97"/>
    </w:p>
    <w:tbl>
      <w:tblPr>
        <w:tblStyle w:val="TableGrid"/>
        <w:tblpPr w:leftFromText="180" w:rightFromText="180" w:vertAnchor="page" w:horzAnchor="margin" w:tblpY="2255"/>
        <w:tblW w:w="9168" w:type="dxa"/>
        <w:tblLook w:val="04A0" w:firstRow="1" w:lastRow="0" w:firstColumn="1" w:lastColumn="0" w:noHBand="0" w:noVBand="1"/>
      </w:tblPr>
      <w:tblGrid>
        <w:gridCol w:w="2202"/>
        <w:gridCol w:w="1902"/>
        <w:gridCol w:w="2151"/>
        <w:gridCol w:w="2199"/>
        <w:gridCol w:w="714"/>
      </w:tblGrid>
      <w:tr w:rsidR="004A2E41" w:rsidRPr="0085405A" w14:paraId="09F87D2F" w14:textId="77777777" w:rsidTr="00175ED4">
        <w:trPr>
          <w:trHeight w:val="526"/>
        </w:trPr>
        <w:tc>
          <w:tcPr>
            <w:tcW w:w="2209" w:type="dxa"/>
          </w:tcPr>
          <w:p w14:paraId="7C71F355" w14:textId="77777777" w:rsidR="004A2E41" w:rsidRPr="0085405A" w:rsidRDefault="004A2E41">
            <w:pPr>
              <w:rPr>
                <w:rFonts w:ascii="Arial" w:hAnsi="Arial" w:cs="Arial"/>
                <w:b/>
                <w:bCs/>
              </w:rPr>
            </w:pPr>
            <w:r w:rsidRPr="0085405A">
              <w:rPr>
                <w:rFonts w:ascii="Arial" w:hAnsi="Arial" w:cs="Arial"/>
                <w:b/>
                <w:bCs/>
              </w:rPr>
              <w:t>Nanoparticle Size (nm)</w:t>
            </w:r>
          </w:p>
        </w:tc>
        <w:tc>
          <w:tcPr>
            <w:tcW w:w="1913" w:type="dxa"/>
          </w:tcPr>
          <w:p w14:paraId="3A90ED87" w14:textId="77777777" w:rsidR="004A2E41" w:rsidRPr="0085405A" w:rsidRDefault="004A2E41">
            <w:pPr>
              <w:rPr>
                <w:rFonts w:ascii="Arial" w:hAnsi="Arial" w:cs="Arial"/>
                <w:b/>
                <w:bCs/>
              </w:rPr>
            </w:pPr>
            <w:r w:rsidRPr="0085405A">
              <w:rPr>
                <w:rFonts w:ascii="Arial" w:hAnsi="Arial" w:cs="Arial"/>
                <w:b/>
                <w:bCs/>
              </w:rPr>
              <w:t>Material</w:t>
            </w:r>
          </w:p>
        </w:tc>
        <w:tc>
          <w:tcPr>
            <w:tcW w:w="2159" w:type="dxa"/>
          </w:tcPr>
          <w:p w14:paraId="64F53260" w14:textId="77777777" w:rsidR="004A2E41" w:rsidRPr="0085405A" w:rsidRDefault="004A2E41">
            <w:pPr>
              <w:rPr>
                <w:rFonts w:ascii="Arial" w:hAnsi="Arial" w:cs="Arial"/>
                <w:b/>
                <w:bCs/>
              </w:rPr>
            </w:pPr>
            <w:r w:rsidRPr="0085405A">
              <w:rPr>
                <w:rFonts w:ascii="Arial" w:hAnsi="Arial" w:cs="Arial"/>
                <w:b/>
                <w:bCs/>
              </w:rPr>
              <w:t>Surface Modification</w:t>
            </w:r>
          </w:p>
        </w:tc>
        <w:tc>
          <w:tcPr>
            <w:tcW w:w="2204" w:type="dxa"/>
          </w:tcPr>
          <w:p w14:paraId="2D9A8104" w14:textId="77777777" w:rsidR="004A2E41" w:rsidRPr="0085405A" w:rsidRDefault="004A2E41">
            <w:pPr>
              <w:rPr>
                <w:rFonts w:ascii="Arial" w:hAnsi="Arial" w:cs="Arial"/>
                <w:b/>
                <w:bCs/>
              </w:rPr>
            </w:pPr>
            <w:r w:rsidRPr="0085405A">
              <w:rPr>
                <w:rFonts w:ascii="Arial" w:hAnsi="Arial" w:cs="Arial"/>
                <w:b/>
                <w:bCs/>
              </w:rPr>
              <w:t>Hydrodynamic Diameter (nm)</w:t>
            </w:r>
            <w:r w:rsidRPr="0085405A">
              <w:rPr>
                <w:rFonts w:ascii="Arial" w:hAnsi="Arial" w:cs="Arial"/>
                <w:b/>
                <w:bCs/>
                <w:vertAlign w:val="superscript"/>
              </w:rPr>
              <w:t>a</w:t>
            </w:r>
          </w:p>
        </w:tc>
        <w:tc>
          <w:tcPr>
            <w:tcW w:w="683" w:type="dxa"/>
          </w:tcPr>
          <w:p w14:paraId="1B543EC3" w14:textId="77777777" w:rsidR="004A2E41" w:rsidRPr="0085405A" w:rsidRDefault="004A2E41">
            <w:pPr>
              <w:rPr>
                <w:rFonts w:ascii="Arial" w:hAnsi="Arial" w:cs="Arial"/>
                <w:b/>
                <w:bCs/>
              </w:rPr>
            </w:pPr>
            <w:proofErr w:type="spellStart"/>
            <w:r w:rsidRPr="0085405A">
              <w:rPr>
                <w:rFonts w:ascii="Arial" w:hAnsi="Arial" w:cs="Arial"/>
                <w:b/>
                <w:bCs/>
              </w:rPr>
              <w:t>PDI</w:t>
            </w:r>
            <w:r w:rsidRPr="0085405A">
              <w:rPr>
                <w:rFonts w:ascii="Arial" w:hAnsi="Arial" w:cs="Arial"/>
                <w:b/>
                <w:bCs/>
                <w:vertAlign w:val="superscript"/>
              </w:rPr>
              <w:t>b</w:t>
            </w:r>
            <w:proofErr w:type="spellEnd"/>
          </w:p>
        </w:tc>
      </w:tr>
      <w:tr w:rsidR="004A2E41" w:rsidRPr="0085405A" w14:paraId="17144272" w14:textId="77777777" w:rsidTr="00175ED4">
        <w:trPr>
          <w:trHeight w:val="262"/>
        </w:trPr>
        <w:tc>
          <w:tcPr>
            <w:tcW w:w="2209" w:type="dxa"/>
          </w:tcPr>
          <w:p w14:paraId="1CE72C59" w14:textId="77777777" w:rsidR="004A2E41" w:rsidRPr="0085405A" w:rsidRDefault="004A2E41">
            <w:pPr>
              <w:rPr>
                <w:rFonts w:ascii="Arial" w:hAnsi="Arial" w:cs="Arial"/>
              </w:rPr>
            </w:pPr>
            <w:r w:rsidRPr="0085405A">
              <w:rPr>
                <w:rFonts w:ascii="Arial" w:hAnsi="Arial" w:cs="Arial"/>
              </w:rPr>
              <w:t xml:space="preserve">14 </w:t>
            </w:r>
          </w:p>
        </w:tc>
        <w:tc>
          <w:tcPr>
            <w:tcW w:w="1913" w:type="dxa"/>
          </w:tcPr>
          <w:p w14:paraId="6B9D159E" w14:textId="77777777" w:rsidR="004A2E41" w:rsidRPr="0085405A" w:rsidRDefault="004A2E41">
            <w:pPr>
              <w:rPr>
                <w:rFonts w:ascii="Arial" w:hAnsi="Arial" w:cs="Arial"/>
              </w:rPr>
            </w:pPr>
            <w:r w:rsidRPr="0085405A">
              <w:rPr>
                <w:rFonts w:ascii="Arial" w:hAnsi="Arial" w:cs="Arial"/>
              </w:rPr>
              <w:t>Gold</w:t>
            </w:r>
          </w:p>
        </w:tc>
        <w:tc>
          <w:tcPr>
            <w:tcW w:w="2159" w:type="dxa"/>
          </w:tcPr>
          <w:p w14:paraId="04532C96" w14:textId="77777777" w:rsidR="004A2E41" w:rsidRPr="0085405A" w:rsidRDefault="004A2E41">
            <w:pPr>
              <w:rPr>
                <w:rFonts w:ascii="Arial" w:hAnsi="Arial" w:cs="Arial"/>
              </w:rPr>
            </w:pPr>
            <w:r w:rsidRPr="0085405A">
              <w:rPr>
                <w:rFonts w:ascii="Arial" w:hAnsi="Arial" w:cs="Arial"/>
              </w:rPr>
              <w:t>Citrate</w:t>
            </w:r>
          </w:p>
        </w:tc>
        <w:tc>
          <w:tcPr>
            <w:tcW w:w="2204" w:type="dxa"/>
          </w:tcPr>
          <w:p w14:paraId="05E23669" w14:textId="77777777" w:rsidR="004A2E41" w:rsidRPr="0085405A" w:rsidRDefault="004A2E41">
            <w:pPr>
              <w:rPr>
                <w:rFonts w:ascii="Arial" w:hAnsi="Arial" w:cs="Arial"/>
              </w:rPr>
            </w:pPr>
            <w:r w:rsidRPr="0085405A">
              <w:rPr>
                <w:rFonts w:ascii="Arial" w:hAnsi="Arial" w:cs="Arial"/>
              </w:rPr>
              <w:t>18.0 +/- 0.1</w:t>
            </w:r>
          </w:p>
        </w:tc>
        <w:tc>
          <w:tcPr>
            <w:tcW w:w="683" w:type="dxa"/>
          </w:tcPr>
          <w:p w14:paraId="524E0B4C" w14:textId="77777777" w:rsidR="004A2E41" w:rsidRPr="0085405A" w:rsidRDefault="004A2E41">
            <w:pPr>
              <w:rPr>
                <w:rFonts w:ascii="Arial" w:hAnsi="Arial" w:cs="Arial"/>
              </w:rPr>
            </w:pPr>
            <w:r w:rsidRPr="0085405A">
              <w:rPr>
                <w:rFonts w:ascii="Arial" w:hAnsi="Arial" w:cs="Arial"/>
              </w:rPr>
              <w:t>0.01</w:t>
            </w:r>
          </w:p>
        </w:tc>
      </w:tr>
      <w:tr w:rsidR="004A2E41" w:rsidRPr="0085405A" w14:paraId="6371BC09" w14:textId="77777777" w:rsidTr="00175ED4">
        <w:trPr>
          <w:trHeight w:val="262"/>
        </w:trPr>
        <w:tc>
          <w:tcPr>
            <w:tcW w:w="2209" w:type="dxa"/>
          </w:tcPr>
          <w:p w14:paraId="7F45CF19" w14:textId="77777777" w:rsidR="004A2E41" w:rsidRPr="0085405A" w:rsidRDefault="004A2E41">
            <w:pPr>
              <w:rPr>
                <w:rFonts w:ascii="Arial" w:hAnsi="Arial" w:cs="Arial"/>
              </w:rPr>
            </w:pPr>
            <w:r w:rsidRPr="0085405A">
              <w:rPr>
                <w:rFonts w:ascii="Arial" w:hAnsi="Arial" w:cs="Arial"/>
              </w:rPr>
              <w:t>55</w:t>
            </w:r>
          </w:p>
        </w:tc>
        <w:tc>
          <w:tcPr>
            <w:tcW w:w="1913" w:type="dxa"/>
          </w:tcPr>
          <w:p w14:paraId="3427016C" w14:textId="77777777" w:rsidR="004A2E41" w:rsidRPr="0085405A" w:rsidRDefault="004A2E41">
            <w:pPr>
              <w:rPr>
                <w:rFonts w:ascii="Arial" w:hAnsi="Arial" w:cs="Arial"/>
              </w:rPr>
            </w:pPr>
            <w:r w:rsidRPr="0085405A">
              <w:rPr>
                <w:rFonts w:ascii="Arial" w:hAnsi="Arial" w:cs="Arial"/>
              </w:rPr>
              <w:t>Gold</w:t>
            </w:r>
          </w:p>
        </w:tc>
        <w:tc>
          <w:tcPr>
            <w:tcW w:w="2159" w:type="dxa"/>
          </w:tcPr>
          <w:p w14:paraId="576E5224" w14:textId="77777777" w:rsidR="004A2E41" w:rsidRPr="0085405A" w:rsidRDefault="004A2E41">
            <w:pPr>
              <w:rPr>
                <w:rFonts w:ascii="Arial" w:hAnsi="Arial" w:cs="Arial"/>
              </w:rPr>
            </w:pPr>
            <w:r w:rsidRPr="0085405A">
              <w:rPr>
                <w:rFonts w:ascii="Arial" w:hAnsi="Arial" w:cs="Arial"/>
              </w:rPr>
              <w:t>Citrate</w:t>
            </w:r>
          </w:p>
        </w:tc>
        <w:tc>
          <w:tcPr>
            <w:tcW w:w="2204" w:type="dxa"/>
          </w:tcPr>
          <w:p w14:paraId="3E521AFA" w14:textId="77777777" w:rsidR="004A2E41" w:rsidRPr="0085405A" w:rsidRDefault="004A2E41">
            <w:pPr>
              <w:rPr>
                <w:rFonts w:ascii="Arial" w:hAnsi="Arial" w:cs="Arial"/>
              </w:rPr>
            </w:pPr>
            <w:r w:rsidRPr="0085405A">
              <w:rPr>
                <w:rFonts w:ascii="Arial" w:hAnsi="Arial" w:cs="Arial"/>
              </w:rPr>
              <w:t>63.6 +/- 0.7</w:t>
            </w:r>
          </w:p>
        </w:tc>
        <w:tc>
          <w:tcPr>
            <w:tcW w:w="683" w:type="dxa"/>
          </w:tcPr>
          <w:p w14:paraId="6EE1B1DF" w14:textId="77777777" w:rsidR="004A2E41" w:rsidRPr="0085405A" w:rsidRDefault="004A2E41">
            <w:pPr>
              <w:rPr>
                <w:rFonts w:ascii="Arial" w:hAnsi="Arial" w:cs="Arial"/>
              </w:rPr>
            </w:pPr>
            <w:r w:rsidRPr="0085405A">
              <w:rPr>
                <w:rFonts w:ascii="Arial" w:hAnsi="Arial" w:cs="Arial"/>
              </w:rPr>
              <w:t>0.08</w:t>
            </w:r>
          </w:p>
        </w:tc>
      </w:tr>
      <w:tr w:rsidR="004A2E41" w:rsidRPr="0085405A" w14:paraId="661C834E" w14:textId="77777777" w:rsidTr="00175ED4">
        <w:trPr>
          <w:trHeight w:val="251"/>
        </w:trPr>
        <w:tc>
          <w:tcPr>
            <w:tcW w:w="2209" w:type="dxa"/>
          </w:tcPr>
          <w:p w14:paraId="1D478136" w14:textId="77777777" w:rsidR="004A2E41" w:rsidRPr="0085405A" w:rsidRDefault="004A2E41">
            <w:pPr>
              <w:rPr>
                <w:rFonts w:ascii="Arial" w:hAnsi="Arial" w:cs="Arial"/>
              </w:rPr>
            </w:pPr>
            <w:r w:rsidRPr="0085405A">
              <w:rPr>
                <w:rFonts w:ascii="Arial" w:hAnsi="Arial" w:cs="Arial"/>
              </w:rPr>
              <w:t>55</w:t>
            </w:r>
          </w:p>
        </w:tc>
        <w:tc>
          <w:tcPr>
            <w:tcW w:w="1913" w:type="dxa"/>
          </w:tcPr>
          <w:p w14:paraId="5B34A339" w14:textId="77777777" w:rsidR="004A2E41" w:rsidRPr="0085405A" w:rsidRDefault="004A2E41">
            <w:pPr>
              <w:rPr>
                <w:rFonts w:ascii="Arial" w:hAnsi="Arial" w:cs="Arial"/>
              </w:rPr>
            </w:pPr>
            <w:r w:rsidRPr="0085405A">
              <w:rPr>
                <w:rFonts w:ascii="Arial" w:hAnsi="Arial" w:cs="Arial"/>
              </w:rPr>
              <w:t>Gold</w:t>
            </w:r>
          </w:p>
        </w:tc>
        <w:tc>
          <w:tcPr>
            <w:tcW w:w="2159" w:type="dxa"/>
          </w:tcPr>
          <w:p w14:paraId="0D669ACD" w14:textId="77777777" w:rsidR="004A2E41" w:rsidRPr="0085405A" w:rsidRDefault="004A2E41">
            <w:pPr>
              <w:rPr>
                <w:rFonts w:ascii="Arial" w:hAnsi="Arial" w:cs="Arial"/>
              </w:rPr>
            </w:pPr>
            <w:r w:rsidRPr="0085405A">
              <w:rPr>
                <w:rFonts w:ascii="Arial" w:hAnsi="Arial" w:cs="Arial"/>
              </w:rPr>
              <w:t>Citrate, Tween 20</w:t>
            </w:r>
          </w:p>
        </w:tc>
        <w:tc>
          <w:tcPr>
            <w:tcW w:w="2204" w:type="dxa"/>
          </w:tcPr>
          <w:p w14:paraId="344D5CD3" w14:textId="77777777" w:rsidR="004A2E41" w:rsidRPr="0085405A" w:rsidRDefault="004A2E41">
            <w:pPr>
              <w:rPr>
                <w:rFonts w:ascii="Arial" w:hAnsi="Arial" w:cs="Arial"/>
              </w:rPr>
            </w:pPr>
            <w:r w:rsidRPr="0085405A">
              <w:rPr>
                <w:rFonts w:ascii="Arial" w:hAnsi="Arial" w:cs="Arial"/>
              </w:rPr>
              <w:t>76.0 +/- 0.9</w:t>
            </w:r>
          </w:p>
        </w:tc>
        <w:tc>
          <w:tcPr>
            <w:tcW w:w="683" w:type="dxa"/>
          </w:tcPr>
          <w:p w14:paraId="16EEE6E4" w14:textId="77777777" w:rsidR="004A2E41" w:rsidRPr="0085405A" w:rsidRDefault="004A2E41">
            <w:pPr>
              <w:rPr>
                <w:rFonts w:ascii="Arial" w:hAnsi="Arial" w:cs="Arial"/>
              </w:rPr>
            </w:pPr>
            <w:r w:rsidRPr="0085405A">
              <w:rPr>
                <w:rFonts w:ascii="Arial" w:hAnsi="Arial" w:cs="Arial"/>
              </w:rPr>
              <w:t>0.07</w:t>
            </w:r>
          </w:p>
        </w:tc>
      </w:tr>
      <w:tr w:rsidR="004A2E41" w:rsidRPr="0085405A" w14:paraId="43016B48" w14:textId="77777777" w:rsidTr="00175ED4">
        <w:trPr>
          <w:trHeight w:val="526"/>
        </w:trPr>
        <w:tc>
          <w:tcPr>
            <w:tcW w:w="2209" w:type="dxa"/>
          </w:tcPr>
          <w:p w14:paraId="6EE6364D" w14:textId="77777777" w:rsidR="004A2E41" w:rsidRPr="0085405A" w:rsidRDefault="004A2E41">
            <w:pPr>
              <w:rPr>
                <w:rFonts w:ascii="Arial" w:hAnsi="Arial" w:cs="Arial"/>
              </w:rPr>
            </w:pPr>
            <w:r w:rsidRPr="0085405A">
              <w:rPr>
                <w:rFonts w:ascii="Arial" w:hAnsi="Arial" w:cs="Arial"/>
              </w:rPr>
              <w:t xml:space="preserve">55 </w:t>
            </w:r>
          </w:p>
        </w:tc>
        <w:tc>
          <w:tcPr>
            <w:tcW w:w="1913" w:type="dxa"/>
          </w:tcPr>
          <w:p w14:paraId="10BE288E" w14:textId="77777777" w:rsidR="004A2E41" w:rsidRPr="0085405A" w:rsidRDefault="004A2E41">
            <w:pPr>
              <w:rPr>
                <w:rFonts w:ascii="Arial" w:hAnsi="Arial" w:cs="Arial"/>
              </w:rPr>
            </w:pPr>
            <w:r w:rsidRPr="0085405A">
              <w:rPr>
                <w:rFonts w:ascii="Arial" w:hAnsi="Arial" w:cs="Arial"/>
              </w:rPr>
              <w:t>Gold</w:t>
            </w:r>
          </w:p>
        </w:tc>
        <w:tc>
          <w:tcPr>
            <w:tcW w:w="2159" w:type="dxa"/>
          </w:tcPr>
          <w:p w14:paraId="6A26775F" w14:textId="77777777" w:rsidR="004A2E41" w:rsidRPr="0085405A" w:rsidRDefault="004A2E41">
            <w:pPr>
              <w:rPr>
                <w:rFonts w:ascii="Arial" w:hAnsi="Arial" w:cs="Arial"/>
              </w:rPr>
            </w:pPr>
            <w:proofErr w:type="spellStart"/>
            <w:r w:rsidRPr="0085405A">
              <w:rPr>
                <w:rFonts w:ascii="Arial" w:hAnsi="Arial" w:cs="Arial"/>
              </w:rPr>
              <w:t>mPEG</w:t>
            </w:r>
            <w:proofErr w:type="spellEnd"/>
            <w:r w:rsidRPr="0085405A">
              <w:rPr>
                <w:rFonts w:ascii="Arial" w:hAnsi="Arial" w:cs="Arial"/>
              </w:rPr>
              <w:t>(10-kDa)-OPSS</w:t>
            </w:r>
          </w:p>
        </w:tc>
        <w:tc>
          <w:tcPr>
            <w:tcW w:w="2204" w:type="dxa"/>
          </w:tcPr>
          <w:p w14:paraId="60BE62A8" w14:textId="77777777" w:rsidR="004A2E41" w:rsidRPr="0085405A" w:rsidRDefault="004A2E41">
            <w:pPr>
              <w:rPr>
                <w:rFonts w:ascii="Arial" w:hAnsi="Arial" w:cs="Arial"/>
              </w:rPr>
            </w:pPr>
            <w:r w:rsidRPr="0085405A">
              <w:rPr>
                <w:rFonts w:ascii="Arial" w:hAnsi="Arial" w:cs="Arial"/>
              </w:rPr>
              <w:t xml:space="preserve">99.5 +/- 0.1 </w:t>
            </w:r>
          </w:p>
        </w:tc>
        <w:tc>
          <w:tcPr>
            <w:tcW w:w="683" w:type="dxa"/>
          </w:tcPr>
          <w:p w14:paraId="02DBBD7F" w14:textId="77777777" w:rsidR="004A2E41" w:rsidRPr="0085405A" w:rsidRDefault="004A2E41">
            <w:pPr>
              <w:rPr>
                <w:rFonts w:ascii="Arial" w:hAnsi="Arial" w:cs="Arial"/>
              </w:rPr>
            </w:pPr>
            <w:r w:rsidRPr="0085405A">
              <w:rPr>
                <w:rFonts w:ascii="Arial" w:hAnsi="Arial" w:cs="Arial"/>
              </w:rPr>
              <w:t>0.06</w:t>
            </w:r>
          </w:p>
        </w:tc>
      </w:tr>
      <w:tr w:rsidR="004A2E41" w:rsidRPr="0085405A" w14:paraId="775F7F9A" w14:textId="77777777" w:rsidTr="00175ED4">
        <w:trPr>
          <w:trHeight w:val="262"/>
        </w:trPr>
        <w:tc>
          <w:tcPr>
            <w:tcW w:w="2209" w:type="dxa"/>
          </w:tcPr>
          <w:p w14:paraId="287D8133" w14:textId="77777777" w:rsidR="004A2E41" w:rsidRPr="0085405A" w:rsidRDefault="004A2E41">
            <w:pPr>
              <w:rPr>
                <w:rFonts w:ascii="Arial" w:hAnsi="Arial" w:cs="Arial"/>
              </w:rPr>
            </w:pPr>
            <w:r w:rsidRPr="0085405A">
              <w:rPr>
                <w:rFonts w:ascii="Arial" w:hAnsi="Arial" w:cs="Arial"/>
              </w:rPr>
              <w:t>55</w:t>
            </w:r>
          </w:p>
        </w:tc>
        <w:tc>
          <w:tcPr>
            <w:tcW w:w="1913" w:type="dxa"/>
          </w:tcPr>
          <w:p w14:paraId="71D25C6A" w14:textId="77777777" w:rsidR="004A2E41" w:rsidRPr="0085405A" w:rsidRDefault="004A2E41">
            <w:pPr>
              <w:rPr>
                <w:rFonts w:ascii="Arial" w:hAnsi="Arial" w:cs="Arial"/>
              </w:rPr>
            </w:pPr>
            <w:r w:rsidRPr="0085405A">
              <w:rPr>
                <w:rFonts w:ascii="Arial" w:hAnsi="Arial" w:cs="Arial"/>
              </w:rPr>
              <w:t>Gold</w:t>
            </w:r>
          </w:p>
        </w:tc>
        <w:tc>
          <w:tcPr>
            <w:tcW w:w="2159" w:type="dxa"/>
          </w:tcPr>
          <w:p w14:paraId="2E303503" w14:textId="77777777" w:rsidR="004A2E41" w:rsidRPr="0085405A" w:rsidRDefault="004A2E41">
            <w:pPr>
              <w:rPr>
                <w:rFonts w:ascii="Arial" w:hAnsi="Arial" w:cs="Arial"/>
              </w:rPr>
            </w:pPr>
            <w:proofErr w:type="spellStart"/>
            <w:r w:rsidRPr="0085405A">
              <w:rPr>
                <w:rFonts w:ascii="Arial" w:hAnsi="Arial" w:cs="Arial"/>
              </w:rPr>
              <w:t>mPEG</w:t>
            </w:r>
            <w:proofErr w:type="spellEnd"/>
            <w:r w:rsidRPr="0085405A">
              <w:rPr>
                <w:rFonts w:ascii="Arial" w:hAnsi="Arial" w:cs="Arial"/>
              </w:rPr>
              <w:t>(5-kDa)-SH</w:t>
            </w:r>
          </w:p>
        </w:tc>
        <w:tc>
          <w:tcPr>
            <w:tcW w:w="2204" w:type="dxa"/>
          </w:tcPr>
          <w:p w14:paraId="0A6E7A27" w14:textId="77777777" w:rsidR="004A2E41" w:rsidRPr="0085405A" w:rsidRDefault="004A2E41">
            <w:pPr>
              <w:rPr>
                <w:rFonts w:ascii="Arial" w:hAnsi="Arial" w:cs="Arial"/>
              </w:rPr>
            </w:pPr>
            <w:r w:rsidRPr="0085405A">
              <w:rPr>
                <w:rFonts w:ascii="Arial" w:hAnsi="Arial" w:cs="Arial"/>
              </w:rPr>
              <w:t>91.3 +/- 0.4</w:t>
            </w:r>
          </w:p>
        </w:tc>
        <w:tc>
          <w:tcPr>
            <w:tcW w:w="683" w:type="dxa"/>
          </w:tcPr>
          <w:p w14:paraId="4B50D746" w14:textId="77777777" w:rsidR="004A2E41" w:rsidRPr="0085405A" w:rsidRDefault="004A2E41">
            <w:pPr>
              <w:rPr>
                <w:rFonts w:ascii="Arial" w:hAnsi="Arial" w:cs="Arial"/>
              </w:rPr>
            </w:pPr>
            <w:r w:rsidRPr="0085405A">
              <w:rPr>
                <w:rFonts w:ascii="Arial" w:hAnsi="Arial" w:cs="Arial"/>
              </w:rPr>
              <w:t>0.05</w:t>
            </w:r>
          </w:p>
        </w:tc>
      </w:tr>
      <w:tr w:rsidR="004A2E41" w:rsidRPr="0085405A" w14:paraId="4F46BC6C" w14:textId="77777777" w:rsidTr="00175ED4">
        <w:trPr>
          <w:trHeight w:val="789"/>
        </w:trPr>
        <w:tc>
          <w:tcPr>
            <w:tcW w:w="2209" w:type="dxa"/>
          </w:tcPr>
          <w:p w14:paraId="25AF3BB8" w14:textId="77777777" w:rsidR="004A2E41" w:rsidRPr="0085405A" w:rsidRDefault="004A2E41">
            <w:pPr>
              <w:rPr>
                <w:rFonts w:ascii="Arial" w:hAnsi="Arial" w:cs="Arial"/>
              </w:rPr>
            </w:pPr>
            <w:r w:rsidRPr="0085405A">
              <w:rPr>
                <w:rFonts w:ascii="Arial" w:hAnsi="Arial" w:cs="Arial"/>
              </w:rPr>
              <w:t>55</w:t>
            </w:r>
          </w:p>
        </w:tc>
        <w:tc>
          <w:tcPr>
            <w:tcW w:w="1913" w:type="dxa"/>
          </w:tcPr>
          <w:p w14:paraId="4E92D696" w14:textId="77777777" w:rsidR="004A2E41" w:rsidRPr="0085405A" w:rsidRDefault="004A2E41">
            <w:pPr>
              <w:rPr>
                <w:rFonts w:ascii="Arial" w:hAnsi="Arial" w:cs="Arial"/>
              </w:rPr>
            </w:pPr>
            <w:r w:rsidRPr="0085405A">
              <w:rPr>
                <w:rFonts w:ascii="Arial" w:hAnsi="Arial" w:cs="Arial"/>
              </w:rPr>
              <w:t>Gold</w:t>
            </w:r>
          </w:p>
        </w:tc>
        <w:tc>
          <w:tcPr>
            <w:tcW w:w="2159" w:type="dxa"/>
          </w:tcPr>
          <w:p w14:paraId="723F230A" w14:textId="77777777" w:rsidR="004A2E41" w:rsidRPr="0085405A" w:rsidRDefault="004A2E41">
            <w:pPr>
              <w:rPr>
                <w:rFonts w:ascii="Arial" w:hAnsi="Arial" w:cs="Arial"/>
              </w:rPr>
            </w:pPr>
            <w:r w:rsidRPr="0085405A">
              <w:rPr>
                <w:rFonts w:ascii="Arial" w:hAnsi="Arial" w:cs="Arial"/>
              </w:rPr>
              <w:t xml:space="preserve">Cy5-PEG(5-kDa)-SH, </w:t>
            </w:r>
            <w:proofErr w:type="spellStart"/>
            <w:r w:rsidRPr="0085405A">
              <w:rPr>
                <w:rFonts w:ascii="Arial" w:hAnsi="Arial" w:cs="Arial"/>
              </w:rPr>
              <w:t>mPEG</w:t>
            </w:r>
            <w:proofErr w:type="spellEnd"/>
            <w:r w:rsidRPr="0085405A">
              <w:rPr>
                <w:rFonts w:ascii="Arial" w:hAnsi="Arial" w:cs="Arial"/>
              </w:rPr>
              <w:t>(10-kDa)-OPSS</w:t>
            </w:r>
          </w:p>
        </w:tc>
        <w:tc>
          <w:tcPr>
            <w:tcW w:w="2204" w:type="dxa"/>
          </w:tcPr>
          <w:p w14:paraId="7B301BB5" w14:textId="77777777" w:rsidR="004A2E41" w:rsidRPr="0085405A" w:rsidRDefault="004A2E41">
            <w:pPr>
              <w:rPr>
                <w:rFonts w:ascii="Arial" w:hAnsi="Arial" w:cs="Arial"/>
              </w:rPr>
            </w:pPr>
            <w:r w:rsidRPr="0085405A">
              <w:rPr>
                <w:rFonts w:ascii="Arial" w:hAnsi="Arial" w:cs="Arial"/>
              </w:rPr>
              <w:t xml:space="preserve">107.9 +/- 2.9 </w:t>
            </w:r>
          </w:p>
        </w:tc>
        <w:tc>
          <w:tcPr>
            <w:tcW w:w="683" w:type="dxa"/>
          </w:tcPr>
          <w:p w14:paraId="7FA3F04D" w14:textId="77777777" w:rsidR="004A2E41" w:rsidRPr="0085405A" w:rsidRDefault="004A2E41">
            <w:pPr>
              <w:rPr>
                <w:rFonts w:ascii="Arial" w:hAnsi="Arial" w:cs="Arial"/>
              </w:rPr>
            </w:pPr>
            <w:r w:rsidRPr="0085405A">
              <w:rPr>
                <w:rFonts w:ascii="Arial" w:hAnsi="Arial" w:cs="Arial"/>
              </w:rPr>
              <w:t>0.05</w:t>
            </w:r>
          </w:p>
        </w:tc>
      </w:tr>
      <w:tr w:rsidR="004A2E41" w:rsidRPr="0085405A" w14:paraId="2CEE9C53" w14:textId="77777777" w:rsidTr="00175ED4">
        <w:trPr>
          <w:trHeight w:val="262"/>
        </w:trPr>
        <w:tc>
          <w:tcPr>
            <w:tcW w:w="2209" w:type="dxa"/>
          </w:tcPr>
          <w:p w14:paraId="67B75E36" w14:textId="77777777" w:rsidR="004A2E41" w:rsidRPr="0085405A" w:rsidRDefault="004A2E41">
            <w:pPr>
              <w:rPr>
                <w:rFonts w:ascii="Arial" w:hAnsi="Arial" w:cs="Arial"/>
              </w:rPr>
            </w:pPr>
            <w:r w:rsidRPr="0085405A">
              <w:rPr>
                <w:rFonts w:ascii="Arial" w:hAnsi="Arial" w:cs="Arial"/>
              </w:rPr>
              <w:t>55</w:t>
            </w:r>
          </w:p>
        </w:tc>
        <w:tc>
          <w:tcPr>
            <w:tcW w:w="1913" w:type="dxa"/>
          </w:tcPr>
          <w:p w14:paraId="00A63BCD" w14:textId="77777777" w:rsidR="004A2E41" w:rsidRPr="0085405A" w:rsidRDefault="004A2E41">
            <w:pPr>
              <w:rPr>
                <w:rFonts w:ascii="Arial" w:hAnsi="Arial" w:cs="Arial"/>
              </w:rPr>
            </w:pPr>
            <w:r w:rsidRPr="0085405A">
              <w:rPr>
                <w:rFonts w:ascii="Arial" w:hAnsi="Arial" w:cs="Arial"/>
              </w:rPr>
              <w:t>Gold</w:t>
            </w:r>
          </w:p>
        </w:tc>
        <w:tc>
          <w:tcPr>
            <w:tcW w:w="2159" w:type="dxa"/>
          </w:tcPr>
          <w:p w14:paraId="0450D675" w14:textId="77777777" w:rsidR="004A2E41" w:rsidRPr="0085405A" w:rsidRDefault="004A2E41">
            <w:pPr>
              <w:rPr>
                <w:rFonts w:ascii="Arial" w:hAnsi="Arial" w:cs="Arial"/>
              </w:rPr>
            </w:pPr>
            <w:r w:rsidRPr="0085405A">
              <w:rPr>
                <w:rFonts w:ascii="Arial" w:hAnsi="Arial" w:cs="Arial"/>
              </w:rPr>
              <w:t>HEP</w:t>
            </w:r>
          </w:p>
        </w:tc>
        <w:tc>
          <w:tcPr>
            <w:tcW w:w="2204" w:type="dxa"/>
          </w:tcPr>
          <w:p w14:paraId="2C3FF5B6" w14:textId="77777777" w:rsidR="004A2E41" w:rsidRPr="0085405A" w:rsidRDefault="004A2E41">
            <w:pPr>
              <w:rPr>
                <w:rFonts w:ascii="Arial" w:hAnsi="Arial" w:cs="Arial"/>
              </w:rPr>
            </w:pPr>
            <w:r w:rsidRPr="0085405A">
              <w:rPr>
                <w:rFonts w:ascii="Arial" w:hAnsi="Arial" w:cs="Arial"/>
              </w:rPr>
              <w:t>133.8 +/- 2.5</w:t>
            </w:r>
          </w:p>
        </w:tc>
        <w:tc>
          <w:tcPr>
            <w:tcW w:w="683" w:type="dxa"/>
          </w:tcPr>
          <w:p w14:paraId="2CC216BA" w14:textId="77777777" w:rsidR="004A2E41" w:rsidRPr="0085405A" w:rsidRDefault="004A2E41">
            <w:pPr>
              <w:rPr>
                <w:rFonts w:ascii="Arial" w:hAnsi="Arial" w:cs="Arial"/>
              </w:rPr>
            </w:pPr>
            <w:r w:rsidRPr="0085405A">
              <w:rPr>
                <w:rFonts w:ascii="Arial" w:hAnsi="Arial" w:cs="Arial"/>
              </w:rPr>
              <w:t>0.03</w:t>
            </w:r>
          </w:p>
        </w:tc>
      </w:tr>
      <w:tr w:rsidR="004A2E41" w:rsidRPr="0085405A" w14:paraId="6A41C1B6" w14:textId="77777777" w:rsidTr="00175ED4">
        <w:trPr>
          <w:trHeight w:val="262"/>
        </w:trPr>
        <w:tc>
          <w:tcPr>
            <w:tcW w:w="2209" w:type="dxa"/>
          </w:tcPr>
          <w:p w14:paraId="58EFE791" w14:textId="77777777" w:rsidR="004A2E41" w:rsidRPr="0085405A" w:rsidRDefault="004A2E41">
            <w:pPr>
              <w:rPr>
                <w:rFonts w:ascii="Arial" w:hAnsi="Arial" w:cs="Arial"/>
              </w:rPr>
            </w:pPr>
            <w:r w:rsidRPr="0085405A">
              <w:rPr>
                <w:rFonts w:ascii="Arial" w:hAnsi="Arial" w:cs="Arial"/>
              </w:rPr>
              <w:t>40</w:t>
            </w:r>
          </w:p>
        </w:tc>
        <w:tc>
          <w:tcPr>
            <w:tcW w:w="1913" w:type="dxa"/>
          </w:tcPr>
          <w:p w14:paraId="06938BD8" w14:textId="77777777" w:rsidR="004A2E41" w:rsidRPr="0085405A" w:rsidRDefault="004A2E41">
            <w:pPr>
              <w:rPr>
                <w:rFonts w:ascii="Arial" w:hAnsi="Arial" w:cs="Arial"/>
              </w:rPr>
            </w:pPr>
            <w:r w:rsidRPr="0085405A">
              <w:rPr>
                <w:rFonts w:ascii="Arial" w:hAnsi="Arial" w:cs="Arial"/>
              </w:rPr>
              <w:t>Silver</w:t>
            </w:r>
          </w:p>
        </w:tc>
        <w:tc>
          <w:tcPr>
            <w:tcW w:w="2159" w:type="dxa"/>
          </w:tcPr>
          <w:p w14:paraId="65689750" w14:textId="77777777" w:rsidR="004A2E41" w:rsidRPr="0085405A" w:rsidRDefault="004A2E41">
            <w:pPr>
              <w:rPr>
                <w:rFonts w:ascii="Arial" w:hAnsi="Arial" w:cs="Arial"/>
              </w:rPr>
            </w:pPr>
            <w:r w:rsidRPr="0085405A">
              <w:rPr>
                <w:rFonts w:ascii="Arial" w:hAnsi="Arial" w:cs="Arial"/>
              </w:rPr>
              <w:t>Streptavidin</w:t>
            </w:r>
          </w:p>
        </w:tc>
        <w:tc>
          <w:tcPr>
            <w:tcW w:w="2204" w:type="dxa"/>
          </w:tcPr>
          <w:p w14:paraId="7881BA97" w14:textId="77777777" w:rsidR="004A2E41" w:rsidRPr="0085405A" w:rsidRDefault="004A2E41">
            <w:pPr>
              <w:rPr>
                <w:rFonts w:ascii="Arial" w:hAnsi="Arial" w:cs="Arial"/>
              </w:rPr>
            </w:pPr>
            <w:r w:rsidRPr="0085405A">
              <w:rPr>
                <w:rFonts w:ascii="Arial" w:hAnsi="Arial" w:cs="Arial"/>
              </w:rPr>
              <w:t>65.3 +/- 1.0</w:t>
            </w:r>
          </w:p>
        </w:tc>
        <w:tc>
          <w:tcPr>
            <w:tcW w:w="683" w:type="dxa"/>
          </w:tcPr>
          <w:p w14:paraId="23E02D97" w14:textId="77777777" w:rsidR="004A2E41" w:rsidRPr="0085405A" w:rsidRDefault="004A2E41">
            <w:pPr>
              <w:rPr>
                <w:rFonts w:ascii="Arial" w:hAnsi="Arial" w:cs="Arial"/>
              </w:rPr>
            </w:pPr>
            <w:r w:rsidRPr="0085405A">
              <w:rPr>
                <w:rFonts w:ascii="Arial" w:hAnsi="Arial" w:cs="Arial"/>
              </w:rPr>
              <w:t>0.25</w:t>
            </w:r>
          </w:p>
        </w:tc>
      </w:tr>
      <w:tr w:rsidR="004A2E41" w:rsidRPr="0085405A" w14:paraId="7B937FC2" w14:textId="77777777" w:rsidTr="00175ED4">
        <w:trPr>
          <w:trHeight w:val="262"/>
        </w:trPr>
        <w:tc>
          <w:tcPr>
            <w:tcW w:w="2209" w:type="dxa"/>
          </w:tcPr>
          <w:p w14:paraId="77B1445F" w14:textId="77777777" w:rsidR="004A2E41" w:rsidRPr="0085405A" w:rsidRDefault="004A2E41">
            <w:pPr>
              <w:rPr>
                <w:rFonts w:ascii="Arial" w:hAnsi="Arial" w:cs="Arial"/>
              </w:rPr>
            </w:pPr>
            <w:r w:rsidRPr="0085405A">
              <w:rPr>
                <w:rFonts w:ascii="Arial" w:hAnsi="Arial" w:cs="Arial"/>
              </w:rPr>
              <w:t>60</w:t>
            </w:r>
          </w:p>
        </w:tc>
        <w:tc>
          <w:tcPr>
            <w:tcW w:w="1913" w:type="dxa"/>
          </w:tcPr>
          <w:p w14:paraId="6698E7DF" w14:textId="77777777" w:rsidR="004A2E41" w:rsidRPr="0085405A" w:rsidRDefault="004A2E41">
            <w:pPr>
              <w:rPr>
                <w:rFonts w:ascii="Arial" w:hAnsi="Arial" w:cs="Arial"/>
              </w:rPr>
            </w:pPr>
            <w:r w:rsidRPr="0085405A">
              <w:rPr>
                <w:rFonts w:ascii="Arial" w:hAnsi="Arial" w:cs="Arial"/>
              </w:rPr>
              <w:t>Silver</w:t>
            </w:r>
          </w:p>
        </w:tc>
        <w:tc>
          <w:tcPr>
            <w:tcW w:w="2159" w:type="dxa"/>
          </w:tcPr>
          <w:p w14:paraId="13043D7E" w14:textId="77777777" w:rsidR="004A2E41" w:rsidRPr="0085405A" w:rsidRDefault="004A2E41">
            <w:pPr>
              <w:rPr>
                <w:rFonts w:ascii="Arial" w:hAnsi="Arial" w:cs="Arial"/>
              </w:rPr>
            </w:pPr>
            <w:r w:rsidRPr="0085405A">
              <w:rPr>
                <w:rFonts w:ascii="Arial" w:hAnsi="Arial" w:cs="Arial"/>
              </w:rPr>
              <w:t>Streptavidin</w:t>
            </w:r>
          </w:p>
        </w:tc>
        <w:tc>
          <w:tcPr>
            <w:tcW w:w="2204" w:type="dxa"/>
          </w:tcPr>
          <w:p w14:paraId="24B7B855" w14:textId="77777777" w:rsidR="004A2E41" w:rsidRPr="0085405A" w:rsidRDefault="004A2E41">
            <w:pPr>
              <w:rPr>
                <w:rFonts w:ascii="Arial" w:hAnsi="Arial" w:cs="Arial"/>
              </w:rPr>
            </w:pPr>
            <w:r w:rsidRPr="0085405A">
              <w:rPr>
                <w:rFonts w:ascii="Arial" w:hAnsi="Arial" w:cs="Arial"/>
              </w:rPr>
              <w:t>136.5 +/- 8.5</w:t>
            </w:r>
          </w:p>
        </w:tc>
        <w:tc>
          <w:tcPr>
            <w:tcW w:w="683" w:type="dxa"/>
          </w:tcPr>
          <w:p w14:paraId="37275924" w14:textId="77777777" w:rsidR="004A2E41" w:rsidRPr="0085405A" w:rsidRDefault="004A2E41">
            <w:pPr>
              <w:rPr>
                <w:rFonts w:ascii="Arial" w:hAnsi="Arial" w:cs="Arial"/>
              </w:rPr>
            </w:pPr>
            <w:r w:rsidRPr="0085405A">
              <w:rPr>
                <w:rFonts w:ascii="Arial" w:hAnsi="Arial" w:cs="Arial"/>
              </w:rPr>
              <w:t>0.22</w:t>
            </w:r>
          </w:p>
        </w:tc>
      </w:tr>
      <w:tr w:rsidR="004A2E41" w:rsidRPr="0085405A" w14:paraId="74556F04" w14:textId="77777777" w:rsidTr="00175ED4">
        <w:trPr>
          <w:trHeight w:val="514"/>
        </w:trPr>
        <w:tc>
          <w:tcPr>
            <w:tcW w:w="2209" w:type="dxa"/>
          </w:tcPr>
          <w:p w14:paraId="649932D4" w14:textId="77777777" w:rsidR="004A2E41" w:rsidRPr="0085405A" w:rsidRDefault="004A2E41">
            <w:pPr>
              <w:rPr>
                <w:rFonts w:ascii="Arial" w:hAnsi="Arial" w:cs="Arial"/>
              </w:rPr>
            </w:pPr>
            <w:r w:rsidRPr="0085405A">
              <w:rPr>
                <w:rFonts w:ascii="Arial" w:hAnsi="Arial" w:cs="Arial"/>
              </w:rPr>
              <w:t>55</w:t>
            </w:r>
          </w:p>
        </w:tc>
        <w:tc>
          <w:tcPr>
            <w:tcW w:w="1913" w:type="dxa"/>
          </w:tcPr>
          <w:p w14:paraId="643FEADF" w14:textId="77777777" w:rsidR="004A2E41" w:rsidRPr="0085405A" w:rsidRDefault="004A2E41">
            <w:pPr>
              <w:rPr>
                <w:rFonts w:ascii="Arial" w:hAnsi="Arial" w:cs="Arial"/>
              </w:rPr>
            </w:pPr>
            <w:r w:rsidRPr="0085405A">
              <w:rPr>
                <w:rFonts w:ascii="Arial" w:hAnsi="Arial" w:cs="Arial"/>
              </w:rPr>
              <w:t>Gold</w:t>
            </w:r>
          </w:p>
        </w:tc>
        <w:tc>
          <w:tcPr>
            <w:tcW w:w="2159" w:type="dxa"/>
          </w:tcPr>
          <w:p w14:paraId="03225085" w14:textId="77777777" w:rsidR="004A2E41" w:rsidRPr="0085405A" w:rsidRDefault="004A2E41">
            <w:pPr>
              <w:rPr>
                <w:rFonts w:ascii="Arial" w:hAnsi="Arial" w:cs="Arial"/>
              </w:rPr>
            </w:pPr>
            <w:r w:rsidRPr="0085405A">
              <w:rPr>
                <w:rFonts w:ascii="Arial" w:hAnsi="Arial" w:cs="Arial"/>
              </w:rPr>
              <w:t>Bovine Serum Albumin</w:t>
            </w:r>
          </w:p>
        </w:tc>
        <w:tc>
          <w:tcPr>
            <w:tcW w:w="2204" w:type="dxa"/>
          </w:tcPr>
          <w:p w14:paraId="5677BA2F" w14:textId="77777777" w:rsidR="004A2E41" w:rsidRPr="0085405A" w:rsidRDefault="004A2E41">
            <w:pPr>
              <w:rPr>
                <w:rFonts w:ascii="Arial" w:hAnsi="Arial" w:cs="Arial"/>
              </w:rPr>
            </w:pPr>
            <w:r w:rsidRPr="0085405A">
              <w:rPr>
                <w:rFonts w:ascii="Arial" w:hAnsi="Arial" w:cs="Arial"/>
              </w:rPr>
              <w:t>98.2 +/- 2.0</w:t>
            </w:r>
          </w:p>
        </w:tc>
        <w:tc>
          <w:tcPr>
            <w:tcW w:w="683" w:type="dxa"/>
          </w:tcPr>
          <w:p w14:paraId="4A2E7BEF" w14:textId="77777777" w:rsidR="004A2E41" w:rsidRPr="0085405A" w:rsidRDefault="004A2E41">
            <w:pPr>
              <w:rPr>
                <w:rFonts w:ascii="Arial" w:hAnsi="Arial" w:cs="Arial"/>
              </w:rPr>
            </w:pPr>
            <w:r w:rsidRPr="0085405A">
              <w:rPr>
                <w:rFonts w:ascii="Arial" w:hAnsi="Arial" w:cs="Arial"/>
              </w:rPr>
              <w:t>0.10</w:t>
            </w:r>
          </w:p>
        </w:tc>
      </w:tr>
    </w:tbl>
    <w:p w14:paraId="0C90DB93" w14:textId="77777777" w:rsidR="004A2E41" w:rsidRPr="0085405A" w:rsidRDefault="004A2E41" w:rsidP="004A2E41">
      <w:pPr>
        <w:rPr>
          <w:rFonts w:ascii="Arial" w:hAnsi="Arial" w:cs="Arial"/>
          <w:sz w:val="24"/>
          <w:szCs w:val="24"/>
          <w:vertAlign w:val="superscript"/>
        </w:rPr>
      </w:pPr>
    </w:p>
    <w:bookmarkEnd w:id="98"/>
    <w:p w14:paraId="2C445844" w14:textId="77777777" w:rsidR="004A2E41" w:rsidRPr="0085405A" w:rsidRDefault="004A2E41" w:rsidP="004A2E41">
      <w:pPr>
        <w:rPr>
          <w:rFonts w:ascii="Arial" w:hAnsi="Arial" w:cs="Arial"/>
          <w:sz w:val="24"/>
          <w:szCs w:val="24"/>
        </w:rPr>
      </w:pPr>
      <w:r w:rsidRPr="0085405A">
        <w:rPr>
          <w:rFonts w:ascii="Arial" w:hAnsi="Arial" w:cs="Arial"/>
          <w:sz w:val="24"/>
          <w:szCs w:val="24"/>
          <w:vertAlign w:val="superscript"/>
        </w:rPr>
        <w:t xml:space="preserve">a </w:t>
      </w:r>
      <w:r w:rsidRPr="0085405A">
        <w:rPr>
          <w:rFonts w:ascii="Arial" w:hAnsi="Arial" w:cs="Arial"/>
          <w:sz w:val="24"/>
          <w:szCs w:val="24"/>
        </w:rPr>
        <w:t xml:space="preserve">Mean +/- standard deviation, </w:t>
      </w:r>
      <w:r w:rsidRPr="0085405A">
        <w:rPr>
          <w:rFonts w:ascii="Arial" w:hAnsi="Arial" w:cs="Arial"/>
          <w:i/>
          <w:iCs/>
          <w:sz w:val="24"/>
          <w:szCs w:val="24"/>
        </w:rPr>
        <w:t>n</w:t>
      </w:r>
      <w:r w:rsidRPr="0085405A">
        <w:rPr>
          <w:rFonts w:ascii="Arial" w:hAnsi="Arial" w:cs="Arial"/>
          <w:sz w:val="24"/>
          <w:szCs w:val="24"/>
        </w:rPr>
        <w:t>=3</w:t>
      </w:r>
    </w:p>
    <w:p w14:paraId="54FAF594" w14:textId="77777777" w:rsidR="004A2E41" w:rsidRPr="0085405A" w:rsidRDefault="004A2E41" w:rsidP="004A2E41">
      <w:pPr>
        <w:rPr>
          <w:rFonts w:ascii="Arial" w:hAnsi="Arial" w:cs="Arial"/>
          <w:sz w:val="24"/>
          <w:szCs w:val="24"/>
        </w:rPr>
      </w:pPr>
      <w:r w:rsidRPr="0085405A">
        <w:rPr>
          <w:rFonts w:ascii="Arial" w:hAnsi="Arial" w:cs="Arial"/>
          <w:sz w:val="24"/>
          <w:szCs w:val="24"/>
          <w:vertAlign w:val="superscript"/>
        </w:rPr>
        <w:t xml:space="preserve">b </w:t>
      </w:r>
      <w:r w:rsidRPr="0085405A">
        <w:rPr>
          <w:rFonts w:ascii="Arial" w:hAnsi="Arial" w:cs="Arial"/>
          <w:sz w:val="24"/>
          <w:szCs w:val="24"/>
        </w:rPr>
        <w:t>Polydispersity Index</w:t>
      </w:r>
    </w:p>
    <w:p w14:paraId="3AAC168B" w14:textId="087F8B07" w:rsidR="004A2E41" w:rsidRPr="00BF7DB5" w:rsidRDefault="004A2E41" w:rsidP="00BF7DB5">
      <w:pPr>
        <w:rPr>
          <w:rFonts w:ascii="Arial" w:hAnsi="Arial" w:cs="Arial"/>
        </w:rPr>
      </w:pPr>
      <w:r w:rsidRPr="00C5729B">
        <w:br w:type="page"/>
      </w:r>
      <w:bookmarkStart w:id="99" w:name="_Toc129890283"/>
      <w:bookmarkStart w:id="100" w:name="_Hlk129732729"/>
      <w:r w:rsidRPr="00BF7DB5">
        <w:rPr>
          <w:rFonts w:ascii="Arial" w:hAnsi="Arial" w:cs="Arial"/>
          <w:sz w:val="24"/>
          <w:szCs w:val="24"/>
        </w:rPr>
        <w:lastRenderedPageBreak/>
        <w:t>Table S2.</w:t>
      </w:r>
      <w:r w:rsidR="009A0688" w:rsidRPr="00BF7DB5">
        <w:rPr>
          <w:rFonts w:ascii="Arial" w:hAnsi="Arial" w:cs="Arial"/>
          <w:sz w:val="24"/>
          <w:szCs w:val="24"/>
        </w:rPr>
        <w:t xml:space="preserve"> Metallic</w:t>
      </w:r>
      <w:r w:rsidRPr="00BF7DB5">
        <w:rPr>
          <w:rFonts w:ascii="Arial" w:hAnsi="Arial" w:cs="Arial"/>
          <w:sz w:val="24"/>
          <w:szCs w:val="24"/>
        </w:rPr>
        <w:t xml:space="preserve"> Nanoparticle Characterization via Zeta Potential</w:t>
      </w:r>
      <w:bookmarkEnd w:id="99"/>
    </w:p>
    <w:tbl>
      <w:tblPr>
        <w:tblStyle w:val="TableGrid"/>
        <w:tblpPr w:leftFromText="180" w:rightFromText="180" w:vertAnchor="page" w:horzAnchor="margin" w:tblpY="2255"/>
        <w:tblW w:w="0" w:type="auto"/>
        <w:tblLayout w:type="fixed"/>
        <w:tblLook w:val="04A0" w:firstRow="1" w:lastRow="0" w:firstColumn="1" w:lastColumn="0" w:noHBand="0" w:noVBand="1"/>
      </w:tblPr>
      <w:tblGrid>
        <w:gridCol w:w="2288"/>
        <w:gridCol w:w="1307"/>
        <w:gridCol w:w="2393"/>
        <w:gridCol w:w="2065"/>
      </w:tblGrid>
      <w:tr w:rsidR="004A2E41" w:rsidRPr="0085405A" w14:paraId="41E1A6DC" w14:textId="77777777" w:rsidTr="00E8386F">
        <w:trPr>
          <w:trHeight w:val="823"/>
        </w:trPr>
        <w:tc>
          <w:tcPr>
            <w:tcW w:w="2288" w:type="dxa"/>
          </w:tcPr>
          <w:p w14:paraId="76E99BEC" w14:textId="77777777" w:rsidR="004A2E41" w:rsidRPr="0085405A" w:rsidRDefault="004A2E41">
            <w:pPr>
              <w:spacing w:after="160" w:line="259" w:lineRule="auto"/>
              <w:rPr>
                <w:rFonts w:ascii="Arial" w:hAnsi="Arial" w:cs="Arial"/>
                <w:b/>
                <w:bCs/>
              </w:rPr>
            </w:pPr>
            <w:bookmarkStart w:id="101" w:name="_Hlk129732660"/>
            <w:r w:rsidRPr="0085405A">
              <w:rPr>
                <w:rFonts w:ascii="Arial" w:hAnsi="Arial" w:cs="Arial"/>
                <w:b/>
                <w:bCs/>
              </w:rPr>
              <w:t>Nanoparticle Size (nm)</w:t>
            </w:r>
          </w:p>
        </w:tc>
        <w:tc>
          <w:tcPr>
            <w:tcW w:w="1307" w:type="dxa"/>
          </w:tcPr>
          <w:p w14:paraId="7B0FAD3C" w14:textId="77777777" w:rsidR="004A2E41" w:rsidRPr="0085405A" w:rsidRDefault="004A2E41">
            <w:pPr>
              <w:spacing w:after="160" w:line="259" w:lineRule="auto"/>
              <w:rPr>
                <w:rFonts w:ascii="Arial" w:hAnsi="Arial" w:cs="Arial"/>
                <w:b/>
                <w:bCs/>
              </w:rPr>
            </w:pPr>
            <w:r w:rsidRPr="0085405A">
              <w:rPr>
                <w:rFonts w:ascii="Arial" w:hAnsi="Arial" w:cs="Arial"/>
                <w:b/>
                <w:bCs/>
              </w:rPr>
              <w:t>Material</w:t>
            </w:r>
          </w:p>
        </w:tc>
        <w:tc>
          <w:tcPr>
            <w:tcW w:w="2393" w:type="dxa"/>
          </w:tcPr>
          <w:p w14:paraId="2375C46B" w14:textId="77777777" w:rsidR="004A2E41" w:rsidRPr="0085405A" w:rsidRDefault="004A2E41">
            <w:pPr>
              <w:spacing w:after="160" w:line="259" w:lineRule="auto"/>
              <w:rPr>
                <w:rFonts w:ascii="Arial" w:hAnsi="Arial" w:cs="Arial"/>
                <w:b/>
                <w:bCs/>
              </w:rPr>
            </w:pPr>
            <w:r w:rsidRPr="0085405A">
              <w:rPr>
                <w:rFonts w:ascii="Arial" w:hAnsi="Arial" w:cs="Arial"/>
                <w:b/>
                <w:bCs/>
              </w:rPr>
              <w:t>Surface Modification</w:t>
            </w:r>
          </w:p>
        </w:tc>
        <w:tc>
          <w:tcPr>
            <w:tcW w:w="2065" w:type="dxa"/>
          </w:tcPr>
          <w:p w14:paraId="77FD0CD1" w14:textId="77777777" w:rsidR="004A2E41" w:rsidRPr="0085405A" w:rsidRDefault="004A2E41">
            <w:pPr>
              <w:spacing w:after="160" w:line="259" w:lineRule="auto"/>
              <w:rPr>
                <w:rFonts w:ascii="Arial" w:hAnsi="Arial" w:cs="Arial"/>
                <w:b/>
                <w:bCs/>
              </w:rPr>
            </w:pPr>
            <w:r w:rsidRPr="0085405A">
              <w:rPr>
                <w:rFonts w:ascii="Arial" w:hAnsi="Arial" w:cs="Arial"/>
                <w:b/>
                <w:bCs/>
              </w:rPr>
              <w:t>Zeta Potential (mV)</w:t>
            </w:r>
            <w:r w:rsidRPr="0085405A">
              <w:rPr>
                <w:rFonts w:ascii="Arial" w:hAnsi="Arial" w:cs="Arial"/>
                <w:b/>
                <w:bCs/>
                <w:vertAlign w:val="superscript"/>
              </w:rPr>
              <w:t>a</w:t>
            </w:r>
          </w:p>
        </w:tc>
      </w:tr>
      <w:tr w:rsidR="004A2E41" w:rsidRPr="0085405A" w14:paraId="711D9A3D" w14:textId="77777777" w:rsidTr="00E8386F">
        <w:trPr>
          <w:trHeight w:val="279"/>
        </w:trPr>
        <w:tc>
          <w:tcPr>
            <w:tcW w:w="2288" w:type="dxa"/>
          </w:tcPr>
          <w:p w14:paraId="08CB265C" w14:textId="77777777" w:rsidR="004A2E41" w:rsidRPr="0085405A" w:rsidRDefault="004A2E41">
            <w:pPr>
              <w:spacing w:after="160" w:line="259" w:lineRule="auto"/>
              <w:rPr>
                <w:rFonts w:ascii="Arial" w:hAnsi="Arial" w:cs="Arial"/>
              </w:rPr>
            </w:pPr>
            <w:r w:rsidRPr="0085405A">
              <w:rPr>
                <w:rFonts w:ascii="Arial" w:hAnsi="Arial" w:cs="Arial"/>
              </w:rPr>
              <w:t>55</w:t>
            </w:r>
          </w:p>
        </w:tc>
        <w:tc>
          <w:tcPr>
            <w:tcW w:w="1307" w:type="dxa"/>
          </w:tcPr>
          <w:p w14:paraId="748B4221" w14:textId="77777777" w:rsidR="004A2E41" w:rsidRPr="0085405A" w:rsidRDefault="004A2E41" w:rsidP="00E8386F">
            <w:pPr>
              <w:tabs>
                <w:tab w:val="left" w:pos="782"/>
              </w:tabs>
              <w:spacing w:after="160" w:line="259" w:lineRule="auto"/>
              <w:rPr>
                <w:rFonts w:ascii="Arial" w:hAnsi="Arial" w:cs="Arial"/>
              </w:rPr>
            </w:pPr>
            <w:r w:rsidRPr="0085405A">
              <w:rPr>
                <w:rFonts w:ascii="Arial" w:hAnsi="Arial" w:cs="Arial"/>
              </w:rPr>
              <w:t>Gold</w:t>
            </w:r>
          </w:p>
        </w:tc>
        <w:tc>
          <w:tcPr>
            <w:tcW w:w="2393" w:type="dxa"/>
          </w:tcPr>
          <w:p w14:paraId="1D74DA5C" w14:textId="77777777" w:rsidR="004A2E41" w:rsidRPr="0085405A" w:rsidRDefault="004A2E41">
            <w:pPr>
              <w:spacing w:after="160" w:line="259" w:lineRule="auto"/>
              <w:rPr>
                <w:rFonts w:ascii="Arial" w:hAnsi="Arial" w:cs="Arial"/>
              </w:rPr>
            </w:pPr>
            <w:r w:rsidRPr="0085405A">
              <w:rPr>
                <w:rFonts w:ascii="Arial" w:hAnsi="Arial" w:cs="Arial"/>
              </w:rPr>
              <w:t>Citrate, Tween 20</w:t>
            </w:r>
          </w:p>
        </w:tc>
        <w:tc>
          <w:tcPr>
            <w:tcW w:w="2065" w:type="dxa"/>
          </w:tcPr>
          <w:p w14:paraId="26E9C454" w14:textId="77777777" w:rsidR="004A2E41" w:rsidRPr="0085405A" w:rsidRDefault="004A2E41">
            <w:pPr>
              <w:spacing w:after="160" w:line="259" w:lineRule="auto"/>
              <w:rPr>
                <w:rFonts w:ascii="Arial" w:hAnsi="Arial" w:cs="Arial"/>
              </w:rPr>
            </w:pPr>
            <w:r w:rsidRPr="0085405A">
              <w:rPr>
                <w:rFonts w:ascii="Arial" w:hAnsi="Arial" w:cs="Arial"/>
              </w:rPr>
              <w:t>-21.8 +/- 0.4</w:t>
            </w:r>
          </w:p>
        </w:tc>
      </w:tr>
      <w:tr w:rsidR="004A2E41" w:rsidRPr="0085405A" w14:paraId="00B8F917" w14:textId="77777777" w:rsidTr="00E8386F">
        <w:trPr>
          <w:trHeight w:val="265"/>
        </w:trPr>
        <w:tc>
          <w:tcPr>
            <w:tcW w:w="2288" w:type="dxa"/>
          </w:tcPr>
          <w:p w14:paraId="17B2FA31" w14:textId="77777777" w:rsidR="004A2E41" w:rsidRPr="0085405A" w:rsidRDefault="004A2E41">
            <w:pPr>
              <w:spacing w:after="160" w:line="259" w:lineRule="auto"/>
              <w:rPr>
                <w:rFonts w:ascii="Arial" w:hAnsi="Arial" w:cs="Arial"/>
              </w:rPr>
            </w:pPr>
            <w:r w:rsidRPr="0085405A">
              <w:rPr>
                <w:rFonts w:ascii="Arial" w:hAnsi="Arial" w:cs="Arial"/>
              </w:rPr>
              <w:t xml:space="preserve">55 </w:t>
            </w:r>
          </w:p>
        </w:tc>
        <w:tc>
          <w:tcPr>
            <w:tcW w:w="1307" w:type="dxa"/>
          </w:tcPr>
          <w:p w14:paraId="4834F029" w14:textId="77777777" w:rsidR="004A2E41" w:rsidRPr="0085405A" w:rsidRDefault="004A2E41">
            <w:pPr>
              <w:spacing w:after="160" w:line="259" w:lineRule="auto"/>
              <w:rPr>
                <w:rFonts w:ascii="Arial" w:hAnsi="Arial" w:cs="Arial"/>
              </w:rPr>
            </w:pPr>
            <w:r w:rsidRPr="0085405A">
              <w:rPr>
                <w:rFonts w:ascii="Arial" w:hAnsi="Arial" w:cs="Arial"/>
              </w:rPr>
              <w:t>Gold</w:t>
            </w:r>
          </w:p>
        </w:tc>
        <w:tc>
          <w:tcPr>
            <w:tcW w:w="2393" w:type="dxa"/>
          </w:tcPr>
          <w:p w14:paraId="31EE1DE0" w14:textId="77777777" w:rsidR="004A2E41" w:rsidRPr="0085405A" w:rsidRDefault="004A2E41">
            <w:pPr>
              <w:spacing w:after="160" w:line="259" w:lineRule="auto"/>
              <w:rPr>
                <w:rFonts w:ascii="Arial" w:hAnsi="Arial" w:cs="Arial"/>
              </w:rPr>
            </w:pPr>
            <w:proofErr w:type="spellStart"/>
            <w:r w:rsidRPr="0085405A">
              <w:rPr>
                <w:rFonts w:ascii="Arial" w:hAnsi="Arial" w:cs="Arial"/>
              </w:rPr>
              <w:t>mPEG</w:t>
            </w:r>
            <w:proofErr w:type="spellEnd"/>
            <w:r w:rsidRPr="0085405A">
              <w:rPr>
                <w:rFonts w:ascii="Arial" w:hAnsi="Arial" w:cs="Arial"/>
              </w:rPr>
              <w:t>(10-kDa)-OPSS</w:t>
            </w:r>
          </w:p>
        </w:tc>
        <w:tc>
          <w:tcPr>
            <w:tcW w:w="2065" w:type="dxa"/>
          </w:tcPr>
          <w:p w14:paraId="16FCF112" w14:textId="77777777" w:rsidR="004A2E41" w:rsidRPr="0085405A" w:rsidRDefault="004A2E41">
            <w:pPr>
              <w:spacing w:after="160" w:line="259" w:lineRule="auto"/>
              <w:rPr>
                <w:rFonts w:ascii="Arial" w:hAnsi="Arial" w:cs="Arial"/>
              </w:rPr>
            </w:pPr>
            <w:r w:rsidRPr="0085405A">
              <w:rPr>
                <w:rFonts w:ascii="Arial" w:hAnsi="Arial" w:cs="Arial"/>
              </w:rPr>
              <w:t>-3.8 +/- 0.1</w:t>
            </w:r>
          </w:p>
        </w:tc>
      </w:tr>
      <w:tr w:rsidR="004A2E41" w:rsidRPr="0085405A" w14:paraId="5C345466" w14:textId="77777777" w:rsidTr="00E8386F">
        <w:trPr>
          <w:trHeight w:val="279"/>
        </w:trPr>
        <w:tc>
          <w:tcPr>
            <w:tcW w:w="2288" w:type="dxa"/>
          </w:tcPr>
          <w:p w14:paraId="533887A6" w14:textId="77777777" w:rsidR="004A2E41" w:rsidRPr="0085405A" w:rsidRDefault="004A2E41">
            <w:pPr>
              <w:spacing w:after="160" w:line="259" w:lineRule="auto"/>
              <w:rPr>
                <w:rFonts w:ascii="Arial" w:hAnsi="Arial" w:cs="Arial"/>
              </w:rPr>
            </w:pPr>
            <w:r w:rsidRPr="0085405A">
              <w:rPr>
                <w:rFonts w:ascii="Arial" w:hAnsi="Arial" w:cs="Arial"/>
              </w:rPr>
              <w:t>55</w:t>
            </w:r>
          </w:p>
        </w:tc>
        <w:tc>
          <w:tcPr>
            <w:tcW w:w="1307" w:type="dxa"/>
          </w:tcPr>
          <w:p w14:paraId="3AB8D029" w14:textId="77777777" w:rsidR="004A2E41" w:rsidRPr="0085405A" w:rsidRDefault="004A2E41">
            <w:pPr>
              <w:spacing w:after="160" w:line="259" w:lineRule="auto"/>
              <w:rPr>
                <w:rFonts w:ascii="Arial" w:hAnsi="Arial" w:cs="Arial"/>
              </w:rPr>
            </w:pPr>
            <w:r w:rsidRPr="0085405A">
              <w:rPr>
                <w:rFonts w:ascii="Arial" w:hAnsi="Arial" w:cs="Arial"/>
              </w:rPr>
              <w:t>Gold</w:t>
            </w:r>
          </w:p>
        </w:tc>
        <w:tc>
          <w:tcPr>
            <w:tcW w:w="2393" w:type="dxa"/>
          </w:tcPr>
          <w:p w14:paraId="5F168691" w14:textId="77777777" w:rsidR="004A2E41" w:rsidRPr="0085405A" w:rsidRDefault="004A2E41">
            <w:pPr>
              <w:spacing w:after="160" w:line="259" w:lineRule="auto"/>
              <w:rPr>
                <w:rFonts w:ascii="Arial" w:hAnsi="Arial" w:cs="Arial"/>
              </w:rPr>
            </w:pPr>
            <w:r w:rsidRPr="0085405A">
              <w:rPr>
                <w:rFonts w:ascii="Arial" w:hAnsi="Arial" w:cs="Arial"/>
              </w:rPr>
              <w:t>13 kDa-Heparosan-OPSS</w:t>
            </w:r>
          </w:p>
        </w:tc>
        <w:tc>
          <w:tcPr>
            <w:tcW w:w="2065" w:type="dxa"/>
          </w:tcPr>
          <w:p w14:paraId="7E354210" w14:textId="77777777" w:rsidR="004A2E41" w:rsidRPr="0085405A" w:rsidRDefault="004A2E41">
            <w:pPr>
              <w:spacing w:after="160" w:line="259" w:lineRule="auto"/>
              <w:rPr>
                <w:rFonts w:ascii="Arial" w:hAnsi="Arial" w:cs="Arial"/>
              </w:rPr>
            </w:pPr>
            <w:r w:rsidRPr="0085405A">
              <w:rPr>
                <w:rFonts w:ascii="Arial" w:hAnsi="Arial" w:cs="Arial"/>
              </w:rPr>
              <w:t>-25.7 +/- 0.6</w:t>
            </w:r>
          </w:p>
        </w:tc>
      </w:tr>
      <w:tr w:rsidR="004A2E41" w:rsidRPr="0085405A" w14:paraId="21294636" w14:textId="77777777" w:rsidTr="00E8386F">
        <w:trPr>
          <w:trHeight w:val="453"/>
        </w:trPr>
        <w:tc>
          <w:tcPr>
            <w:tcW w:w="2288" w:type="dxa"/>
          </w:tcPr>
          <w:p w14:paraId="5E96BF2B" w14:textId="77777777" w:rsidR="004A2E41" w:rsidRPr="0085405A" w:rsidRDefault="004A2E41">
            <w:pPr>
              <w:spacing w:line="259" w:lineRule="auto"/>
              <w:rPr>
                <w:rFonts w:ascii="Arial" w:hAnsi="Arial" w:cs="Arial"/>
              </w:rPr>
            </w:pPr>
            <w:r w:rsidRPr="0085405A">
              <w:rPr>
                <w:rFonts w:ascii="Arial" w:hAnsi="Arial" w:cs="Arial"/>
              </w:rPr>
              <w:t>55</w:t>
            </w:r>
          </w:p>
        </w:tc>
        <w:tc>
          <w:tcPr>
            <w:tcW w:w="1307" w:type="dxa"/>
          </w:tcPr>
          <w:p w14:paraId="5830C6F6" w14:textId="77777777" w:rsidR="004A2E41" w:rsidRPr="0085405A" w:rsidRDefault="004A2E41">
            <w:pPr>
              <w:spacing w:line="259" w:lineRule="auto"/>
              <w:rPr>
                <w:rFonts w:ascii="Arial" w:hAnsi="Arial" w:cs="Arial"/>
              </w:rPr>
            </w:pPr>
            <w:r w:rsidRPr="0085405A">
              <w:rPr>
                <w:rFonts w:ascii="Arial" w:hAnsi="Arial" w:cs="Arial"/>
              </w:rPr>
              <w:t>Gold</w:t>
            </w:r>
          </w:p>
        </w:tc>
        <w:tc>
          <w:tcPr>
            <w:tcW w:w="2393" w:type="dxa"/>
          </w:tcPr>
          <w:p w14:paraId="624DAC3F" w14:textId="77777777" w:rsidR="004A2E41" w:rsidRPr="0085405A" w:rsidRDefault="004A2E41">
            <w:pPr>
              <w:spacing w:line="259" w:lineRule="auto"/>
              <w:rPr>
                <w:rFonts w:ascii="Arial" w:hAnsi="Arial" w:cs="Arial"/>
              </w:rPr>
            </w:pPr>
            <w:r w:rsidRPr="0085405A">
              <w:rPr>
                <w:rFonts w:ascii="Arial" w:hAnsi="Arial" w:cs="Arial"/>
              </w:rPr>
              <w:t>Bovine Serum Albumin</w:t>
            </w:r>
          </w:p>
        </w:tc>
        <w:tc>
          <w:tcPr>
            <w:tcW w:w="2065" w:type="dxa"/>
          </w:tcPr>
          <w:p w14:paraId="58D5E7C5" w14:textId="77777777" w:rsidR="004A2E41" w:rsidRPr="0085405A" w:rsidRDefault="004A2E41">
            <w:pPr>
              <w:spacing w:line="259" w:lineRule="auto"/>
              <w:rPr>
                <w:rFonts w:ascii="Arial" w:hAnsi="Arial" w:cs="Arial"/>
              </w:rPr>
            </w:pPr>
            <w:r w:rsidRPr="0085405A">
              <w:rPr>
                <w:rFonts w:ascii="Arial" w:hAnsi="Arial" w:cs="Arial"/>
              </w:rPr>
              <w:t>-26.9 +/- 0.4</w:t>
            </w:r>
          </w:p>
        </w:tc>
      </w:tr>
      <w:tr w:rsidR="004A2E41" w:rsidRPr="0085405A" w14:paraId="078B9487" w14:textId="77777777" w:rsidTr="00E8386F">
        <w:trPr>
          <w:trHeight w:val="265"/>
        </w:trPr>
        <w:tc>
          <w:tcPr>
            <w:tcW w:w="2288" w:type="dxa"/>
          </w:tcPr>
          <w:p w14:paraId="477750B2" w14:textId="77777777" w:rsidR="004A2E41" w:rsidRPr="0085405A" w:rsidRDefault="004A2E41">
            <w:pPr>
              <w:spacing w:after="160" w:line="259" w:lineRule="auto"/>
              <w:rPr>
                <w:rFonts w:ascii="Arial" w:hAnsi="Arial" w:cs="Arial"/>
              </w:rPr>
            </w:pPr>
            <w:r w:rsidRPr="0085405A">
              <w:rPr>
                <w:rFonts w:ascii="Arial" w:hAnsi="Arial" w:cs="Arial"/>
              </w:rPr>
              <w:t>40</w:t>
            </w:r>
          </w:p>
        </w:tc>
        <w:tc>
          <w:tcPr>
            <w:tcW w:w="1307" w:type="dxa"/>
          </w:tcPr>
          <w:p w14:paraId="475F96A7" w14:textId="77777777" w:rsidR="004A2E41" w:rsidRPr="0085405A" w:rsidRDefault="004A2E41">
            <w:pPr>
              <w:spacing w:after="160" w:line="259" w:lineRule="auto"/>
              <w:rPr>
                <w:rFonts w:ascii="Arial" w:hAnsi="Arial" w:cs="Arial"/>
              </w:rPr>
            </w:pPr>
            <w:r w:rsidRPr="0085405A">
              <w:rPr>
                <w:rFonts w:ascii="Arial" w:hAnsi="Arial" w:cs="Arial"/>
              </w:rPr>
              <w:t>Silver</w:t>
            </w:r>
          </w:p>
        </w:tc>
        <w:tc>
          <w:tcPr>
            <w:tcW w:w="2393" w:type="dxa"/>
          </w:tcPr>
          <w:p w14:paraId="39236447" w14:textId="77777777" w:rsidR="004A2E41" w:rsidRPr="0085405A" w:rsidRDefault="004A2E41">
            <w:pPr>
              <w:spacing w:after="160" w:line="259" w:lineRule="auto"/>
              <w:rPr>
                <w:rFonts w:ascii="Arial" w:hAnsi="Arial" w:cs="Arial"/>
              </w:rPr>
            </w:pPr>
            <w:r w:rsidRPr="0085405A">
              <w:rPr>
                <w:rFonts w:ascii="Arial" w:hAnsi="Arial" w:cs="Arial"/>
              </w:rPr>
              <w:t>Streptavidin</w:t>
            </w:r>
          </w:p>
        </w:tc>
        <w:tc>
          <w:tcPr>
            <w:tcW w:w="2065" w:type="dxa"/>
          </w:tcPr>
          <w:p w14:paraId="1DCAC8F1" w14:textId="77777777" w:rsidR="004A2E41" w:rsidRPr="0085405A" w:rsidRDefault="004A2E41">
            <w:pPr>
              <w:spacing w:after="160" w:line="259" w:lineRule="auto"/>
              <w:rPr>
                <w:rFonts w:ascii="Arial" w:hAnsi="Arial" w:cs="Arial"/>
              </w:rPr>
            </w:pPr>
            <w:r w:rsidRPr="0085405A">
              <w:rPr>
                <w:rFonts w:ascii="Arial" w:hAnsi="Arial" w:cs="Arial"/>
              </w:rPr>
              <w:t>-18.7 +/- 3.2</w:t>
            </w:r>
          </w:p>
        </w:tc>
      </w:tr>
      <w:tr w:rsidR="004A2E41" w:rsidRPr="0085405A" w14:paraId="1AB80F27" w14:textId="77777777" w:rsidTr="00E8386F">
        <w:trPr>
          <w:trHeight w:val="279"/>
        </w:trPr>
        <w:tc>
          <w:tcPr>
            <w:tcW w:w="2288" w:type="dxa"/>
          </w:tcPr>
          <w:p w14:paraId="10CDC3C1" w14:textId="77777777" w:rsidR="004A2E41" w:rsidRPr="0085405A" w:rsidRDefault="004A2E41">
            <w:pPr>
              <w:spacing w:after="160" w:line="259" w:lineRule="auto"/>
              <w:rPr>
                <w:rFonts w:ascii="Arial" w:hAnsi="Arial" w:cs="Arial"/>
              </w:rPr>
            </w:pPr>
            <w:r w:rsidRPr="0085405A">
              <w:rPr>
                <w:rFonts w:ascii="Arial" w:hAnsi="Arial" w:cs="Arial"/>
              </w:rPr>
              <w:t>60</w:t>
            </w:r>
          </w:p>
        </w:tc>
        <w:tc>
          <w:tcPr>
            <w:tcW w:w="1307" w:type="dxa"/>
          </w:tcPr>
          <w:p w14:paraId="40DB8C3E" w14:textId="77777777" w:rsidR="004A2E41" w:rsidRPr="0085405A" w:rsidRDefault="004A2E41">
            <w:pPr>
              <w:spacing w:after="160" w:line="259" w:lineRule="auto"/>
              <w:rPr>
                <w:rFonts w:ascii="Arial" w:hAnsi="Arial" w:cs="Arial"/>
              </w:rPr>
            </w:pPr>
            <w:r w:rsidRPr="0085405A">
              <w:rPr>
                <w:rFonts w:ascii="Arial" w:hAnsi="Arial" w:cs="Arial"/>
              </w:rPr>
              <w:t>Silver</w:t>
            </w:r>
          </w:p>
        </w:tc>
        <w:tc>
          <w:tcPr>
            <w:tcW w:w="2393" w:type="dxa"/>
          </w:tcPr>
          <w:p w14:paraId="41A00B27" w14:textId="77777777" w:rsidR="004A2E41" w:rsidRPr="0085405A" w:rsidRDefault="004A2E41">
            <w:pPr>
              <w:spacing w:after="160" w:line="259" w:lineRule="auto"/>
              <w:rPr>
                <w:rFonts w:ascii="Arial" w:hAnsi="Arial" w:cs="Arial"/>
              </w:rPr>
            </w:pPr>
            <w:r w:rsidRPr="0085405A">
              <w:rPr>
                <w:rFonts w:ascii="Arial" w:hAnsi="Arial" w:cs="Arial"/>
              </w:rPr>
              <w:t>Streptavidin</w:t>
            </w:r>
          </w:p>
        </w:tc>
        <w:tc>
          <w:tcPr>
            <w:tcW w:w="2065" w:type="dxa"/>
          </w:tcPr>
          <w:p w14:paraId="33D8AED6" w14:textId="77777777" w:rsidR="004A2E41" w:rsidRPr="0085405A" w:rsidRDefault="004A2E41">
            <w:pPr>
              <w:spacing w:after="160" w:line="259" w:lineRule="auto"/>
              <w:rPr>
                <w:rFonts w:ascii="Arial" w:hAnsi="Arial" w:cs="Arial"/>
              </w:rPr>
            </w:pPr>
            <w:r w:rsidRPr="0085405A">
              <w:rPr>
                <w:rFonts w:ascii="Arial" w:hAnsi="Arial" w:cs="Arial"/>
              </w:rPr>
              <w:t>-24.3 +/- 1.0</w:t>
            </w:r>
          </w:p>
        </w:tc>
      </w:tr>
      <w:bookmarkEnd w:id="101"/>
    </w:tbl>
    <w:p w14:paraId="222A029E" w14:textId="77777777" w:rsidR="004A2E41" w:rsidRPr="0085405A" w:rsidRDefault="004A2E41" w:rsidP="004A2E41">
      <w:pPr>
        <w:rPr>
          <w:rFonts w:ascii="Arial" w:hAnsi="Arial" w:cs="Arial"/>
          <w:vertAlign w:val="superscript"/>
        </w:rPr>
      </w:pPr>
    </w:p>
    <w:p w14:paraId="40B32AC2" w14:textId="77777777" w:rsidR="004A2E41" w:rsidRPr="0085405A" w:rsidRDefault="004A2E41" w:rsidP="004A2E41">
      <w:pPr>
        <w:rPr>
          <w:rFonts w:ascii="Arial" w:hAnsi="Arial" w:cs="Arial"/>
          <w:sz w:val="24"/>
          <w:szCs w:val="24"/>
          <w:vertAlign w:val="superscript"/>
        </w:rPr>
      </w:pPr>
    </w:p>
    <w:p w14:paraId="347C39A1" w14:textId="77777777" w:rsidR="004A2E41" w:rsidRPr="0085405A" w:rsidRDefault="004A2E41" w:rsidP="004A2E41">
      <w:pPr>
        <w:rPr>
          <w:rFonts w:ascii="Arial" w:hAnsi="Arial" w:cs="Arial"/>
          <w:sz w:val="24"/>
          <w:szCs w:val="24"/>
          <w:vertAlign w:val="superscript"/>
        </w:rPr>
      </w:pPr>
    </w:p>
    <w:p w14:paraId="1CBBB792" w14:textId="77777777" w:rsidR="004A2E41" w:rsidRPr="0085405A" w:rsidRDefault="004A2E41" w:rsidP="004A2E41">
      <w:pPr>
        <w:rPr>
          <w:rFonts w:ascii="Arial" w:hAnsi="Arial" w:cs="Arial"/>
          <w:sz w:val="24"/>
          <w:szCs w:val="24"/>
          <w:vertAlign w:val="superscript"/>
        </w:rPr>
      </w:pPr>
    </w:p>
    <w:p w14:paraId="687E2CF6" w14:textId="77777777" w:rsidR="004A2E41" w:rsidRPr="0085405A" w:rsidRDefault="004A2E41" w:rsidP="004A2E41">
      <w:pPr>
        <w:rPr>
          <w:rFonts w:ascii="Arial" w:hAnsi="Arial" w:cs="Arial"/>
          <w:sz w:val="24"/>
          <w:szCs w:val="24"/>
          <w:vertAlign w:val="superscript"/>
        </w:rPr>
      </w:pPr>
    </w:p>
    <w:p w14:paraId="4B8FB9CD" w14:textId="77777777" w:rsidR="004A2E41" w:rsidRPr="0085405A" w:rsidRDefault="004A2E41" w:rsidP="004A2E41">
      <w:pPr>
        <w:rPr>
          <w:rFonts w:ascii="Arial" w:hAnsi="Arial" w:cs="Arial"/>
          <w:sz w:val="24"/>
          <w:szCs w:val="24"/>
          <w:vertAlign w:val="superscript"/>
        </w:rPr>
      </w:pPr>
    </w:p>
    <w:p w14:paraId="63D7BE8B" w14:textId="77777777" w:rsidR="004A2E41" w:rsidRPr="0085405A" w:rsidRDefault="004A2E41" w:rsidP="004A2E41">
      <w:pPr>
        <w:rPr>
          <w:rFonts w:ascii="Arial" w:hAnsi="Arial" w:cs="Arial"/>
          <w:sz w:val="24"/>
          <w:szCs w:val="24"/>
          <w:vertAlign w:val="superscript"/>
        </w:rPr>
      </w:pPr>
    </w:p>
    <w:p w14:paraId="66B5C8DD" w14:textId="77777777" w:rsidR="004A2E41" w:rsidRPr="0085405A" w:rsidRDefault="004A2E41" w:rsidP="004A2E41">
      <w:pPr>
        <w:rPr>
          <w:rFonts w:ascii="Arial" w:hAnsi="Arial" w:cs="Arial"/>
          <w:sz w:val="24"/>
          <w:szCs w:val="24"/>
          <w:vertAlign w:val="superscript"/>
        </w:rPr>
      </w:pPr>
    </w:p>
    <w:p w14:paraId="66E7B57A" w14:textId="77777777" w:rsidR="004A2E41" w:rsidRPr="0085405A" w:rsidRDefault="004A2E41" w:rsidP="004A2E41">
      <w:pPr>
        <w:rPr>
          <w:rFonts w:ascii="Arial" w:hAnsi="Arial" w:cs="Arial"/>
          <w:sz w:val="24"/>
          <w:szCs w:val="24"/>
          <w:vertAlign w:val="superscript"/>
        </w:rPr>
      </w:pPr>
    </w:p>
    <w:p w14:paraId="6229F870" w14:textId="77777777" w:rsidR="004A2E41" w:rsidRPr="0085405A" w:rsidRDefault="004A2E41" w:rsidP="004A2E41">
      <w:pPr>
        <w:rPr>
          <w:rFonts w:ascii="Arial" w:hAnsi="Arial" w:cs="Arial"/>
          <w:sz w:val="24"/>
          <w:szCs w:val="24"/>
          <w:vertAlign w:val="superscript"/>
        </w:rPr>
      </w:pPr>
    </w:p>
    <w:p w14:paraId="4C8838CE" w14:textId="77777777" w:rsidR="001522DD" w:rsidRPr="0085405A" w:rsidRDefault="001522DD" w:rsidP="004A2E41">
      <w:pPr>
        <w:rPr>
          <w:rFonts w:ascii="Arial" w:hAnsi="Arial" w:cs="Arial"/>
          <w:sz w:val="24"/>
          <w:szCs w:val="24"/>
          <w:vertAlign w:val="superscript"/>
        </w:rPr>
      </w:pPr>
    </w:p>
    <w:p w14:paraId="7F2CC8D6" w14:textId="4C6AC49C" w:rsidR="009A0688" w:rsidRPr="0085405A" w:rsidRDefault="004A2E41" w:rsidP="004A2E41">
      <w:pPr>
        <w:rPr>
          <w:rFonts w:ascii="Arial" w:hAnsi="Arial" w:cs="Arial"/>
          <w:sz w:val="24"/>
          <w:szCs w:val="24"/>
        </w:rPr>
      </w:pPr>
      <w:r w:rsidRPr="0085405A">
        <w:rPr>
          <w:rFonts w:ascii="Arial" w:hAnsi="Arial" w:cs="Arial"/>
          <w:sz w:val="24"/>
          <w:szCs w:val="24"/>
          <w:vertAlign w:val="superscript"/>
        </w:rPr>
        <w:t xml:space="preserve">a </w:t>
      </w:r>
      <w:r w:rsidRPr="0085405A">
        <w:rPr>
          <w:rFonts w:ascii="Arial" w:hAnsi="Arial" w:cs="Arial"/>
          <w:sz w:val="24"/>
          <w:szCs w:val="24"/>
        </w:rPr>
        <w:t xml:space="preserve">Mean +/- standard deviation, </w:t>
      </w:r>
      <w:r w:rsidRPr="0085405A">
        <w:rPr>
          <w:rFonts w:ascii="Arial" w:hAnsi="Arial" w:cs="Arial"/>
          <w:i/>
          <w:iCs/>
          <w:sz w:val="24"/>
          <w:szCs w:val="24"/>
        </w:rPr>
        <w:t>n</w:t>
      </w:r>
      <w:r w:rsidRPr="0085405A">
        <w:rPr>
          <w:rFonts w:ascii="Arial" w:hAnsi="Arial" w:cs="Arial"/>
          <w:sz w:val="24"/>
          <w:szCs w:val="24"/>
        </w:rPr>
        <w:t>=3</w:t>
      </w:r>
      <w:bookmarkEnd w:id="100"/>
    </w:p>
    <w:p w14:paraId="370584C4" w14:textId="77777777" w:rsidR="009A0688" w:rsidRDefault="009A0688">
      <w:pPr>
        <w:rPr>
          <w:rFonts w:ascii="Times New Roman" w:hAnsi="Times New Roman" w:cs="Times New Roman"/>
          <w:sz w:val="24"/>
          <w:szCs w:val="24"/>
        </w:rPr>
      </w:pPr>
      <w:r>
        <w:rPr>
          <w:rFonts w:ascii="Times New Roman" w:hAnsi="Times New Roman" w:cs="Times New Roman"/>
          <w:sz w:val="24"/>
          <w:szCs w:val="24"/>
        </w:rPr>
        <w:br w:type="page"/>
      </w:r>
    </w:p>
    <w:p w14:paraId="69C322DA" w14:textId="6139D31A" w:rsidR="009A0688" w:rsidRPr="00BF7DB5" w:rsidRDefault="009A0688" w:rsidP="00BF7DB5">
      <w:pPr>
        <w:rPr>
          <w:rFonts w:ascii="Arial" w:hAnsi="Arial" w:cs="Arial"/>
          <w:sz w:val="24"/>
          <w:szCs w:val="24"/>
        </w:rPr>
      </w:pPr>
      <w:r w:rsidRPr="00BF7DB5">
        <w:rPr>
          <w:rFonts w:ascii="Arial" w:hAnsi="Arial" w:cs="Arial"/>
          <w:sz w:val="24"/>
          <w:szCs w:val="24"/>
        </w:rPr>
        <w:lastRenderedPageBreak/>
        <w:t>Table S3. Liposome Characterization using Dynamic Light Scattering</w:t>
      </w:r>
    </w:p>
    <w:tbl>
      <w:tblPr>
        <w:tblStyle w:val="TableGrid"/>
        <w:tblpPr w:leftFromText="180" w:rightFromText="180" w:vertAnchor="page" w:horzAnchor="margin" w:tblpY="2255"/>
        <w:tblW w:w="7026" w:type="dxa"/>
        <w:tblLook w:val="04A0" w:firstRow="1" w:lastRow="0" w:firstColumn="1" w:lastColumn="0" w:noHBand="0" w:noVBand="1"/>
      </w:tblPr>
      <w:tblGrid>
        <w:gridCol w:w="3505"/>
        <w:gridCol w:w="2117"/>
        <w:gridCol w:w="1404"/>
      </w:tblGrid>
      <w:tr w:rsidR="009A0688" w:rsidRPr="0085405A" w14:paraId="5F789984" w14:textId="77777777" w:rsidTr="00A40B30">
        <w:tc>
          <w:tcPr>
            <w:tcW w:w="3505" w:type="dxa"/>
          </w:tcPr>
          <w:p w14:paraId="45B41950" w14:textId="65E83088" w:rsidR="009A0688" w:rsidRPr="0085405A" w:rsidRDefault="009A0688">
            <w:pPr>
              <w:rPr>
                <w:rFonts w:ascii="Arial" w:hAnsi="Arial" w:cs="Arial"/>
                <w:b/>
                <w:bCs/>
              </w:rPr>
            </w:pPr>
            <w:r w:rsidRPr="0085405A">
              <w:rPr>
                <w:rFonts w:ascii="Arial" w:hAnsi="Arial" w:cs="Arial"/>
                <w:b/>
                <w:bCs/>
              </w:rPr>
              <w:t>Liposome Type</w:t>
            </w:r>
          </w:p>
        </w:tc>
        <w:tc>
          <w:tcPr>
            <w:tcW w:w="2117" w:type="dxa"/>
          </w:tcPr>
          <w:p w14:paraId="293BF75E" w14:textId="77777777" w:rsidR="009A0688" w:rsidRPr="0085405A" w:rsidRDefault="009A0688">
            <w:pPr>
              <w:rPr>
                <w:rFonts w:ascii="Arial" w:hAnsi="Arial" w:cs="Arial"/>
                <w:b/>
                <w:bCs/>
              </w:rPr>
            </w:pPr>
            <w:r w:rsidRPr="0085405A">
              <w:rPr>
                <w:rFonts w:ascii="Arial" w:hAnsi="Arial" w:cs="Arial"/>
                <w:b/>
                <w:bCs/>
              </w:rPr>
              <w:t>Hydrodynamic Diameter (nm)</w:t>
            </w:r>
            <w:r w:rsidRPr="0085405A">
              <w:rPr>
                <w:rFonts w:ascii="Arial" w:hAnsi="Arial" w:cs="Arial"/>
                <w:b/>
                <w:bCs/>
                <w:vertAlign w:val="superscript"/>
              </w:rPr>
              <w:t>a</w:t>
            </w:r>
          </w:p>
        </w:tc>
        <w:tc>
          <w:tcPr>
            <w:tcW w:w="1404" w:type="dxa"/>
          </w:tcPr>
          <w:p w14:paraId="7C8D9ACD" w14:textId="77777777" w:rsidR="009A0688" w:rsidRPr="0085405A" w:rsidRDefault="009A0688">
            <w:pPr>
              <w:rPr>
                <w:rFonts w:ascii="Arial" w:hAnsi="Arial" w:cs="Arial"/>
                <w:b/>
                <w:bCs/>
              </w:rPr>
            </w:pPr>
            <w:proofErr w:type="spellStart"/>
            <w:r w:rsidRPr="0085405A">
              <w:rPr>
                <w:rFonts w:ascii="Arial" w:hAnsi="Arial" w:cs="Arial"/>
                <w:b/>
                <w:bCs/>
              </w:rPr>
              <w:t>PDI</w:t>
            </w:r>
            <w:r w:rsidRPr="0085405A">
              <w:rPr>
                <w:rFonts w:ascii="Arial" w:hAnsi="Arial" w:cs="Arial"/>
                <w:b/>
                <w:bCs/>
                <w:vertAlign w:val="superscript"/>
              </w:rPr>
              <w:t>b</w:t>
            </w:r>
            <w:proofErr w:type="spellEnd"/>
          </w:p>
        </w:tc>
      </w:tr>
      <w:tr w:rsidR="009A0688" w:rsidRPr="0085405A" w14:paraId="76AC4F78" w14:textId="77777777" w:rsidTr="00A40B30">
        <w:tc>
          <w:tcPr>
            <w:tcW w:w="3505" w:type="dxa"/>
          </w:tcPr>
          <w:p w14:paraId="2ABFCE54" w14:textId="16A41DCE" w:rsidR="009A0688" w:rsidRPr="0085405A" w:rsidRDefault="009A0688">
            <w:pPr>
              <w:rPr>
                <w:rFonts w:ascii="Arial" w:hAnsi="Arial" w:cs="Arial"/>
              </w:rPr>
            </w:pPr>
            <w:r w:rsidRPr="0085405A">
              <w:rPr>
                <w:rFonts w:ascii="Arial" w:hAnsi="Arial" w:cs="Arial"/>
              </w:rPr>
              <w:t>Doxoves</w:t>
            </w:r>
          </w:p>
        </w:tc>
        <w:tc>
          <w:tcPr>
            <w:tcW w:w="2117" w:type="dxa"/>
          </w:tcPr>
          <w:p w14:paraId="1B5B39EB" w14:textId="31182AF9" w:rsidR="009A0688" w:rsidRPr="0085405A" w:rsidRDefault="009A0688">
            <w:pPr>
              <w:rPr>
                <w:rFonts w:ascii="Arial" w:hAnsi="Arial" w:cs="Arial"/>
              </w:rPr>
            </w:pPr>
            <w:r w:rsidRPr="0085405A">
              <w:rPr>
                <w:rFonts w:ascii="Arial" w:hAnsi="Arial" w:cs="Arial"/>
              </w:rPr>
              <w:t>86.4 +/- 1.0</w:t>
            </w:r>
          </w:p>
        </w:tc>
        <w:tc>
          <w:tcPr>
            <w:tcW w:w="1404" w:type="dxa"/>
          </w:tcPr>
          <w:p w14:paraId="15C9B834" w14:textId="71BDEB02" w:rsidR="009A0688" w:rsidRPr="00A40B30" w:rsidRDefault="009A0688" w:rsidP="00A40B30">
            <w:pPr>
              <w:jc w:val="both"/>
              <w:rPr>
                <w:rFonts w:ascii="Arial" w:hAnsi="Arial" w:cs="Arial"/>
              </w:rPr>
            </w:pPr>
            <w:r w:rsidRPr="00A40B30">
              <w:rPr>
                <w:rFonts w:ascii="Arial" w:hAnsi="Arial" w:cs="Arial"/>
              </w:rPr>
              <w:t>0.04</w:t>
            </w:r>
          </w:p>
        </w:tc>
      </w:tr>
      <w:tr w:rsidR="00AD5CEA" w:rsidRPr="0085405A" w14:paraId="6FF7629D" w14:textId="77777777" w:rsidTr="00A40B30">
        <w:tc>
          <w:tcPr>
            <w:tcW w:w="3505" w:type="dxa"/>
          </w:tcPr>
          <w:p w14:paraId="0E9F9C08" w14:textId="30EDF6C7" w:rsidR="00AD5CEA" w:rsidRPr="0085405A" w:rsidRDefault="00DB106D">
            <w:pPr>
              <w:rPr>
                <w:rFonts w:ascii="Arial" w:hAnsi="Arial" w:cs="Arial"/>
              </w:rPr>
            </w:pPr>
            <w:r>
              <w:rPr>
                <w:rFonts w:ascii="Arial" w:hAnsi="Arial" w:cs="Arial"/>
              </w:rPr>
              <w:t>10 kDa Dextran-AF488-PEG-Liposomes (PEG-Liposomes)</w:t>
            </w:r>
          </w:p>
        </w:tc>
        <w:tc>
          <w:tcPr>
            <w:tcW w:w="2117" w:type="dxa"/>
          </w:tcPr>
          <w:p w14:paraId="1C319335" w14:textId="490C6369" w:rsidR="00AD5CEA" w:rsidRPr="0085405A" w:rsidRDefault="00A40B30">
            <w:pPr>
              <w:rPr>
                <w:rFonts w:ascii="Arial" w:hAnsi="Arial" w:cs="Arial"/>
              </w:rPr>
            </w:pPr>
            <w:r>
              <w:rPr>
                <w:rFonts w:ascii="Arial" w:hAnsi="Arial" w:cs="Arial"/>
              </w:rPr>
              <w:t>113.4 +/- 3.3</w:t>
            </w:r>
          </w:p>
        </w:tc>
        <w:tc>
          <w:tcPr>
            <w:tcW w:w="1404" w:type="dxa"/>
          </w:tcPr>
          <w:p w14:paraId="34E929DA" w14:textId="233AF4D2" w:rsidR="00AD5CEA" w:rsidRPr="00A40B30" w:rsidRDefault="00A40B30" w:rsidP="00A40B30">
            <w:pPr>
              <w:jc w:val="both"/>
              <w:rPr>
                <w:rFonts w:ascii="Arial" w:hAnsi="Arial" w:cs="Arial"/>
              </w:rPr>
            </w:pPr>
            <w:r w:rsidRPr="00A40B30">
              <w:rPr>
                <w:rFonts w:ascii="Arial" w:hAnsi="Arial" w:cs="Arial"/>
              </w:rPr>
              <w:t>0.18</w:t>
            </w:r>
          </w:p>
        </w:tc>
      </w:tr>
      <w:tr w:rsidR="0084127C" w:rsidRPr="0085405A" w14:paraId="740F3C67" w14:textId="77777777" w:rsidTr="00A40B30">
        <w:tc>
          <w:tcPr>
            <w:tcW w:w="3505" w:type="dxa"/>
          </w:tcPr>
          <w:p w14:paraId="41B77FF0" w14:textId="04E12BB4" w:rsidR="0084127C" w:rsidRDefault="0084127C">
            <w:pPr>
              <w:rPr>
                <w:rFonts w:ascii="Arial" w:hAnsi="Arial" w:cs="Arial"/>
              </w:rPr>
            </w:pPr>
            <w:r>
              <w:rPr>
                <w:rFonts w:ascii="Arial" w:hAnsi="Arial" w:cs="Arial"/>
              </w:rPr>
              <w:t>10 kDa Dextran-AF488-Ptd Thioethanol-Liposomes (Thiol-Liposomes)</w:t>
            </w:r>
          </w:p>
        </w:tc>
        <w:tc>
          <w:tcPr>
            <w:tcW w:w="2117" w:type="dxa"/>
          </w:tcPr>
          <w:p w14:paraId="37B3FA2C" w14:textId="75F588BA" w:rsidR="0084127C" w:rsidRDefault="0084127C">
            <w:pPr>
              <w:rPr>
                <w:rFonts w:ascii="Arial" w:hAnsi="Arial" w:cs="Arial"/>
              </w:rPr>
            </w:pPr>
            <w:r>
              <w:rPr>
                <w:rFonts w:ascii="Arial" w:hAnsi="Arial" w:cs="Arial"/>
              </w:rPr>
              <w:t>76.9 +/- 0.3</w:t>
            </w:r>
          </w:p>
        </w:tc>
        <w:tc>
          <w:tcPr>
            <w:tcW w:w="1404" w:type="dxa"/>
          </w:tcPr>
          <w:p w14:paraId="0E91379D" w14:textId="7F0FE62E" w:rsidR="0084127C" w:rsidRPr="00A40B30" w:rsidRDefault="0084127C" w:rsidP="00A40B30">
            <w:pPr>
              <w:jc w:val="both"/>
              <w:rPr>
                <w:rFonts w:ascii="Arial" w:hAnsi="Arial" w:cs="Arial"/>
              </w:rPr>
            </w:pPr>
            <w:r>
              <w:rPr>
                <w:rFonts w:ascii="Arial" w:hAnsi="Arial" w:cs="Arial"/>
              </w:rPr>
              <w:t>0.15</w:t>
            </w:r>
          </w:p>
        </w:tc>
      </w:tr>
      <w:tr w:rsidR="0084127C" w:rsidRPr="0085405A" w14:paraId="7239FF36" w14:textId="77777777" w:rsidTr="00A40B30">
        <w:tc>
          <w:tcPr>
            <w:tcW w:w="3505" w:type="dxa"/>
          </w:tcPr>
          <w:p w14:paraId="21622A2A" w14:textId="22D60393" w:rsidR="0084127C" w:rsidRDefault="0084127C">
            <w:pPr>
              <w:rPr>
                <w:rFonts w:ascii="Arial" w:hAnsi="Arial" w:cs="Arial"/>
              </w:rPr>
            </w:pPr>
            <w:r>
              <w:rPr>
                <w:rFonts w:ascii="Arial" w:hAnsi="Arial" w:cs="Arial"/>
              </w:rPr>
              <w:t>10 kDa Dextran-AF488-HEP-Liposomes (HEP-Liposomes)</w:t>
            </w:r>
          </w:p>
        </w:tc>
        <w:tc>
          <w:tcPr>
            <w:tcW w:w="2117" w:type="dxa"/>
          </w:tcPr>
          <w:p w14:paraId="4DF83EAC" w14:textId="51E1055E" w:rsidR="0084127C" w:rsidRDefault="0084127C">
            <w:pPr>
              <w:rPr>
                <w:rFonts w:ascii="Arial" w:hAnsi="Arial" w:cs="Arial"/>
              </w:rPr>
            </w:pPr>
            <w:r>
              <w:rPr>
                <w:rFonts w:ascii="Arial" w:hAnsi="Arial" w:cs="Arial"/>
              </w:rPr>
              <w:t>102.5 +/- 1.5</w:t>
            </w:r>
          </w:p>
        </w:tc>
        <w:tc>
          <w:tcPr>
            <w:tcW w:w="1404" w:type="dxa"/>
          </w:tcPr>
          <w:p w14:paraId="47891D68" w14:textId="0F54D7D4" w:rsidR="0084127C" w:rsidRPr="00A40B30" w:rsidRDefault="0084127C" w:rsidP="00A40B30">
            <w:pPr>
              <w:jc w:val="both"/>
              <w:rPr>
                <w:rFonts w:ascii="Arial" w:hAnsi="Arial" w:cs="Arial"/>
              </w:rPr>
            </w:pPr>
            <w:r>
              <w:rPr>
                <w:rFonts w:ascii="Arial" w:hAnsi="Arial" w:cs="Arial"/>
              </w:rPr>
              <w:t>0.15</w:t>
            </w:r>
          </w:p>
        </w:tc>
      </w:tr>
      <w:tr w:rsidR="00C0511E" w:rsidRPr="0085405A" w14:paraId="39F4E57F" w14:textId="77777777" w:rsidTr="00A40B30">
        <w:tc>
          <w:tcPr>
            <w:tcW w:w="3505" w:type="dxa"/>
          </w:tcPr>
          <w:p w14:paraId="12FD6E88" w14:textId="14A9C72B" w:rsidR="00C0511E" w:rsidRDefault="00C0511E">
            <w:pPr>
              <w:rPr>
                <w:rFonts w:ascii="Arial" w:hAnsi="Arial" w:cs="Arial"/>
              </w:rPr>
            </w:pPr>
            <w:r>
              <w:rPr>
                <w:rFonts w:ascii="Arial" w:hAnsi="Arial" w:cs="Arial"/>
              </w:rPr>
              <w:t>DiO</w:t>
            </w:r>
            <w:r w:rsidR="00151728">
              <w:rPr>
                <w:rFonts w:ascii="Arial" w:hAnsi="Arial" w:cs="Arial"/>
              </w:rPr>
              <w:t>-</w:t>
            </w:r>
            <w:r>
              <w:rPr>
                <w:rFonts w:ascii="Arial" w:hAnsi="Arial" w:cs="Arial"/>
              </w:rPr>
              <w:t xml:space="preserve">Liposomes </w:t>
            </w:r>
          </w:p>
        </w:tc>
        <w:tc>
          <w:tcPr>
            <w:tcW w:w="2117" w:type="dxa"/>
          </w:tcPr>
          <w:p w14:paraId="1F86124D" w14:textId="406E1BF9" w:rsidR="00C0511E" w:rsidRDefault="00C0511E">
            <w:pPr>
              <w:rPr>
                <w:rFonts w:ascii="Arial" w:hAnsi="Arial" w:cs="Arial"/>
              </w:rPr>
            </w:pPr>
            <w:r>
              <w:rPr>
                <w:rFonts w:ascii="Arial" w:hAnsi="Arial" w:cs="Arial"/>
              </w:rPr>
              <w:t>114.2 +/- 4.1</w:t>
            </w:r>
          </w:p>
        </w:tc>
        <w:tc>
          <w:tcPr>
            <w:tcW w:w="1404" w:type="dxa"/>
          </w:tcPr>
          <w:p w14:paraId="7578E4F8" w14:textId="0B52974A" w:rsidR="00C0511E" w:rsidRDefault="00C0511E" w:rsidP="00A40B30">
            <w:pPr>
              <w:jc w:val="both"/>
              <w:rPr>
                <w:rFonts w:ascii="Arial" w:hAnsi="Arial" w:cs="Arial"/>
              </w:rPr>
            </w:pPr>
            <w:r>
              <w:rPr>
                <w:rFonts w:ascii="Arial" w:hAnsi="Arial" w:cs="Arial"/>
              </w:rPr>
              <w:t>0.14</w:t>
            </w:r>
          </w:p>
        </w:tc>
      </w:tr>
    </w:tbl>
    <w:p w14:paraId="343F4135" w14:textId="77777777" w:rsidR="009A0688" w:rsidRPr="0085405A" w:rsidRDefault="009A0688" w:rsidP="009A0688">
      <w:pPr>
        <w:rPr>
          <w:rFonts w:ascii="Arial" w:hAnsi="Arial" w:cs="Arial"/>
          <w:sz w:val="24"/>
          <w:szCs w:val="24"/>
          <w:vertAlign w:val="superscript"/>
        </w:rPr>
      </w:pPr>
    </w:p>
    <w:p w14:paraId="021EA929" w14:textId="77777777" w:rsidR="009A0688" w:rsidRPr="0085405A" w:rsidRDefault="009A0688" w:rsidP="009A0688">
      <w:pPr>
        <w:rPr>
          <w:rFonts w:ascii="Arial" w:hAnsi="Arial" w:cs="Arial"/>
          <w:sz w:val="24"/>
          <w:szCs w:val="24"/>
          <w:vertAlign w:val="superscript"/>
        </w:rPr>
      </w:pPr>
    </w:p>
    <w:p w14:paraId="208ABACF" w14:textId="77777777" w:rsidR="009A0688" w:rsidRPr="0085405A" w:rsidRDefault="009A0688" w:rsidP="009A0688">
      <w:pPr>
        <w:rPr>
          <w:rFonts w:ascii="Arial" w:hAnsi="Arial" w:cs="Arial"/>
          <w:sz w:val="24"/>
          <w:szCs w:val="24"/>
          <w:vertAlign w:val="superscript"/>
        </w:rPr>
      </w:pPr>
    </w:p>
    <w:p w14:paraId="390638F2" w14:textId="77777777" w:rsidR="009A0688" w:rsidRPr="0085405A" w:rsidRDefault="009A0688" w:rsidP="009A0688">
      <w:pPr>
        <w:rPr>
          <w:rFonts w:ascii="Arial" w:hAnsi="Arial" w:cs="Arial"/>
          <w:sz w:val="24"/>
          <w:szCs w:val="24"/>
          <w:vertAlign w:val="superscript"/>
        </w:rPr>
      </w:pPr>
    </w:p>
    <w:p w14:paraId="08BEB14A" w14:textId="77777777" w:rsidR="00A40B30" w:rsidRDefault="00A40B30" w:rsidP="009A0688">
      <w:pPr>
        <w:rPr>
          <w:rFonts w:ascii="Arial" w:hAnsi="Arial" w:cs="Arial"/>
          <w:sz w:val="24"/>
          <w:szCs w:val="24"/>
          <w:vertAlign w:val="superscript"/>
        </w:rPr>
      </w:pPr>
    </w:p>
    <w:p w14:paraId="7AE1CC5C" w14:textId="77777777" w:rsidR="0084127C" w:rsidRDefault="0084127C" w:rsidP="009A0688">
      <w:pPr>
        <w:rPr>
          <w:rFonts w:ascii="Arial" w:hAnsi="Arial" w:cs="Arial"/>
          <w:sz w:val="24"/>
          <w:szCs w:val="24"/>
          <w:vertAlign w:val="superscript"/>
        </w:rPr>
      </w:pPr>
    </w:p>
    <w:p w14:paraId="507B5E38" w14:textId="77777777" w:rsidR="0084127C" w:rsidRDefault="0084127C" w:rsidP="009A0688">
      <w:pPr>
        <w:rPr>
          <w:rFonts w:ascii="Arial" w:hAnsi="Arial" w:cs="Arial"/>
          <w:sz w:val="24"/>
          <w:szCs w:val="24"/>
          <w:vertAlign w:val="superscript"/>
        </w:rPr>
      </w:pPr>
    </w:p>
    <w:p w14:paraId="026CFC05" w14:textId="77777777" w:rsidR="0084127C" w:rsidRDefault="0084127C" w:rsidP="009A0688">
      <w:pPr>
        <w:rPr>
          <w:rFonts w:ascii="Arial" w:hAnsi="Arial" w:cs="Arial"/>
          <w:sz w:val="24"/>
          <w:szCs w:val="24"/>
          <w:vertAlign w:val="superscript"/>
        </w:rPr>
      </w:pPr>
    </w:p>
    <w:p w14:paraId="1417C494" w14:textId="77777777" w:rsidR="00C0511E" w:rsidRDefault="00C0511E" w:rsidP="009A0688">
      <w:pPr>
        <w:rPr>
          <w:rFonts w:ascii="Arial" w:hAnsi="Arial" w:cs="Arial"/>
          <w:sz w:val="24"/>
          <w:szCs w:val="24"/>
          <w:vertAlign w:val="superscript"/>
        </w:rPr>
      </w:pPr>
    </w:p>
    <w:p w14:paraId="79B560D2" w14:textId="4A64B244" w:rsidR="009A0688" w:rsidRPr="0085405A" w:rsidRDefault="009A0688" w:rsidP="009A0688">
      <w:pPr>
        <w:rPr>
          <w:rFonts w:ascii="Arial" w:hAnsi="Arial" w:cs="Arial"/>
          <w:sz w:val="24"/>
          <w:szCs w:val="24"/>
        </w:rPr>
      </w:pPr>
      <w:r w:rsidRPr="0085405A">
        <w:rPr>
          <w:rFonts w:ascii="Arial" w:hAnsi="Arial" w:cs="Arial"/>
          <w:sz w:val="24"/>
          <w:szCs w:val="24"/>
          <w:vertAlign w:val="superscript"/>
        </w:rPr>
        <w:t xml:space="preserve">a </w:t>
      </w:r>
      <w:r w:rsidRPr="0085405A">
        <w:rPr>
          <w:rFonts w:ascii="Arial" w:hAnsi="Arial" w:cs="Arial"/>
          <w:sz w:val="24"/>
          <w:szCs w:val="24"/>
        </w:rPr>
        <w:t xml:space="preserve">Mean +/- standard deviation, </w:t>
      </w:r>
      <w:r w:rsidRPr="0085405A">
        <w:rPr>
          <w:rFonts w:ascii="Arial" w:hAnsi="Arial" w:cs="Arial"/>
          <w:i/>
          <w:iCs/>
          <w:sz w:val="24"/>
          <w:szCs w:val="24"/>
        </w:rPr>
        <w:t>n</w:t>
      </w:r>
      <w:r w:rsidRPr="0085405A">
        <w:rPr>
          <w:rFonts w:ascii="Arial" w:hAnsi="Arial" w:cs="Arial"/>
          <w:sz w:val="24"/>
          <w:szCs w:val="24"/>
        </w:rPr>
        <w:t>=3</w:t>
      </w:r>
    </w:p>
    <w:p w14:paraId="3E505EF0" w14:textId="77777777" w:rsidR="009A0688" w:rsidRPr="00C5729B" w:rsidRDefault="009A0688" w:rsidP="009A0688">
      <w:pPr>
        <w:rPr>
          <w:rFonts w:ascii="Times New Roman" w:hAnsi="Times New Roman" w:cs="Times New Roman"/>
          <w:sz w:val="24"/>
          <w:szCs w:val="24"/>
        </w:rPr>
      </w:pPr>
      <w:r w:rsidRPr="0085405A">
        <w:rPr>
          <w:rFonts w:ascii="Arial" w:hAnsi="Arial" w:cs="Arial"/>
          <w:sz w:val="24"/>
          <w:szCs w:val="24"/>
          <w:vertAlign w:val="superscript"/>
        </w:rPr>
        <w:t xml:space="preserve">b </w:t>
      </w:r>
      <w:r w:rsidRPr="0085405A">
        <w:rPr>
          <w:rFonts w:ascii="Arial" w:hAnsi="Arial" w:cs="Arial"/>
          <w:sz w:val="24"/>
          <w:szCs w:val="24"/>
        </w:rPr>
        <w:t>Polydispersity Index</w:t>
      </w:r>
    </w:p>
    <w:p w14:paraId="5ECBD301" w14:textId="77777777" w:rsidR="004A2E41" w:rsidRPr="00C5729B" w:rsidRDefault="004A2E41" w:rsidP="004A2E41"/>
    <w:p w14:paraId="35254C54" w14:textId="77777777" w:rsidR="009A0688" w:rsidRDefault="009A0688" w:rsidP="004A2E41">
      <w:pPr>
        <w:rPr>
          <w:rFonts w:ascii="Times New Roman" w:hAnsi="Times New Roman" w:cs="Times New Roman"/>
          <w:sz w:val="24"/>
          <w:szCs w:val="24"/>
        </w:rPr>
      </w:pPr>
    </w:p>
    <w:p w14:paraId="7421A603" w14:textId="5192F029" w:rsidR="00E8386F" w:rsidRDefault="004A2E41">
      <w:pPr>
        <w:rPr>
          <w:rFonts w:ascii="Times New Roman" w:hAnsi="Times New Roman" w:cs="Times New Roman"/>
          <w:sz w:val="24"/>
          <w:szCs w:val="24"/>
        </w:rPr>
      </w:pPr>
      <w:r w:rsidRPr="00C5729B">
        <w:rPr>
          <w:rFonts w:ascii="Times New Roman" w:hAnsi="Times New Roman" w:cs="Times New Roman"/>
          <w:sz w:val="24"/>
          <w:szCs w:val="24"/>
        </w:rPr>
        <w:br w:type="page"/>
      </w:r>
    </w:p>
    <w:p w14:paraId="2FCF5E0B" w14:textId="26388CE1" w:rsidR="00E8386F" w:rsidRPr="00BF7DB5" w:rsidRDefault="00E8386F" w:rsidP="00BF7DB5">
      <w:pPr>
        <w:rPr>
          <w:rFonts w:ascii="Arial" w:hAnsi="Arial" w:cs="Arial"/>
        </w:rPr>
      </w:pPr>
      <w:r w:rsidRPr="00BF7DB5">
        <w:rPr>
          <w:rFonts w:ascii="Arial" w:hAnsi="Arial" w:cs="Arial"/>
          <w:sz w:val="24"/>
          <w:szCs w:val="24"/>
        </w:rPr>
        <w:lastRenderedPageBreak/>
        <w:t>Table S4. Liposome Characterization via Zeta Potential</w:t>
      </w:r>
    </w:p>
    <w:tbl>
      <w:tblPr>
        <w:tblStyle w:val="TableGrid"/>
        <w:tblpPr w:leftFromText="180" w:rightFromText="180" w:vertAnchor="page" w:horzAnchor="margin" w:tblpY="2255"/>
        <w:tblW w:w="0" w:type="auto"/>
        <w:tblLayout w:type="fixed"/>
        <w:tblLook w:val="04A0" w:firstRow="1" w:lastRow="0" w:firstColumn="1" w:lastColumn="0" w:noHBand="0" w:noVBand="1"/>
      </w:tblPr>
      <w:tblGrid>
        <w:gridCol w:w="3955"/>
        <w:gridCol w:w="2070"/>
      </w:tblGrid>
      <w:tr w:rsidR="00E8386F" w:rsidRPr="0085405A" w14:paraId="526604C0" w14:textId="77777777" w:rsidTr="00383225">
        <w:trPr>
          <w:trHeight w:val="823"/>
        </w:trPr>
        <w:tc>
          <w:tcPr>
            <w:tcW w:w="3955" w:type="dxa"/>
          </w:tcPr>
          <w:p w14:paraId="41579B58" w14:textId="004B220F" w:rsidR="00E8386F" w:rsidRPr="0085405A" w:rsidRDefault="00E8386F">
            <w:pPr>
              <w:spacing w:after="160" w:line="259" w:lineRule="auto"/>
              <w:rPr>
                <w:rFonts w:ascii="Arial" w:hAnsi="Arial" w:cs="Arial"/>
                <w:b/>
                <w:bCs/>
              </w:rPr>
            </w:pPr>
            <w:r w:rsidRPr="0085405A">
              <w:rPr>
                <w:rFonts w:ascii="Arial" w:hAnsi="Arial" w:cs="Arial"/>
                <w:b/>
                <w:bCs/>
              </w:rPr>
              <w:t>Liposome Type</w:t>
            </w:r>
          </w:p>
        </w:tc>
        <w:tc>
          <w:tcPr>
            <w:tcW w:w="2070" w:type="dxa"/>
          </w:tcPr>
          <w:p w14:paraId="0018CC66" w14:textId="77777777" w:rsidR="00E8386F" w:rsidRPr="0085405A" w:rsidRDefault="00E8386F">
            <w:pPr>
              <w:spacing w:after="160" w:line="259" w:lineRule="auto"/>
              <w:rPr>
                <w:rFonts w:ascii="Arial" w:hAnsi="Arial" w:cs="Arial"/>
                <w:b/>
                <w:bCs/>
              </w:rPr>
            </w:pPr>
            <w:r w:rsidRPr="0085405A">
              <w:rPr>
                <w:rFonts w:ascii="Arial" w:hAnsi="Arial" w:cs="Arial"/>
                <w:b/>
                <w:bCs/>
              </w:rPr>
              <w:t>Zeta Potential (mV)</w:t>
            </w:r>
            <w:r w:rsidRPr="0085405A">
              <w:rPr>
                <w:rFonts w:ascii="Arial" w:hAnsi="Arial" w:cs="Arial"/>
                <w:b/>
                <w:bCs/>
                <w:vertAlign w:val="superscript"/>
              </w:rPr>
              <w:t>a</w:t>
            </w:r>
          </w:p>
        </w:tc>
      </w:tr>
      <w:tr w:rsidR="00E8386F" w:rsidRPr="0085405A" w14:paraId="03209085" w14:textId="77777777" w:rsidTr="00383225">
        <w:trPr>
          <w:trHeight w:val="279"/>
        </w:trPr>
        <w:tc>
          <w:tcPr>
            <w:tcW w:w="3955" w:type="dxa"/>
          </w:tcPr>
          <w:p w14:paraId="2ED10D39" w14:textId="2E1E791E" w:rsidR="00E8386F" w:rsidRPr="0085405A" w:rsidRDefault="00E8386F">
            <w:pPr>
              <w:spacing w:after="160" w:line="259" w:lineRule="auto"/>
              <w:rPr>
                <w:rFonts w:ascii="Arial" w:hAnsi="Arial" w:cs="Arial"/>
              </w:rPr>
            </w:pPr>
            <w:r w:rsidRPr="0085405A">
              <w:rPr>
                <w:rFonts w:ascii="Arial" w:hAnsi="Arial" w:cs="Arial"/>
              </w:rPr>
              <w:t>Doxoves</w:t>
            </w:r>
          </w:p>
        </w:tc>
        <w:tc>
          <w:tcPr>
            <w:tcW w:w="2070" w:type="dxa"/>
          </w:tcPr>
          <w:p w14:paraId="1EBE3C6B" w14:textId="2EFF7D23" w:rsidR="00E8386F" w:rsidRPr="0085405A" w:rsidRDefault="00E8386F">
            <w:pPr>
              <w:spacing w:after="160" w:line="259" w:lineRule="auto"/>
              <w:rPr>
                <w:rFonts w:ascii="Arial" w:hAnsi="Arial" w:cs="Arial"/>
              </w:rPr>
            </w:pPr>
            <w:r w:rsidRPr="0085405A">
              <w:rPr>
                <w:rFonts w:ascii="Arial" w:hAnsi="Arial" w:cs="Arial"/>
              </w:rPr>
              <w:t>-20.8 +/- 1.2</w:t>
            </w:r>
          </w:p>
        </w:tc>
      </w:tr>
      <w:tr w:rsidR="00F25F69" w:rsidRPr="0085405A" w14:paraId="5511D2A3" w14:textId="77777777" w:rsidTr="00383225">
        <w:trPr>
          <w:trHeight w:val="279"/>
        </w:trPr>
        <w:tc>
          <w:tcPr>
            <w:tcW w:w="3955" w:type="dxa"/>
          </w:tcPr>
          <w:p w14:paraId="2A3D01B5" w14:textId="788D3203" w:rsidR="00F25F69" w:rsidRPr="0085405A" w:rsidRDefault="00F25F69">
            <w:pPr>
              <w:rPr>
                <w:rFonts w:ascii="Arial" w:hAnsi="Arial" w:cs="Arial"/>
              </w:rPr>
            </w:pPr>
            <w:r>
              <w:rPr>
                <w:rFonts w:ascii="Arial" w:hAnsi="Arial" w:cs="Arial"/>
              </w:rPr>
              <w:t>10 kDa Dextran-AF488</w:t>
            </w:r>
            <w:r w:rsidR="00383225">
              <w:rPr>
                <w:rFonts w:ascii="Arial" w:hAnsi="Arial" w:cs="Arial"/>
              </w:rPr>
              <w:t>-PEG-Liposomes</w:t>
            </w:r>
            <w:r w:rsidR="00DB106D">
              <w:rPr>
                <w:rFonts w:ascii="Arial" w:hAnsi="Arial" w:cs="Arial"/>
              </w:rPr>
              <w:t xml:space="preserve"> (PEG-Liposomes)</w:t>
            </w:r>
          </w:p>
        </w:tc>
        <w:tc>
          <w:tcPr>
            <w:tcW w:w="2070" w:type="dxa"/>
          </w:tcPr>
          <w:p w14:paraId="017733FB" w14:textId="4D0318FD" w:rsidR="00F25F69" w:rsidRPr="0085405A" w:rsidRDefault="00116DC0">
            <w:pPr>
              <w:rPr>
                <w:rFonts w:ascii="Arial" w:hAnsi="Arial" w:cs="Arial"/>
              </w:rPr>
            </w:pPr>
            <w:r>
              <w:rPr>
                <w:rFonts w:ascii="Arial" w:hAnsi="Arial" w:cs="Arial"/>
              </w:rPr>
              <w:t>-8.8 +/- 0.8</w:t>
            </w:r>
          </w:p>
        </w:tc>
      </w:tr>
      <w:tr w:rsidR="0084127C" w:rsidRPr="0085405A" w14:paraId="106F00A2" w14:textId="77777777" w:rsidTr="00383225">
        <w:trPr>
          <w:trHeight w:val="279"/>
        </w:trPr>
        <w:tc>
          <w:tcPr>
            <w:tcW w:w="3955" w:type="dxa"/>
          </w:tcPr>
          <w:p w14:paraId="34422EC9" w14:textId="4DEB0446" w:rsidR="0084127C" w:rsidRDefault="0084127C">
            <w:pPr>
              <w:rPr>
                <w:rFonts w:ascii="Arial" w:hAnsi="Arial" w:cs="Arial"/>
              </w:rPr>
            </w:pPr>
            <w:r>
              <w:rPr>
                <w:rFonts w:ascii="Arial" w:hAnsi="Arial" w:cs="Arial"/>
              </w:rPr>
              <w:t>10 kDa Dextran-AF488-HEP-Liposomes (HEP-Liposomes)</w:t>
            </w:r>
          </w:p>
        </w:tc>
        <w:tc>
          <w:tcPr>
            <w:tcW w:w="2070" w:type="dxa"/>
          </w:tcPr>
          <w:p w14:paraId="6A09AE42" w14:textId="1F9C206F" w:rsidR="0084127C" w:rsidRDefault="0084127C">
            <w:pPr>
              <w:rPr>
                <w:rFonts w:ascii="Arial" w:hAnsi="Arial" w:cs="Arial"/>
              </w:rPr>
            </w:pPr>
            <w:r>
              <w:rPr>
                <w:rFonts w:ascii="Arial" w:hAnsi="Arial" w:cs="Arial"/>
              </w:rPr>
              <w:t>-33.2 +/- 1.4</w:t>
            </w:r>
          </w:p>
        </w:tc>
      </w:tr>
    </w:tbl>
    <w:p w14:paraId="5DBC7C0A" w14:textId="77777777" w:rsidR="00E8386F" w:rsidRPr="0085405A" w:rsidRDefault="00E8386F" w:rsidP="00E8386F">
      <w:pPr>
        <w:rPr>
          <w:rFonts w:ascii="Arial" w:hAnsi="Arial" w:cs="Arial"/>
          <w:vertAlign w:val="superscript"/>
        </w:rPr>
      </w:pPr>
    </w:p>
    <w:p w14:paraId="22EF78F5" w14:textId="77777777" w:rsidR="00E8386F" w:rsidRPr="0085405A" w:rsidRDefault="00E8386F" w:rsidP="00E8386F">
      <w:pPr>
        <w:rPr>
          <w:rFonts w:ascii="Arial" w:hAnsi="Arial" w:cs="Arial"/>
          <w:sz w:val="24"/>
          <w:szCs w:val="24"/>
          <w:vertAlign w:val="superscript"/>
        </w:rPr>
      </w:pPr>
    </w:p>
    <w:p w14:paraId="58000301" w14:textId="77777777" w:rsidR="00E8386F" w:rsidRPr="0085405A" w:rsidRDefault="00E8386F" w:rsidP="00E8386F">
      <w:pPr>
        <w:rPr>
          <w:rFonts w:ascii="Arial" w:hAnsi="Arial" w:cs="Arial"/>
          <w:sz w:val="24"/>
          <w:szCs w:val="24"/>
          <w:vertAlign w:val="superscript"/>
        </w:rPr>
      </w:pPr>
    </w:p>
    <w:p w14:paraId="13801974" w14:textId="77777777" w:rsidR="00E8386F" w:rsidRPr="0085405A" w:rsidRDefault="00E8386F" w:rsidP="00E8386F">
      <w:pPr>
        <w:rPr>
          <w:rFonts w:ascii="Arial" w:hAnsi="Arial" w:cs="Arial"/>
          <w:sz w:val="24"/>
          <w:szCs w:val="24"/>
          <w:vertAlign w:val="superscript"/>
        </w:rPr>
      </w:pPr>
    </w:p>
    <w:p w14:paraId="3B0A04D8" w14:textId="77777777" w:rsidR="00E8386F" w:rsidRPr="0085405A" w:rsidRDefault="00E8386F" w:rsidP="00E8386F">
      <w:pPr>
        <w:rPr>
          <w:rFonts w:ascii="Arial" w:hAnsi="Arial" w:cs="Arial"/>
          <w:sz w:val="24"/>
          <w:szCs w:val="24"/>
          <w:vertAlign w:val="superscript"/>
        </w:rPr>
      </w:pPr>
    </w:p>
    <w:p w14:paraId="410C4887" w14:textId="77777777" w:rsidR="00F25F69" w:rsidRDefault="00F25F69" w:rsidP="00E8386F">
      <w:pPr>
        <w:rPr>
          <w:rFonts w:ascii="Arial" w:hAnsi="Arial" w:cs="Arial"/>
          <w:sz w:val="24"/>
          <w:szCs w:val="24"/>
          <w:vertAlign w:val="superscript"/>
        </w:rPr>
      </w:pPr>
    </w:p>
    <w:p w14:paraId="47F0C540" w14:textId="77777777" w:rsidR="0084127C" w:rsidRDefault="0084127C" w:rsidP="00E8386F">
      <w:pPr>
        <w:rPr>
          <w:rFonts w:ascii="Arial" w:hAnsi="Arial" w:cs="Arial"/>
          <w:sz w:val="24"/>
          <w:szCs w:val="24"/>
          <w:vertAlign w:val="superscript"/>
        </w:rPr>
      </w:pPr>
    </w:p>
    <w:p w14:paraId="0A68B8C0" w14:textId="43950BC1" w:rsidR="00E8386F" w:rsidRPr="0085405A" w:rsidRDefault="00E8386F" w:rsidP="00E8386F">
      <w:pPr>
        <w:rPr>
          <w:rFonts w:ascii="Arial" w:hAnsi="Arial" w:cs="Arial"/>
          <w:sz w:val="24"/>
          <w:szCs w:val="24"/>
        </w:rPr>
      </w:pPr>
      <w:r w:rsidRPr="0085405A">
        <w:rPr>
          <w:rFonts w:ascii="Arial" w:hAnsi="Arial" w:cs="Arial"/>
          <w:sz w:val="24"/>
          <w:szCs w:val="24"/>
          <w:vertAlign w:val="superscript"/>
        </w:rPr>
        <w:t xml:space="preserve">a </w:t>
      </w:r>
      <w:r w:rsidRPr="0085405A">
        <w:rPr>
          <w:rFonts w:ascii="Arial" w:hAnsi="Arial" w:cs="Arial"/>
          <w:sz w:val="24"/>
          <w:szCs w:val="24"/>
        </w:rPr>
        <w:t xml:space="preserve">Mean +/- standard deviation, </w:t>
      </w:r>
      <w:r w:rsidRPr="0085405A">
        <w:rPr>
          <w:rFonts w:ascii="Arial" w:hAnsi="Arial" w:cs="Arial"/>
          <w:i/>
          <w:iCs/>
          <w:sz w:val="24"/>
          <w:szCs w:val="24"/>
        </w:rPr>
        <w:t>n</w:t>
      </w:r>
      <w:r w:rsidRPr="0085405A">
        <w:rPr>
          <w:rFonts w:ascii="Arial" w:hAnsi="Arial" w:cs="Arial"/>
          <w:sz w:val="24"/>
          <w:szCs w:val="24"/>
        </w:rPr>
        <w:t>=3</w:t>
      </w:r>
    </w:p>
    <w:p w14:paraId="72BF4BE4" w14:textId="77777777" w:rsidR="004A2E41" w:rsidRPr="00C5729B" w:rsidRDefault="004A2E41" w:rsidP="004A2E41">
      <w:pPr>
        <w:rPr>
          <w:rFonts w:ascii="Times New Roman" w:hAnsi="Times New Roman" w:cs="Times New Roman"/>
          <w:sz w:val="24"/>
          <w:szCs w:val="24"/>
        </w:rPr>
      </w:pPr>
    </w:p>
    <w:p w14:paraId="49EAAD10" w14:textId="77777777" w:rsidR="004A2E41" w:rsidRPr="00C5729B" w:rsidRDefault="004A2E41" w:rsidP="004A2E41">
      <w:pPr>
        <w:rPr>
          <w:rFonts w:ascii="Times New Roman" w:eastAsiaTheme="majorEastAsia" w:hAnsi="Times New Roman" w:cs="Times New Roman"/>
          <w:color w:val="2F5496" w:themeColor="accent1" w:themeShade="BF"/>
          <w:sz w:val="24"/>
          <w:szCs w:val="24"/>
        </w:rPr>
      </w:pPr>
    </w:p>
    <w:p w14:paraId="4AFE0EE9" w14:textId="77777777" w:rsidR="004A2E41" w:rsidRPr="00C5729B" w:rsidRDefault="004A2E41" w:rsidP="004A2E41">
      <w:pP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48F31B96" wp14:editId="31762039">
            <wp:extent cx="5934075" cy="5934075"/>
            <wp:effectExtent l="0" t="0" r="0" b="0"/>
            <wp:docPr id="1" name="Picture 1"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images of cell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0F8EE128" w14:textId="3C43579C" w:rsidR="004A2E41" w:rsidRPr="00BF7DB5" w:rsidRDefault="004A2E41" w:rsidP="004A2E41">
      <w:pPr>
        <w:pStyle w:val="NoSpacing"/>
        <w:jc w:val="both"/>
        <w:rPr>
          <w:rFonts w:ascii="Arial" w:hAnsi="Arial" w:cs="Arial"/>
          <w:sz w:val="24"/>
          <w:szCs w:val="24"/>
        </w:rPr>
      </w:pPr>
      <w:bookmarkStart w:id="102" w:name="_Toc129890284"/>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1. Additional images of expanded 4T1 mammary tumor mouse cells</w:t>
      </w:r>
      <w:bookmarkEnd w:id="102"/>
      <w:r w:rsidRPr="00BF7DB5">
        <w:rPr>
          <w:rFonts w:ascii="Arial" w:hAnsi="Arial" w:cs="Arial"/>
          <w:sz w:val="24"/>
          <w:szCs w:val="24"/>
        </w:rPr>
        <w:t>. 4T1 cells after expansion were stained with DAPI (blue) for nuclei visualization and WGA-CF488A (green) for cell membrane visualization. Scale bar indicates 50 µ</w:t>
      </w:r>
      <w:proofErr w:type="spellStart"/>
      <w:r w:rsidRPr="00BF7DB5">
        <w:rPr>
          <w:rFonts w:ascii="Arial" w:hAnsi="Arial" w:cs="Arial"/>
          <w:sz w:val="24"/>
          <w:szCs w:val="24"/>
        </w:rPr>
        <w:t>m.</w:t>
      </w:r>
      <w:proofErr w:type="spellEnd"/>
      <w:r w:rsidRPr="00BF7DB5">
        <w:rPr>
          <w:rFonts w:ascii="Arial" w:hAnsi="Arial" w:cs="Arial"/>
          <w:sz w:val="24"/>
          <w:szCs w:val="24"/>
        </w:rPr>
        <w:t xml:space="preserve"> Scale bars for images of expanded cells are the original length as taken by the microscope (</w:t>
      </w:r>
      <w:proofErr w:type="gramStart"/>
      <w:r w:rsidRPr="00BF7DB5">
        <w:rPr>
          <w:rFonts w:ascii="Arial" w:hAnsi="Arial" w:cs="Arial"/>
          <w:sz w:val="24"/>
          <w:szCs w:val="24"/>
        </w:rPr>
        <w:t>i.e.</w:t>
      </w:r>
      <w:proofErr w:type="gramEnd"/>
      <w:r w:rsidRPr="00BF7DB5">
        <w:rPr>
          <w:rFonts w:ascii="Arial" w:hAnsi="Arial" w:cs="Arial"/>
          <w:sz w:val="24"/>
          <w:szCs w:val="24"/>
        </w:rPr>
        <w:t xml:space="preserve"> not corrected for expansion factors).</w:t>
      </w:r>
    </w:p>
    <w:p w14:paraId="77606D35" w14:textId="77777777" w:rsidR="004A2E41" w:rsidRPr="00BF7DB5" w:rsidRDefault="004A2E41" w:rsidP="004A2E41">
      <w:pPr>
        <w:jc w:val="both"/>
        <w:rPr>
          <w:rFonts w:ascii="Arial" w:eastAsiaTheme="majorEastAsia" w:hAnsi="Arial" w:cs="Arial"/>
          <w:color w:val="2F5496" w:themeColor="accent1" w:themeShade="BF"/>
          <w:sz w:val="24"/>
          <w:szCs w:val="24"/>
        </w:rPr>
      </w:pPr>
      <w:r w:rsidRPr="00BF7DB5">
        <w:rPr>
          <w:rFonts w:ascii="Arial" w:hAnsi="Arial" w:cs="Arial"/>
          <w:sz w:val="24"/>
          <w:szCs w:val="24"/>
        </w:rPr>
        <w:br w:type="page"/>
      </w:r>
    </w:p>
    <w:p w14:paraId="494A7481"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1BBEFAE2" wp14:editId="08AB7138">
            <wp:extent cx="5943600" cy="4166870"/>
            <wp:effectExtent l="0" t="0" r="0" b="0"/>
            <wp:docPr id="5" name="Picture 5" descr="A collage of images of a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images of a plane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4166870"/>
                    </a:xfrm>
                    <a:prstGeom prst="rect">
                      <a:avLst/>
                    </a:prstGeom>
                    <a:noFill/>
                    <a:ln>
                      <a:noFill/>
                    </a:ln>
                  </pic:spPr>
                </pic:pic>
              </a:graphicData>
            </a:graphic>
          </wp:inline>
        </w:drawing>
      </w:r>
    </w:p>
    <w:p w14:paraId="48644238" w14:textId="49D48AB1" w:rsidR="004A2E41" w:rsidRPr="00BF7DB5" w:rsidRDefault="004A2E41" w:rsidP="004A2E41">
      <w:pPr>
        <w:jc w:val="both"/>
        <w:rPr>
          <w:rFonts w:ascii="Arial" w:hAnsi="Arial" w:cs="Arial"/>
          <w:sz w:val="24"/>
          <w:szCs w:val="24"/>
        </w:rPr>
      </w:pPr>
      <w:bookmarkStart w:id="103" w:name="_Toc129890285"/>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2. Line profiles to analyze the spatial resolution of non-expanded and expanded cells</w:t>
      </w:r>
      <w:bookmarkEnd w:id="103"/>
      <w:r w:rsidRPr="00BF7DB5">
        <w:rPr>
          <w:rFonts w:ascii="Arial" w:hAnsi="Arial" w:cs="Arial"/>
          <w:sz w:val="24"/>
          <w:szCs w:val="24"/>
        </w:rPr>
        <w:t xml:space="preserve">. Line profiles (orange) were drawn in equally spaced grids across cells in ImageJ to measure the signal intensity of the channel being analyzed for the following conditions: </w:t>
      </w:r>
      <w:r w:rsidRPr="00BF7DB5">
        <w:rPr>
          <w:rFonts w:ascii="Arial" w:hAnsi="Arial" w:cs="Arial"/>
          <w:b/>
          <w:bCs/>
          <w:sz w:val="24"/>
          <w:szCs w:val="24"/>
        </w:rPr>
        <w:t>(a)</w:t>
      </w:r>
      <w:r w:rsidRPr="00BF7DB5">
        <w:rPr>
          <w:rFonts w:ascii="Arial" w:hAnsi="Arial" w:cs="Arial"/>
          <w:sz w:val="24"/>
          <w:szCs w:val="24"/>
        </w:rPr>
        <w:t xml:space="preserve"> nuclei stained with DAPI, </w:t>
      </w:r>
      <w:r w:rsidRPr="00BF7DB5">
        <w:rPr>
          <w:rFonts w:ascii="Arial" w:hAnsi="Arial" w:cs="Arial"/>
          <w:b/>
          <w:bCs/>
          <w:sz w:val="24"/>
          <w:szCs w:val="24"/>
        </w:rPr>
        <w:t>(b)</w:t>
      </w:r>
      <w:r w:rsidRPr="00BF7DB5">
        <w:rPr>
          <w:rFonts w:ascii="Arial" w:hAnsi="Arial" w:cs="Arial"/>
          <w:sz w:val="24"/>
          <w:szCs w:val="24"/>
        </w:rPr>
        <w:t xml:space="preserve"> cell proteome stained with NHS-AF55. The number of peaks in the signal intensity was counted for all the line profiles and then divided by the length of the line profile, with the lengths of the line profiles for the expanded cells being scaled down by the expansion factor of 4.1. Bars indicate mean +/- standard deviation (SD). Unpaired one-tailed t-tests demonstrated significant statistical differences in the means of the non-expanded and expanded groups for both stains (****p&lt;0.0001) (</w:t>
      </w:r>
      <w:r w:rsidRPr="00BF7DB5">
        <w:rPr>
          <w:rFonts w:ascii="Arial" w:hAnsi="Arial" w:cs="Arial"/>
          <w:i/>
          <w:iCs/>
          <w:sz w:val="24"/>
          <w:szCs w:val="24"/>
        </w:rPr>
        <w:t>n</w:t>
      </w:r>
      <w:r w:rsidRPr="00BF7DB5">
        <w:rPr>
          <w:rFonts w:ascii="Arial" w:hAnsi="Arial" w:cs="Arial"/>
          <w:sz w:val="24"/>
          <w:szCs w:val="24"/>
        </w:rPr>
        <w:t>=3).</w:t>
      </w:r>
      <w:r w:rsidRPr="00BF7DB5">
        <w:rPr>
          <w:rFonts w:ascii="Arial" w:hAnsi="Arial" w:cs="Arial"/>
          <w:sz w:val="24"/>
          <w:szCs w:val="24"/>
        </w:rPr>
        <w:br w:type="page"/>
      </w:r>
    </w:p>
    <w:p w14:paraId="494D3184" w14:textId="77777777" w:rsidR="004A2E41" w:rsidRPr="00C5729B" w:rsidRDefault="004A2E41" w:rsidP="004A2E41">
      <w:pP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34231EE7" wp14:editId="4265482E">
            <wp:extent cx="5943600" cy="5308600"/>
            <wp:effectExtent l="0" t="0" r="0" b="6350"/>
            <wp:docPr id="25" name="Picture 25" descr="A comparison of different types of 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omparison of different types of light&#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5308600"/>
                    </a:xfrm>
                    <a:prstGeom prst="rect">
                      <a:avLst/>
                    </a:prstGeom>
                    <a:noFill/>
                    <a:ln>
                      <a:noFill/>
                    </a:ln>
                  </pic:spPr>
                </pic:pic>
              </a:graphicData>
            </a:graphic>
          </wp:inline>
        </w:drawing>
      </w:r>
    </w:p>
    <w:p w14:paraId="31716042" w14:textId="289BEE2A" w:rsidR="004A2E41" w:rsidRPr="00BF7DB5" w:rsidRDefault="004A2E41" w:rsidP="004A2E41">
      <w:pPr>
        <w:rPr>
          <w:rFonts w:ascii="Arial" w:hAnsi="Arial" w:cs="Arial"/>
          <w:sz w:val="24"/>
          <w:szCs w:val="24"/>
        </w:rPr>
      </w:pPr>
      <w:bookmarkStart w:id="104" w:name="_Toc129890286"/>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3. UV-</w:t>
      </w:r>
      <w:proofErr w:type="gramStart"/>
      <w:r w:rsidRPr="00BF7DB5">
        <w:rPr>
          <w:rFonts w:ascii="Arial" w:hAnsi="Arial" w:cs="Arial"/>
          <w:sz w:val="24"/>
          <w:szCs w:val="24"/>
        </w:rPr>
        <w:t>Vis</w:t>
      </w:r>
      <w:proofErr w:type="gramEnd"/>
      <w:r w:rsidRPr="00BF7DB5">
        <w:rPr>
          <w:rFonts w:ascii="Arial" w:hAnsi="Arial" w:cs="Arial"/>
          <w:sz w:val="24"/>
          <w:szCs w:val="24"/>
        </w:rPr>
        <w:t xml:space="preserve"> spectrophotometry extinction spectra of nanoparticles.</w:t>
      </w:r>
      <w:bookmarkEnd w:id="104"/>
      <w:r w:rsidRPr="00BF7DB5">
        <w:rPr>
          <w:rFonts w:ascii="Arial" w:hAnsi="Arial" w:cs="Arial"/>
          <w:sz w:val="24"/>
          <w:szCs w:val="24"/>
        </w:rPr>
        <w:t xml:space="preserve"> Extinction spectra of </w:t>
      </w:r>
      <w:r w:rsidRPr="00BF7DB5">
        <w:rPr>
          <w:rFonts w:ascii="Arial" w:hAnsi="Arial" w:cs="Arial"/>
          <w:b/>
          <w:bCs/>
          <w:sz w:val="24"/>
          <w:szCs w:val="24"/>
        </w:rPr>
        <w:t xml:space="preserve">(a) </w:t>
      </w:r>
      <w:r w:rsidRPr="00BF7DB5">
        <w:rPr>
          <w:rFonts w:ascii="Arial" w:hAnsi="Arial" w:cs="Arial"/>
          <w:sz w:val="24"/>
          <w:szCs w:val="24"/>
        </w:rPr>
        <w:t xml:space="preserve">various surface-modified 55-nm AuNPs and </w:t>
      </w:r>
      <w:r w:rsidRPr="00BF7DB5">
        <w:rPr>
          <w:rFonts w:ascii="Arial" w:hAnsi="Arial" w:cs="Arial"/>
          <w:b/>
          <w:bCs/>
          <w:sz w:val="24"/>
          <w:szCs w:val="24"/>
        </w:rPr>
        <w:t>(b)</w:t>
      </w:r>
      <w:r w:rsidRPr="00BF7DB5">
        <w:rPr>
          <w:rFonts w:ascii="Arial" w:hAnsi="Arial" w:cs="Arial"/>
          <w:sz w:val="24"/>
          <w:szCs w:val="24"/>
        </w:rPr>
        <w:t xml:space="preserve"> 40-nm and 60-nm Strep-AgNPs.</w:t>
      </w:r>
    </w:p>
    <w:p w14:paraId="65868C81" w14:textId="77777777" w:rsidR="004A2E41" w:rsidRPr="00C5729B" w:rsidRDefault="004A2E41" w:rsidP="004A2E41">
      <w:pPr>
        <w:rPr>
          <w:rFonts w:ascii="Times New Roman" w:hAnsi="Times New Roman" w:cs="Times New Roman"/>
          <w:sz w:val="24"/>
          <w:szCs w:val="24"/>
        </w:rPr>
      </w:pPr>
      <w:r w:rsidRPr="00C5729B">
        <w:rPr>
          <w:rFonts w:ascii="Times New Roman" w:hAnsi="Times New Roman" w:cs="Times New Roman"/>
          <w:sz w:val="24"/>
          <w:szCs w:val="24"/>
        </w:rPr>
        <w:br w:type="page"/>
      </w:r>
    </w:p>
    <w:p w14:paraId="75C92A78"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428ED265" wp14:editId="7C2A43AE">
            <wp:extent cx="4530636" cy="6934810"/>
            <wp:effectExtent l="0" t="0" r="0" b="0"/>
            <wp:docPr id="21" name="Picture 21" descr="A close-up of several images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several images of different types of cell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41181" cy="6950951"/>
                    </a:xfrm>
                    <a:prstGeom prst="rect">
                      <a:avLst/>
                    </a:prstGeom>
                    <a:noFill/>
                    <a:ln>
                      <a:noFill/>
                    </a:ln>
                  </pic:spPr>
                </pic:pic>
              </a:graphicData>
            </a:graphic>
          </wp:inline>
        </w:drawing>
      </w:r>
    </w:p>
    <w:p w14:paraId="416F363B" w14:textId="5AC0EA19" w:rsidR="004A2E41" w:rsidRPr="00C5729B" w:rsidRDefault="004A2E41" w:rsidP="004A2E41">
      <w:pPr>
        <w:jc w:val="both"/>
        <w:rPr>
          <w:rFonts w:ascii="Times New Roman" w:hAnsi="Times New Roman" w:cs="Times New Roman"/>
          <w:sz w:val="24"/>
          <w:szCs w:val="24"/>
        </w:rPr>
      </w:pPr>
      <w:bookmarkStart w:id="105" w:name="_Toc129890287"/>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4. Transmission electron micrograph of 14-nm and 55-nm citrate coated AuNPs.</w:t>
      </w:r>
      <w:bookmarkEnd w:id="105"/>
      <w:r w:rsidRPr="00BF7DB5">
        <w:rPr>
          <w:rFonts w:ascii="Times New Roman" w:hAnsi="Times New Roman" w:cs="Times New Roman"/>
          <w:sz w:val="28"/>
          <w:szCs w:val="28"/>
        </w:rPr>
        <w:t xml:space="preserve"> </w:t>
      </w:r>
      <w:r w:rsidRPr="00C5729B">
        <w:rPr>
          <w:rFonts w:ascii="Times New Roman" w:hAnsi="Times New Roman" w:cs="Times New Roman"/>
          <w:b/>
          <w:bCs/>
          <w:sz w:val="24"/>
          <w:szCs w:val="24"/>
        </w:rPr>
        <w:t>(a)</w:t>
      </w:r>
      <w:r w:rsidRPr="00C5729B">
        <w:rPr>
          <w:rFonts w:ascii="Times New Roman" w:hAnsi="Times New Roman" w:cs="Times New Roman"/>
          <w:sz w:val="24"/>
          <w:szCs w:val="24"/>
        </w:rPr>
        <w:t xml:space="preserve"> 14-nm citrate-coated AuNPs, negative stained with uranyl acetate. </w:t>
      </w:r>
      <w:r w:rsidRPr="00C5729B">
        <w:rPr>
          <w:rFonts w:ascii="Times New Roman" w:hAnsi="Times New Roman" w:cs="Times New Roman"/>
          <w:b/>
          <w:bCs/>
          <w:sz w:val="24"/>
          <w:szCs w:val="24"/>
        </w:rPr>
        <w:t>(b)</w:t>
      </w:r>
      <w:r w:rsidRPr="00C5729B">
        <w:rPr>
          <w:rFonts w:ascii="Times New Roman" w:hAnsi="Times New Roman" w:cs="Times New Roman"/>
          <w:sz w:val="24"/>
          <w:szCs w:val="24"/>
        </w:rPr>
        <w:t xml:space="preserve"> 55-nm citrate-coated AuNPs, without negative staining. </w:t>
      </w:r>
      <w:r w:rsidRPr="00C5729B">
        <w:rPr>
          <w:rFonts w:ascii="Times New Roman" w:hAnsi="Times New Roman" w:cs="Times New Roman"/>
          <w:b/>
          <w:bCs/>
          <w:sz w:val="24"/>
          <w:szCs w:val="24"/>
        </w:rPr>
        <w:t xml:space="preserve">(c) </w:t>
      </w:r>
      <w:r w:rsidRPr="00C5729B">
        <w:rPr>
          <w:rFonts w:ascii="Times New Roman" w:hAnsi="Times New Roman" w:cs="Times New Roman"/>
          <w:sz w:val="24"/>
          <w:szCs w:val="24"/>
        </w:rPr>
        <w:t xml:space="preserve">PEG-AuNPs, negative stained with uranyl acetate. </w:t>
      </w:r>
      <w:r w:rsidRPr="00C5729B">
        <w:rPr>
          <w:rFonts w:ascii="Times New Roman" w:hAnsi="Times New Roman" w:cs="Times New Roman"/>
          <w:b/>
          <w:bCs/>
          <w:sz w:val="24"/>
          <w:szCs w:val="24"/>
        </w:rPr>
        <w:t xml:space="preserve">(d) </w:t>
      </w:r>
      <w:r w:rsidRPr="00C5729B">
        <w:rPr>
          <w:rFonts w:ascii="Times New Roman" w:hAnsi="Times New Roman" w:cs="Times New Roman"/>
          <w:sz w:val="24"/>
          <w:szCs w:val="24"/>
        </w:rPr>
        <w:t xml:space="preserve">HEP-AuNPs, negative stained with uranyl acetate. </w:t>
      </w:r>
      <w:r w:rsidRPr="00C5729B">
        <w:rPr>
          <w:rFonts w:ascii="Times New Roman" w:hAnsi="Times New Roman" w:cs="Times New Roman"/>
          <w:b/>
          <w:bCs/>
          <w:sz w:val="24"/>
          <w:szCs w:val="24"/>
        </w:rPr>
        <w:t>(e)</w:t>
      </w:r>
      <w:r w:rsidRPr="00C5729B">
        <w:rPr>
          <w:rFonts w:ascii="Times New Roman" w:hAnsi="Times New Roman" w:cs="Times New Roman"/>
          <w:sz w:val="24"/>
          <w:szCs w:val="24"/>
        </w:rPr>
        <w:t xml:space="preserve"> 60-nm Strep-AgNPs, without negative staining. </w:t>
      </w:r>
      <w:r w:rsidRPr="00C5729B">
        <w:rPr>
          <w:rFonts w:ascii="Times New Roman" w:hAnsi="Times New Roman" w:cs="Times New Roman"/>
          <w:b/>
          <w:bCs/>
          <w:sz w:val="24"/>
          <w:szCs w:val="24"/>
        </w:rPr>
        <w:t xml:space="preserve">(f) </w:t>
      </w:r>
      <w:r w:rsidRPr="00C5729B">
        <w:rPr>
          <w:rFonts w:ascii="Times New Roman" w:hAnsi="Times New Roman" w:cs="Times New Roman"/>
          <w:sz w:val="24"/>
          <w:szCs w:val="24"/>
        </w:rPr>
        <w:t>40-nm Strep-AgNPs, without negative staining.</w:t>
      </w:r>
      <w:r w:rsidRPr="00C5729B">
        <w:rPr>
          <w:rFonts w:ascii="Times New Roman" w:hAnsi="Times New Roman" w:cs="Times New Roman"/>
          <w:sz w:val="24"/>
          <w:szCs w:val="24"/>
        </w:rPr>
        <w:br w:type="page"/>
      </w:r>
    </w:p>
    <w:p w14:paraId="628039FE" w14:textId="77777777" w:rsidR="004A2E41" w:rsidRPr="00C5729B" w:rsidRDefault="004A2E41" w:rsidP="004A2E41">
      <w:pPr>
        <w:jc w:val="both"/>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7C7365FD" wp14:editId="721C9DCF">
            <wp:extent cx="5943600" cy="2893060"/>
            <wp:effectExtent l="0" t="0" r="0" b="254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893060"/>
                    </a:xfrm>
                    <a:prstGeom prst="rect">
                      <a:avLst/>
                    </a:prstGeom>
                    <a:noFill/>
                    <a:ln>
                      <a:noFill/>
                    </a:ln>
                  </pic:spPr>
                </pic:pic>
              </a:graphicData>
            </a:graphic>
          </wp:inline>
        </w:drawing>
      </w:r>
    </w:p>
    <w:p w14:paraId="6C3DA6D4" w14:textId="2E59C655" w:rsidR="004A2E41" w:rsidRPr="00BF7DB5" w:rsidRDefault="004A2E41" w:rsidP="004A2E41">
      <w:pPr>
        <w:jc w:val="both"/>
        <w:rPr>
          <w:rFonts w:ascii="Arial" w:hAnsi="Arial" w:cs="Arial"/>
          <w:sz w:val="24"/>
          <w:szCs w:val="24"/>
        </w:rPr>
      </w:pPr>
      <w:bookmarkStart w:id="106" w:name="_Toc129890288"/>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5: AuNP light scattering imaging is compatible with a range of laser wavelengths.</w:t>
      </w:r>
      <w:bookmarkEnd w:id="106"/>
      <w:r w:rsidRPr="00BF7DB5">
        <w:rPr>
          <w:rStyle w:val="Heading2Char"/>
          <w:rFonts w:cs="Arial"/>
          <w:sz w:val="28"/>
          <w:szCs w:val="28"/>
        </w:rPr>
        <w:t xml:space="preserve"> </w:t>
      </w:r>
      <w:r w:rsidRPr="00BF7DB5">
        <w:rPr>
          <w:rFonts w:ascii="Arial" w:hAnsi="Arial" w:cs="Arial"/>
          <w:sz w:val="24"/>
          <w:szCs w:val="24"/>
        </w:rPr>
        <w:t>RAW 264.7 macrophages were incubated with 55-nm AuNPs coated with 5 kDa mPEG-SH for 3 hours before being washed, fixed, and stained with DAPI (blue) and WGA CF488A (green). AuNPs were visualized with light scattering imaging using a 488-nm argon laser (yellow), a 561-nm diode-pumped solid-state laser (red), a 594-nm helium-neon laser (orange), and a 633-nm helium-neon laser (purple). Grayscale images of the light scattering channels alone are also shown. The scale bars indicate 15 µ</w:t>
      </w:r>
      <w:proofErr w:type="spellStart"/>
      <w:r w:rsidRPr="00BF7DB5">
        <w:rPr>
          <w:rFonts w:ascii="Arial" w:hAnsi="Arial" w:cs="Arial"/>
          <w:sz w:val="24"/>
          <w:szCs w:val="24"/>
        </w:rPr>
        <w:t>m.</w:t>
      </w:r>
      <w:proofErr w:type="spellEnd"/>
      <w:r w:rsidRPr="00BF7DB5">
        <w:rPr>
          <w:rFonts w:ascii="Arial" w:hAnsi="Arial" w:cs="Arial"/>
          <w:sz w:val="24"/>
          <w:szCs w:val="24"/>
        </w:rPr>
        <w:br w:type="page"/>
      </w:r>
    </w:p>
    <w:p w14:paraId="1435FFE4"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4EDEF4A0" wp14:editId="5A5B83A7">
            <wp:extent cx="5943600" cy="6667500"/>
            <wp:effectExtent l="0" t="0" r="0" b="0"/>
            <wp:docPr id="16" name="Picture 16"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ollage of images of a cell&#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6667500"/>
                    </a:xfrm>
                    <a:prstGeom prst="rect">
                      <a:avLst/>
                    </a:prstGeom>
                    <a:noFill/>
                    <a:ln>
                      <a:noFill/>
                    </a:ln>
                  </pic:spPr>
                </pic:pic>
              </a:graphicData>
            </a:graphic>
          </wp:inline>
        </w:drawing>
      </w:r>
    </w:p>
    <w:p w14:paraId="76A67E74" w14:textId="240C47E8" w:rsidR="004A2E41" w:rsidRPr="00BF7DB5" w:rsidRDefault="004A2E41" w:rsidP="004A2E41">
      <w:pPr>
        <w:jc w:val="both"/>
        <w:rPr>
          <w:rFonts w:ascii="Arial" w:hAnsi="Arial" w:cs="Arial"/>
          <w:sz w:val="24"/>
          <w:szCs w:val="24"/>
        </w:rPr>
      </w:pPr>
      <w:bookmarkStart w:id="107" w:name="_Toc129890289"/>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6: Validating the AuNP light scattering signal by gold etching.</w:t>
      </w:r>
      <w:bookmarkEnd w:id="107"/>
      <w:r w:rsidRPr="00BF7DB5">
        <w:rPr>
          <w:rFonts w:ascii="Arial" w:hAnsi="Arial" w:cs="Arial"/>
          <w:b/>
          <w:bCs/>
          <w:sz w:val="28"/>
          <w:szCs w:val="28"/>
        </w:rPr>
        <w:t xml:space="preserve"> </w:t>
      </w:r>
      <w:r w:rsidRPr="00BF7DB5">
        <w:rPr>
          <w:rFonts w:ascii="Arial" w:hAnsi="Arial" w:cs="Arial"/>
          <w:sz w:val="24"/>
          <w:szCs w:val="24"/>
        </w:rPr>
        <w:t>The</w:t>
      </w:r>
      <w:r w:rsidRPr="00BF7DB5">
        <w:rPr>
          <w:rFonts w:ascii="Arial" w:hAnsi="Arial" w:cs="Arial"/>
          <w:b/>
          <w:bCs/>
          <w:sz w:val="24"/>
          <w:szCs w:val="24"/>
        </w:rPr>
        <w:t xml:space="preserve"> </w:t>
      </w:r>
      <w:r w:rsidRPr="00BF7DB5">
        <w:rPr>
          <w:rFonts w:ascii="Arial" w:hAnsi="Arial" w:cs="Arial"/>
          <w:sz w:val="24"/>
          <w:szCs w:val="24"/>
        </w:rPr>
        <w:t xml:space="preserve">4T1 cells were incubated with 55-nm PEG AuNPs for 24 hours before being washed and fixed. </w:t>
      </w:r>
      <w:r w:rsidRPr="00BF7DB5">
        <w:rPr>
          <w:rFonts w:ascii="Arial" w:hAnsi="Arial" w:cs="Arial"/>
          <w:b/>
          <w:bCs/>
          <w:sz w:val="24"/>
          <w:szCs w:val="24"/>
        </w:rPr>
        <w:t>(a)</w:t>
      </w:r>
      <w:r w:rsidRPr="00BF7DB5">
        <w:rPr>
          <w:rFonts w:ascii="Arial" w:hAnsi="Arial" w:cs="Arial"/>
          <w:sz w:val="24"/>
          <w:szCs w:val="24"/>
        </w:rPr>
        <w:t xml:space="preserve"> Transmitted light image of 4T1 cells with light scattering (red) followed by a digital magnification of a single cell, with the nanoparticle light scattering signal shown alone in grayscale. </w:t>
      </w:r>
      <w:r w:rsidRPr="00BF7DB5">
        <w:rPr>
          <w:rFonts w:ascii="Arial" w:hAnsi="Arial" w:cs="Arial"/>
          <w:b/>
          <w:bCs/>
          <w:sz w:val="24"/>
          <w:szCs w:val="24"/>
        </w:rPr>
        <w:t>(b)</w:t>
      </w:r>
      <w:r w:rsidRPr="00BF7DB5">
        <w:rPr>
          <w:rFonts w:ascii="Arial" w:hAnsi="Arial" w:cs="Arial"/>
          <w:sz w:val="24"/>
          <w:szCs w:val="24"/>
        </w:rPr>
        <w:t xml:space="preserve"> The cells were treated with a gold etching solution consisting of KI/I</w:t>
      </w:r>
      <w:r w:rsidRPr="00BF7DB5">
        <w:rPr>
          <w:rFonts w:ascii="Arial" w:hAnsi="Arial" w:cs="Arial"/>
          <w:sz w:val="24"/>
          <w:szCs w:val="24"/>
          <w:vertAlign w:val="subscript"/>
        </w:rPr>
        <w:t>2</w:t>
      </w:r>
      <w:r w:rsidRPr="00BF7DB5">
        <w:rPr>
          <w:rFonts w:ascii="Arial" w:hAnsi="Arial" w:cs="Arial"/>
          <w:sz w:val="24"/>
          <w:szCs w:val="24"/>
        </w:rPr>
        <w:t xml:space="preserve">, and following three washes with 1X PBS, the same cells from (a) were reimaged, with the light scattering signal no longer being clearly visible. The scale bars indicate 20 µm for the </w:t>
      </w:r>
      <w:r w:rsidRPr="00BF7DB5">
        <w:rPr>
          <w:rFonts w:ascii="Arial" w:hAnsi="Arial" w:cs="Arial"/>
          <w:sz w:val="24"/>
          <w:szCs w:val="24"/>
        </w:rPr>
        <w:lastRenderedPageBreak/>
        <w:t xml:space="preserve">unmagnified images, and 10 µm for the magnified image </w:t>
      </w:r>
      <w:r w:rsidRPr="00BF7DB5">
        <w:rPr>
          <w:rFonts w:ascii="Arial" w:hAnsi="Arial" w:cs="Arial"/>
          <w:b/>
          <w:bCs/>
          <w:sz w:val="24"/>
          <w:szCs w:val="24"/>
        </w:rPr>
        <w:t>(c</w:t>
      </w:r>
      <w:bookmarkStart w:id="108" w:name="_Hlk116828489"/>
      <w:r w:rsidRPr="00BF7DB5">
        <w:rPr>
          <w:rFonts w:ascii="Arial" w:hAnsi="Arial" w:cs="Arial"/>
          <w:b/>
          <w:bCs/>
          <w:sz w:val="24"/>
          <w:szCs w:val="24"/>
        </w:rPr>
        <w:t xml:space="preserve">) </w:t>
      </w:r>
      <w:r w:rsidRPr="00BF7DB5">
        <w:rPr>
          <w:rFonts w:ascii="Arial" w:hAnsi="Arial" w:cs="Arial"/>
          <w:sz w:val="24"/>
          <w:szCs w:val="24"/>
        </w:rPr>
        <w:t xml:space="preserve">Quantitative analysis of the light scattering signal from the PEG-AuNPs, measured by the integrated density of the light scattering signal in regions of interest drawn around the membrane of the cells on ImageJ. Bars indicate </w:t>
      </w:r>
      <w:proofErr w:type="gramStart"/>
      <w:r w:rsidRPr="00BF7DB5">
        <w:rPr>
          <w:rFonts w:ascii="Arial" w:hAnsi="Arial" w:cs="Arial"/>
          <w:sz w:val="24"/>
          <w:szCs w:val="24"/>
        </w:rPr>
        <w:t>mean</w:t>
      </w:r>
      <w:proofErr w:type="gramEnd"/>
      <w:r w:rsidRPr="00BF7DB5">
        <w:rPr>
          <w:rFonts w:ascii="Arial" w:hAnsi="Arial" w:cs="Arial"/>
          <w:sz w:val="24"/>
          <w:szCs w:val="24"/>
        </w:rPr>
        <w:t xml:space="preserve"> +/- SD. An unpaired one-tailed t-test demonstrated a significant statistical difference in the means of the two groups (*p&lt;0.05) (</w:t>
      </w:r>
      <w:r w:rsidRPr="00BF7DB5">
        <w:rPr>
          <w:rFonts w:ascii="Arial" w:hAnsi="Arial" w:cs="Arial"/>
          <w:i/>
          <w:iCs/>
          <w:sz w:val="24"/>
          <w:szCs w:val="24"/>
        </w:rPr>
        <w:t>n</w:t>
      </w:r>
      <w:r w:rsidRPr="00BF7DB5">
        <w:rPr>
          <w:rFonts w:ascii="Arial" w:hAnsi="Arial" w:cs="Arial"/>
          <w:sz w:val="24"/>
          <w:szCs w:val="24"/>
        </w:rPr>
        <w:t>=3).</w:t>
      </w:r>
      <w:r w:rsidRPr="00BF7DB5">
        <w:rPr>
          <w:rFonts w:ascii="Arial" w:hAnsi="Arial" w:cs="Arial"/>
          <w:sz w:val="24"/>
          <w:szCs w:val="24"/>
        </w:rPr>
        <w:br w:type="page"/>
      </w:r>
    </w:p>
    <w:bookmarkEnd w:id="108"/>
    <w:p w14:paraId="6C4E23EB" w14:textId="77777777" w:rsidR="004A2E41" w:rsidRPr="00C5729B" w:rsidRDefault="004A2E41" w:rsidP="004A2E41">
      <w:pP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03D67C3B" wp14:editId="56689FC0">
            <wp:extent cx="4821244" cy="7470475"/>
            <wp:effectExtent l="0" t="0" r="0" b="0"/>
            <wp:docPr id="13" name="Picture 1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graph&#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34628" cy="7491213"/>
                    </a:xfrm>
                    <a:prstGeom prst="rect">
                      <a:avLst/>
                    </a:prstGeom>
                    <a:noFill/>
                    <a:ln>
                      <a:noFill/>
                    </a:ln>
                  </pic:spPr>
                </pic:pic>
              </a:graphicData>
            </a:graphic>
          </wp:inline>
        </w:drawing>
      </w:r>
    </w:p>
    <w:p w14:paraId="0CC4F146" w14:textId="62904B10" w:rsidR="004A2E41" w:rsidRPr="00BF7DB5" w:rsidRDefault="004A2E41" w:rsidP="004A2E41">
      <w:pPr>
        <w:jc w:val="both"/>
        <w:rPr>
          <w:rFonts w:ascii="Arial" w:hAnsi="Arial" w:cs="Arial"/>
          <w:sz w:val="24"/>
          <w:szCs w:val="24"/>
        </w:rPr>
      </w:pPr>
      <w:bookmarkStart w:id="109" w:name="_Toc129890290"/>
      <w:bookmarkStart w:id="110" w:name="_Hlk129784722"/>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7: Validating the conjugation of Cy5-PEG to 55-nm AuNPs.</w:t>
      </w:r>
      <w:bookmarkEnd w:id="109"/>
      <w:r w:rsidRPr="00BF7DB5">
        <w:rPr>
          <w:rFonts w:ascii="Arial" w:hAnsi="Arial" w:cs="Arial"/>
          <w:sz w:val="24"/>
          <w:szCs w:val="24"/>
        </w:rPr>
        <w:t xml:space="preserve"> (a) Top: a visible light image of agarose gel. Bottom: Cy5 image of the same gel, split to image at different exposure times to account for differences in signal intensity between samples. The </w:t>
      </w:r>
      <w:r w:rsidRPr="00BF7DB5">
        <w:rPr>
          <w:rFonts w:ascii="Arial" w:hAnsi="Arial" w:cs="Arial"/>
          <w:sz w:val="24"/>
          <w:szCs w:val="24"/>
        </w:rPr>
        <w:lastRenderedPageBreak/>
        <w:t xml:space="preserve">citrate-coated AuNPs (1) migrated towards the cathode, while the PEG-AuNPs (2) and Cy5-PEG-AuNPs (3) migrated about the same distance towards the anode, demonstrating a successful conjugation of the PEG to the AuNPs. The Cy5 image demonstrates a fluorescent signal coming from the position where the Cy5-PEG-AuNPs are, as well as the free Cy5-PEG (4), but not where the PEG-AuNPs or citrate-coated AuNPs are, confirming a successful conjugation and functionality of Cy5-PEG-AuNPs. </w:t>
      </w:r>
      <w:r w:rsidRPr="00BF7DB5">
        <w:rPr>
          <w:rFonts w:ascii="Arial" w:hAnsi="Arial" w:cs="Arial"/>
          <w:b/>
          <w:bCs/>
          <w:sz w:val="24"/>
          <w:szCs w:val="24"/>
        </w:rPr>
        <w:t>(b)</w:t>
      </w:r>
      <w:r w:rsidRPr="00BF7DB5">
        <w:rPr>
          <w:rFonts w:ascii="Arial" w:hAnsi="Arial" w:cs="Arial"/>
          <w:sz w:val="24"/>
          <w:szCs w:val="24"/>
        </w:rPr>
        <w:t xml:space="preserve"> The fluorescence emission spectra of Cy5-AuNPs and PEG-AuNPs (top) compared to the fluorescence emission spectra of free Cy5-PEG (bottom). </w:t>
      </w:r>
      <w:bookmarkEnd w:id="110"/>
      <w:r w:rsidRPr="00BF7DB5">
        <w:rPr>
          <w:rFonts w:ascii="Arial" w:hAnsi="Arial" w:cs="Arial"/>
          <w:sz w:val="24"/>
          <w:szCs w:val="24"/>
        </w:rPr>
        <w:br w:type="page"/>
      </w:r>
    </w:p>
    <w:p w14:paraId="7A68CA7D"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06C56B0F" wp14:editId="5EA8DDE9">
            <wp:extent cx="4152394" cy="6901132"/>
            <wp:effectExtent l="0" t="0" r="0" b="0"/>
            <wp:docPr id="340784076" name="Picture 340784076" descr="A collage of images of a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84076" name="Picture 340784076" descr="A collage of images of a plane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54927" cy="6905342"/>
                    </a:xfrm>
                    <a:prstGeom prst="rect">
                      <a:avLst/>
                    </a:prstGeom>
                    <a:noFill/>
                    <a:ln>
                      <a:noFill/>
                    </a:ln>
                  </pic:spPr>
                </pic:pic>
              </a:graphicData>
            </a:graphic>
          </wp:inline>
        </w:drawing>
      </w:r>
    </w:p>
    <w:p w14:paraId="212D293B" w14:textId="15E6D97C" w:rsidR="004A2E41" w:rsidRPr="00BF7DB5" w:rsidRDefault="004A2E41" w:rsidP="00BF7DB5">
      <w:pPr>
        <w:jc w:val="both"/>
        <w:rPr>
          <w:rFonts w:ascii="Arial" w:hAnsi="Arial" w:cs="Arial"/>
          <w:sz w:val="24"/>
          <w:szCs w:val="24"/>
        </w:rPr>
      </w:pPr>
      <w:bookmarkStart w:id="111" w:name="_Toc129890291"/>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8: Nanoparticle light scattering imaging of AuNPs is impervious to photobleaching.</w:t>
      </w:r>
      <w:bookmarkEnd w:id="111"/>
      <w:r w:rsidRPr="00BF7DB5">
        <w:rPr>
          <w:rFonts w:ascii="Arial" w:hAnsi="Arial" w:cs="Arial"/>
          <w:sz w:val="24"/>
          <w:szCs w:val="24"/>
        </w:rPr>
        <w:t xml:space="preserve"> 4T1 cells were incubated with 55-nm Cy5-PEG-coated AuNPs for 24 hours before being washed, fixed, and stained with DAPI (blue) and WGA-CF488A (green). </w:t>
      </w:r>
      <w:r w:rsidRPr="00BF7DB5">
        <w:rPr>
          <w:rFonts w:ascii="Arial" w:hAnsi="Arial" w:cs="Arial"/>
          <w:b/>
          <w:bCs/>
          <w:sz w:val="24"/>
          <w:szCs w:val="24"/>
        </w:rPr>
        <w:t xml:space="preserve">(a) </w:t>
      </w:r>
      <w:r w:rsidRPr="00BF7DB5">
        <w:rPr>
          <w:rFonts w:ascii="Arial" w:hAnsi="Arial" w:cs="Arial"/>
          <w:sz w:val="24"/>
          <w:szCs w:val="24"/>
        </w:rPr>
        <w:t xml:space="preserve">A time series of a single, non-expanded 4T1 cell being imaged 30 times, at a rate of 1 image/min. The AuNPs were imaged both with confocal light scattering (red) as well as with excitation of the Cy5 tag (yellow). The individual light scattering and Cy5 </w:t>
      </w:r>
      <w:r w:rsidRPr="00BF7DB5">
        <w:rPr>
          <w:rFonts w:ascii="Arial" w:hAnsi="Arial" w:cs="Arial"/>
          <w:sz w:val="24"/>
          <w:szCs w:val="24"/>
        </w:rPr>
        <w:lastRenderedPageBreak/>
        <w:t xml:space="preserve">channels are shown in grayscale below the complete overlays with the DAPI and WGA-CF488A channels. </w:t>
      </w:r>
      <w:r w:rsidRPr="00BF7DB5">
        <w:rPr>
          <w:rFonts w:ascii="Arial" w:hAnsi="Arial" w:cs="Arial"/>
          <w:b/>
          <w:bCs/>
          <w:sz w:val="24"/>
          <w:szCs w:val="24"/>
        </w:rPr>
        <w:t>(b)</w:t>
      </w:r>
      <w:r w:rsidRPr="00BF7DB5">
        <w:rPr>
          <w:rFonts w:ascii="Arial" w:hAnsi="Arial" w:cs="Arial"/>
          <w:sz w:val="24"/>
          <w:szCs w:val="24"/>
        </w:rPr>
        <w:t xml:space="preserve"> The signal intensities of the light scattering and Cy5 channels of cells were quantified by drawing regions of interest around the membranes of the cells and measuring the integrated densities of the two channels on ImageJ over the course of the timeseries and were then normalized relative to the original intensities from the first time point (</w:t>
      </w:r>
      <w:r w:rsidRPr="00BF7DB5">
        <w:rPr>
          <w:rFonts w:ascii="Arial" w:hAnsi="Arial" w:cs="Arial"/>
          <w:i/>
          <w:iCs/>
          <w:sz w:val="24"/>
          <w:szCs w:val="24"/>
        </w:rPr>
        <w:t>n</w:t>
      </w:r>
      <w:r w:rsidRPr="00BF7DB5">
        <w:rPr>
          <w:rFonts w:ascii="Arial" w:hAnsi="Arial" w:cs="Arial"/>
          <w:sz w:val="24"/>
          <w:szCs w:val="24"/>
        </w:rPr>
        <w:t>=3 cells). The scale bars indicate 10 µ</w:t>
      </w:r>
      <w:proofErr w:type="spellStart"/>
      <w:r w:rsidRPr="00BF7DB5">
        <w:rPr>
          <w:rFonts w:ascii="Arial" w:hAnsi="Arial" w:cs="Arial"/>
          <w:sz w:val="24"/>
          <w:szCs w:val="24"/>
        </w:rPr>
        <w:t>m.</w:t>
      </w:r>
      <w:proofErr w:type="spellEnd"/>
      <w:r w:rsidRPr="00BF7DB5">
        <w:rPr>
          <w:rFonts w:ascii="Arial" w:hAnsi="Arial" w:cs="Arial"/>
          <w:sz w:val="24"/>
          <w:szCs w:val="24"/>
        </w:rPr>
        <w:br w:type="page"/>
      </w:r>
    </w:p>
    <w:p w14:paraId="5C936DCF"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0F562E15" wp14:editId="78328775">
            <wp:extent cx="5881370" cy="6503035"/>
            <wp:effectExtent l="0" t="0" r="0" b="0"/>
            <wp:docPr id="22" name="Picture 22" descr="A close-up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a test tub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81370" cy="6503035"/>
                    </a:xfrm>
                    <a:prstGeom prst="rect">
                      <a:avLst/>
                    </a:prstGeom>
                    <a:noFill/>
                    <a:ln>
                      <a:noFill/>
                    </a:ln>
                  </pic:spPr>
                </pic:pic>
              </a:graphicData>
            </a:graphic>
          </wp:inline>
        </w:drawing>
      </w:r>
    </w:p>
    <w:p w14:paraId="1EE892F1" w14:textId="23C876A7" w:rsidR="004A2E41" w:rsidRPr="00BF7DB5" w:rsidRDefault="004A2E41" w:rsidP="004A2E41">
      <w:pPr>
        <w:jc w:val="both"/>
        <w:rPr>
          <w:rFonts w:ascii="Arial" w:hAnsi="Arial" w:cs="Arial"/>
          <w:sz w:val="24"/>
          <w:szCs w:val="24"/>
        </w:rPr>
      </w:pPr>
      <w:bookmarkStart w:id="112" w:name="_Toc129890292"/>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9: Protein coronas form around PEG-AuNPs after incubation with fetal bovine serum.</w:t>
      </w:r>
      <w:bookmarkEnd w:id="112"/>
      <w:r w:rsidRPr="00BF7DB5">
        <w:rPr>
          <w:rFonts w:ascii="Arial" w:hAnsi="Arial" w:cs="Arial"/>
          <w:sz w:val="24"/>
          <w:szCs w:val="24"/>
        </w:rPr>
        <w:t xml:space="preserve"> Citrate coated- and PEG-AuNPs were incubated with fetal bovine serum (FBS), nanopure H</w:t>
      </w:r>
      <w:r w:rsidRPr="00BF7DB5">
        <w:rPr>
          <w:rFonts w:ascii="Arial" w:hAnsi="Arial" w:cs="Arial"/>
          <w:sz w:val="24"/>
          <w:szCs w:val="24"/>
          <w:vertAlign w:val="subscript"/>
        </w:rPr>
        <w:t>2</w:t>
      </w:r>
      <w:r w:rsidRPr="00BF7DB5">
        <w:rPr>
          <w:rFonts w:ascii="Arial" w:hAnsi="Arial" w:cs="Arial"/>
          <w:sz w:val="24"/>
          <w:szCs w:val="24"/>
        </w:rPr>
        <w:t xml:space="preserve">O (Citrate AuNP, </w:t>
      </w:r>
      <w:proofErr w:type="gramStart"/>
      <w:r w:rsidRPr="00BF7DB5">
        <w:rPr>
          <w:rFonts w:ascii="Arial" w:hAnsi="Arial" w:cs="Arial"/>
          <w:sz w:val="24"/>
          <w:szCs w:val="24"/>
        </w:rPr>
        <w:t>FBS(</w:t>
      </w:r>
      <w:proofErr w:type="gramEnd"/>
      <w:r w:rsidRPr="00BF7DB5">
        <w:rPr>
          <w:rFonts w:ascii="Arial" w:hAnsi="Arial" w:cs="Arial"/>
          <w:sz w:val="24"/>
          <w:szCs w:val="24"/>
        </w:rPr>
        <w:t xml:space="preserve">-)), or 1X </w:t>
      </w:r>
      <w:proofErr w:type="gramStart"/>
      <w:r w:rsidRPr="00BF7DB5">
        <w:rPr>
          <w:rFonts w:ascii="Arial" w:hAnsi="Arial" w:cs="Arial"/>
          <w:sz w:val="24"/>
          <w:szCs w:val="24"/>
        </w:rPr>
        <w:t>PBS ((</w:t>
      </w:r>
      <w:proofErr w:type="gramEnd"/>
      <w:r w:rsidRPr="00BF7DB5">
        <w:rPr>
          <w:rFonts w:ascii="Arial" w:hAnsi="Arial" w:cs="Arial"/>
          <w:sz w:val="24"/>
          <w:szCs w:val="24"/>
        </w:rPr>
        <w:t>PEG AuNP, FBS(-)) for 16 hours.</w:t>
      </w:r>
      <w:r w:rsidRPr="00BF7DB5">
        <w:rPr>
          <w:rFonts w:ascii="Arial" w:hAnsi="Arial" w:cs="Arial"/>
          <w:b/>
          <w:bCs/>
          <w:sz w:val="24"/>
          <w:szCs w:val="24"/>
        </w:rPr>
        <w:t xml:space="preserve"> </w:t>
      </w:r>
      <w:r w:rsidRPr="00BF7DB5">
        <w:rPr>
          <w:rFonts w:ascii="Arial" w:hAnsi="Arial" w:cs="Arial"/>
          <w:sz w:val="24"/>
          <w:szCs w:val="24"/>
        </w:rPr>
        <w:t>A sodium dodecyl sulfate-polyacrylamide gel electrophoresis (SDS-PAGE) demonstrates that PEGylation does not eliminate the proteins that spontaneously adsorb on AuNPs, as seen by the visible protein bands on the samples that were incubated with FBS, with no visible protein bands being visible on the samples that were not incubated with FBS.</w:t>
      </w:r>
      <w:r w:rsidRPr="00BF7DB5">
        <w:rPr>
          <w:rFonts w:ascii="Arial" w:hAnsi="Arial" w:cs="Arial"/>
          <w:sz w:val="24"/>
          <w:szCs w:val="24"/>
        </w:rPr>
        <w:br w:type="page"/>
      </w:r>
    </w:p>
    <w:p w14:paraId="5B59DAE0" w14:textId="77777777" w:rsidR="004A2E41" w:rsidRPr="00C5729B" w:rsidRDefault="004A2E41" w:rsidP="004A2E41">
      <w:pPr>
        <w:jc w:val="both"/>
        <w:rPr>
          <w:rStyle w:val="Heading2Char"/>
          <w:rFonts w:ascii="Times New Roman" w:hAnsi="Times New Roman" w:cs="Times New Roman"/>
          <w:szCs w:val="24"/>
        </w:rPr>
      </w:pPr>
      <w:r w:rsidRPr="00C5729B">
        <w:rPr>
          <w:rStyle w:val="Heading2Char"/>
          <w:rFonts w:ascii="Times New Roman" w:hAnsi="Times New Roman" w:cs="Times New Roman"/>
          <w:noProof/>
          <w:szCs w:val="24"/>
        </w:rPr>
        <w:lastRenderedPageBreak/>
        <w:drawing>
          <wp:anchor distT="0" distB="0" distL="114300" distR="114300" simplePos="0" relativeHeight="251658241" behindDoc="0" locked="0" layoutInCell="1" allowOverlap="1" wp14:anchorId="45839DAC" wp14:editId="6544A739">
            <wp:simplePos x="0" y="0"/>
            <wp:positionH relativeFrom="column">
              <wp:posOffset>0</wp:posOffset>
            </wp:positionH>
            <wp:positionV relativeFrom="paragraph">
              <wp:posOffset>-2540</wp:posOffset>
            </wp:positionV>
            <wp:extent cx="5943600" cy="5555615"/>
            <wp:effectExtent l="0" t="0" r="0" b="0"/>
            <wp:wrapThrough wrapText="bothSides">
              <wp:wrapPolygon edited="0">
                <wp:start x="0" y="0"/>
                <wp:lineTo x="0" y="21553"/>
                <wp:lineTo x="21531" y="21553"/>
                <wp:lineTo x="21531" y="0"/>
                <wp:lineTo x="0" y="0"/>
              </wp:wrapPolygon>
            </wp:wrapThrough>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5555615"/>
                    </a:xfrm>
                    <a:prstGeom prst="rect">
                      <a:avLst/>
                    </a:prstGeom>
                    <a:noFill/>
                    <a:ln>
                      <a:noFill/>
                    </a:ln>
                  </pic:spPr>
                </pic:pic>
              </a:graphicData>
            </a:graphic>
          </wp:anchor>
        </w:drawing>
      </w:r>
    </w:p>
    <w:p w14:paraId="212EAD7A" w14:textId="359A55F2" w:rsidR="004A2E41" w:rsidRPr="00BF7DB5" w:rsidRDefault="004A2E41" w:rsidP="004A2E41">
      <w:pPr>
        <w:jc w:val="both"/>
        <w:rPr>
          <w:rFonts w:ascii="Arial" w:hAnsi="Arial" w:cs="Arial"/>
          <w:sz w:val="24"/>
          <w:szCs w:val="24"/>
        </w:rPr>
      </w:pPr>
      <w:bookmarkStart w:id="113" w:name="_Toc129890293"/>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10: Expansion microscopy allows for the super-resolution visualization of endocytic tracers.</w:t>
      </w:r>
      <w:bookmarkEnd w:id="113"/>
      <w:r w:rsidRPr="00BF7DB5">
        <w:rPr>
          <w:rFonts w:ascii="Arial" w:hAnsi="Arial" w:cs="Arial"/>
          <w:b/>
          <w:bCs/>
          <w:sz w:val="24"/>
          <w:szCs w:val="24"/>
        </w:rPr>
        <w:t xml:space="preserve"> </w:t>
      </w:r>
      <w:r w:rsidRPr="00BF7DB5">
        <w:rPr>
          <w:rFonts w:ascii="Arial" w:hAnsi="Arial" w:cs="Arial"/>
          <w:sz w:val="24"/>
          <w:szCs w:val="24"/>
        </w:rPr>
        <w:t>4T1 cells were incubated with 25 µg/mL TRITC-transferrin with or without PEG-AuNPs for 24 hours before being washed and subjected to the expansion microscopy protocol. The overlay of all four channels – DAPI (blue), WGA-CF488a (green), light scattering (red), and TRITC (purple) is shown first, followed by magnifications of the regions of interest, indicated by the orange boxes. (</w:t>
      </w:r>
      <w:proofErr w:type="spellStart"/>
      <w:r w:rsidRPr="00BF7DB5">
        <w:rPr>
          <w:rFonts w:ascii="Arial" w:hAnsi="Arial" w:cs="Arial"/>
          <w:sz w:val="24"/>
          <w:szCs w:val="24"/>
        </w:rPr>
        <w:t>i</w:t>
      </w:r>
      <w:proofErr w:type="spellEnd"/>
      <w:r w:rsidRPr="00BF7DB5">
        <w:rPr>
          <w:rFonts w:ascii="Arial" w:hAnsi="Arial" w:cs="Arial"/>
          <w:sz w:val="24"/>
          <w:szCs w:val="24"/>
        </w:rPr>
        <w:t>) depicts the direct magnifications of the regions of interest, with (ii) showing only the magnification of the light scattering channel of those regions in grayscale and (iii) showing only the magnification of the TRITC channel of those regions in grayscale. The scale bars indicate 50 µm in the unmagnified images and 15 µm in the magnified images. Scale bars for images of expanded cells are the original length as taken by the microscope (</w:t>
      </w:r>
      <w:proofErr w:type="gramStart"/>
      <w:r w:rsidRPr="00BF7DB5">
        <w:rPr>
          <w:rFonts w:ascii="Arial" w:hAnsi="Arial" w:cs="Arial"/>
          <w:sz w:val="24"/>
          <w:szCs w:val="24"/>
        </w:rPr>
        <w:t>i.e.</w:t>
      </w:r>
      <w:proofErr w:type="gramEnd"/>
      <w:r w:rsidRPr="00BF7DB5">
        <w:rPr>
          <w:rFonts w:ascii="Arial" w:hAnsi="Arial" w:cs="Arial"/>
          <w:sz w:val="24"/>
          <w:szCs w:val="24"/>
        </w:rPr>
        <w:t xml:space="preserve"> not corrected for expansion factors).</w:t>
      </w:r>
      <w:r w:rsidRPr="00BF7DB5">
        <w:rPr>
          <w:rFonts w:ascii="Arial" w:hAnsi="Arial" w:cs="Arial"/>
          <w:sz w:val="24"/>
          <w:szCs w:val="24"/>
        </w:rPr>
        <w:br w:type="page"/>
      </w:r>
    </w:p>
    <w:p w14:paraId="16C1DC97"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15D02A73" wp14:editId="6DF9311A">
            <wp:extent cx="4645152" cy="6224325"/>
            <wp:effectExtent l="0" t="0" r="3175" b="5080"/>
            <wp:docPr id="23" name="Picture 23"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ollage of images of a cell&#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45152" cy="6224325"/>
                    </a:xfrm>
                    <a:prstGeom prst="rect">
                      <a:avLst/>
                    </a:prstGeom>
                    <a:noFill/>
                    <a:ln>
                      <a:noFill/>
                    </a:ln>
                  </pic:spPr>
                </pic:pic>
              </a:graphicData>
            </a:graphic>
          </wp:inline>
        </w:drawing>
      </w:r>
    </w:p>
    <w:p w14:paraId="26385A55" w14:textId="38CF9D31" w:rsidR="004A2E41" w:rsidRPr="00BF7DB5" w:rsidRDefault="004A2E41" w:rsidP="004A2E41">
      <w:pPr>
        <w:jc w:val="both"/>
        <w:rPr>
          <w:rFonts w:ascii="Arial" w:hAnsi="Arial" w:cs="Arial"/>
          <w:sz w:val="24"/>
          <w:szCs w:val="24"/>
        </w:rPr>
      </w:pPr>
      <w:bookmarkStart w:id="114" w:name="_Toc129890294"/>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11: Expansion microscopy of DC 2.4 cells is compatible with nanoparticle light scattering imaging of HEP-AuNPs.</w:t>
      </w:r>
      <w:bookmarkEnd w:id="114"/>
      <w:r w:rsidRPr="00BF7DB5">
        <w:rPr>
          <w:rFonts w:ascii="Arial" w:hAnsi="Arial" w:cs="Arial"/>
          <w:b/>
          <w:bCs/>
          <w:sz w:val="24"/>
          <w:szCs w:val="24"/>
        </w:rPr>
        <w:t xml:space="preserve"> </w:t>
      </w:r>
      <w:r w:rsidRPr="00BF7DB5">
        <w:rPr>
          <w:rFonts w:ascii="Arial" w:hAnsi="Arial" w:cs="Arial"/>
          <w:sz w:val="24"/>
          <w:szCs w:val="24"/>
        </w:rPr>
        <w:t xml:space="preserve">DC 2.4 cells were incubated with or without HEP-AuNPs for 3 hours before being washed, fixed, and stained with NHS-AF555 (grey) and imaged with light scattering (red). </w:t>
      </w:r>
      <w:r w:rsidRPr="00BF7DB5">
        <w:rPr>
          <w:rFonts w:ascii="Arial" w:hAnsi="Arial" w:cs="Arial"/>
          <w:b/>
          <w:bCs/>
          <w:sz w:val="24"/>
          <w:szCs w:val="24"/>
        </w:rPr>
        <w:t xml:space="preserve">(a) </w:t>
      </w:r>
      <w:r w:rsidRPr="00BF7DB5">
        <w:rPr>
          <w:rFonts w:ascii="Arial" w:hAnsi="Arial" w:cs="Arial"/>
          <w:sz w:val="24"/>
          <w:szCs w:val="24"/>
        </w:rPr>
        <w:t xml:space="preserve">Non-expanded cells with or without HEP-AuNPs. </w:t>
      </w:r>
      <w:r w:rsidRPr="00BF7DB5">
        <w:rPr>
          <w:rFonts w:ascii="Arial" w:hAnsi="Arial" w:cs="Arial"/>
          <w:b/>
          <w:bCs/>
          <w:sz w:val="24"/>
          <w:szCs w:val="24"/>
        </w:rPr>
        <w:t xml:space="preserve">(b) </w:t>
      </w:r>
      <w:r w:rsidRPr="00BF7DB5">
        <w:rPr>
          <w:rFonts w:ascii="Arial" w:hAnsi="Arial" w:cs="Arial"/>
          <w:sz w:val="24"/>
          <w:szCs w:val="24"/>
        </w:rPr>
        <w:t>expanded cell with or without HEP-AuNPs. The direct magnifications of the regions of interest are shown, followed by the nanoparticle light scattering channel only in grayscale. The scale bars indicate 50 µm for the unmagnified images, and 15 µm for the magnified images. Scale bars for images of expanded cells are the original length as taken by the microscope (</w:t>
      </w:r>
      <w:proofErr w:type="gramStart"/>
      <w:r w:rsidRPr="00BF7DB5">
        <w:rPr>
          <w:rFonts w:ascii="Arial" w:hAnsi="Arial" w:cs="Arial"/>
          <w:sz w:val="24"/>
          <w:szCs w:val="24"/>
        </w:rPr>
        <w:t>i.e.</w:t>
      </w:r>
      <w:proofErr w:type="gramEnd"/>
      <w:r w:rsidRPr="00BF7DB5">
        <w:rPr>
          <w:rFonts w:ascii="Arial" w:hAnsi="Arial" w:cs="Arial"/>
          <w:sz w:val="24"/>
          <w:szCs w:val="24"/>
        </w:rPr>
        <w:t xml:space="preserve"> not corrected for expansion factors).</w:t>
      </w:r>
      <w:r w:rsidRPr="00BF7DB5">
        <w:rPr>
          <w:rFonts w:ascii="Arial" w:hAnsi="Arial" w:cs="Arial"/>
          <w:sz w:val="24"/>
          <w:szCs w:val="24"/>
        </w:rPr>
        <w:br w:type="page"/>
      </w:r>
    </w:p>
    <w:p w14:paraId="5AEE41AC"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0BDD9C8C" wp14:editId="4FCB6221">
            <wp:extent cx="4642459" cy="6220716"/>
            <wp:effectExtent l="0" t="0" r="6350" b="8890"/>
            <wp:docPr id="24" name="Picture 24"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ollage of images of cell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47709" cy="6227750"/>
                    </a:xfrm>
                    <a:prstGeom prst="rect">
                      <a:avLst/>
                    </a:prstGeom>
                    <a:noFill/>
                    <a:ln>
                      <a:noFill/>
                    </a:ln>
                  </pic:spPr>
                </pic:pic>
              </a:graphicData>
            </a:graphic>
          </wp:inline>
        </w:drawing>
      </w:r>
    </w:p>
    <w:p w14:paraId="015A58AD" w14:textId="72DDD794" w:rsidR="004A2E41" w:rsidRPr="00BF7DB5" w:rsidRDefault="004A2E41" w:rsidP="004A2E41">
      <w:pPr>
        <w:jc w:val="both"/>
        <w:rPr>
          <w:rFonts w:ascii="Arial" w:hAnsi="Arial" w:cs="Arial"/>
          <w:sz w:val="24"/>
          <w:szCs w:val="24"/>
        </w:rPr>
      </w:pPr>
      <w:bookmarkStart w:id="115" w:name="_Toc129890295"/>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 xml:space="preserve">12: Expansion microscopy of RAW 264.7 macrophages </w:t>
      </w:r>
      <w:proofErr w:type="gramStart"/>
      <w:r w:rsidRPr="00BF7DB5">
        <w:rPr>
          <w:rFonts w:ascii="Arial" w:hAnsi="Arial" w:cs="Arial"/>
          <w:sz w:val="24"/>
          <w:szCs w:val="24"/>
        </w:rPr>
        <w:t>is</w:t>
      </w:r>
      <w:proofErr w:type="gramEnd"/>
      <w:r w:rsidRPr="00BF7DB5">
        <w:rPr>
          <w:rFonts w:ascii="Arial" w:hAnsi="Arial" w:cs="Arial"/>
          <w:sz w:val="24"/>
          <w:szCs w:val="24"/>
        </w:rPr>
        <w:t xml:space="preserve"> compatible with nanoparticle light scattering imaging of 60-nm Strep-AgNPs</w:t>
      </w:r>
      <w:r w:rsidRPr="00BF7DB5">
        <w:rPr>
          <w:rStyle w:val="Heading2Char"/>
          <w:rFonts w:cs="Arial"/>
          <w:szCs w:val="24"/>
        </w:rPr>
        <w:t>.</w:t>
      </w:r>
      <w:bookmarkEnd w:id="115"/>
      <w:r w:rsidRPr="00BF7DB5">
        <w:rPr>
          <w:rFonts w:ascii="Arial" w:hAnsi="Arial" w:cs="Arial"/>
          <w:b/>
          <w:bCs/>
          <w:sz w:val="24"/>
          <w:szCs w:val="24"/>
        </w:rPr>
        <w:t xml:space="preserve"> </w:t>
      </w:r>
      <w:r w:rsidRPr="00BF7DB5">
        <w:rPr>
          <w:rFonts w:ascii="Arial" w:hAnsi="Arial" w:cs="Arial"/>
          <w:sz w:val="24"/>
          <w:szCs w:val="24"/>
        </w:rPr>
        <w:t xml:space="preserve">RAW 264.7 macrophages were incubated with or without 60-nm Strep-AgNPs for 24 hours before being washed, fixed, and stained with NHS-AF555 (grey) and imaged with light scattering (red). </w:t>
      </w:r>
      <w:r w:rsidRPr="00BF7DB5">
        <w:rPr>
          <w:rFonts w:ascii="Arial" w:hAnsi="Arial" w:cs="Arial"/>
          <w:b/>
          <w:bCs/>
          <w:sz w:val="24"/>
          <w:szCs w:val="24"/>
        </w:rPr>
        <w:t xml:space="preserve">(a) </w:t>
      </w:r>
      <w:r w:rsidRPr="00BF7DB5">
        <w:rPr>
          <w:rFonts w:ascii="Arial" w:hAnsi="Arial" w:cs="Arial"/>
          <w:sz w:val="24"/>
          <w:szCs w:val="24"/>
        </w:rPr>
        <w:t xml:space="preserve">Non-expanded cells with or without HEP-AuNPs. </w:t>
      </w:r>
      <w:r w:rsidRPr="00BF7DB5">
        <w:rPr>
          <w:rFonts w:ascii="Arial" w:hAnsi="Arial" w:cs="Arial"/>
          <w:b/>
          <w:bCs/>
          <w:sz w:val="24"/>
          <w:szCs w:val="24"/>
        </w:rPr>
        <w:t xml:space="preserve">(b) </w:t>
      </w:r>
      <w:r w:rsidRPr="00BF7DB5">
        <w:rPr>
          <w:rFonts w:ascii="Arial" w:hAnsi="Arial" w:cs="Arial"/>
          <w:sz w:val="24"/>
          <w:szCs w:val="24"/>
        </w:rPr>
        <w:t>expanded cell with or without HEP-AuNPs. The direct magnifications of the regions of interest are shown, followed by the nanoparticle light scattering channel only in grayscale. The scale bars indicate 50 µm for the unmagnified images, and 15 µm for the magnified images. Scale bars for images of expanded cells are the original length as taken by the microscope (</w:t>
      </w:r>
      <w:proofErr w:type="gramStart"/>
      <w:r w:rsidRPr="00BF7DB5">
        <w:rPr>
          <w:rFonts w:ascii="Arial" w:hAnsi="Arial" w:cs="Arial"/>
          <w:sz w:val="24"/>
          <w:szCs w:val="24"/>
        </w:rPr>
        <w:t>i.e.</w:t>
      </w:r>
      <w:proofErr w:type="gramEnd"/>
      <w:r w:rsidRPr="00BF7DB5">
        <w:rPr>
          <w:rFonts w:ascii="Arial" w:hAnsi="Arial" w:cs="Arial"/>
          <w:sz w:val="24"/>
          <w:szCs w:val="24"/>
        </w:rPr>
        <w:t xml:space="preserve"> not corrected for expansion factors).</w:t>
      </w:r>
      <w:r w:rsidRPr="00BF7DB5">
        <w:rPr>
          <w:rFonts w:ascii="Arial" w:hAnsi="Arial" w:cs="Arial"/>
          <w:sz w:val="24"/>
          <w:szCs w:val="24"/>
        </w:rPr>
        <w:br w:type="page"/>
      </w:r>
    </w:p>
    <w:p w14:paraId="02089BA0"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48805977" wp14:editId="7EF4FD06">
            <wp:extent cx="5247655" cy="7047781"/>
            <wp:effectExtent l="0" t="0" r="0" b="1270"/>
            <wp:docPr id="11" name="Picture 11"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llage of images of cell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49172" cy="7049818"/>
                    </a:xfrm>
                    <a:prstGeom prst="rect">
                      <a:avLst/>
                    </a:prstGeom>
                    <a:noFill/>
                    <a:ln>
                      <a:noFill/>
                    </a:ln>
                  </pic:spPr>
                </pic:pic>
              </a:graphicData>
            </a:graphic>
          </wp:inline>
        </w:drawing>
      </w:r>
      <w:r w:rsidRPr="00C5729B">
        <w:rPr>
          <w:rFonts w:ascii="Times New Roman" w:hAnsi="Times New Roman" w:cs="Times New Roman"/>
          <w:noProof/>
          <w:sz w:val="24"/>
          <w:szCs w:val="24"/>
        </w:rPr>
        <w:t>`</w:t>
      </w:r>
    </w:p>
    <w:p w14:paraId="1F46F423" w14:textId="0FAA2E31" w:rsidR="004A2E41" w:rsidRPr="00BF7DB5" w:rsidRDefault="004A2E41" w:rsidP="004A2E41">
      <w:pPr>
        <w:jc w:val="both"/>
        <w:rPr>
          <w:rFonts w:ascii="Arial" w:hAnsi="Arial" w:cs="Arial"/>
          <w:sz w:val="24"/>
          <w:szCs w:val="24"/>
        </w:rPr>
      </w:pPr>
      <w:bookmarkStart w:id="116" w:name="_Toc129890296"/>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 xml:space="preserve">13: Increasing the crosslinker density of the expansion gel allows for smaller nanoparticles to be visualized </w:t>
      </w:r>
      <w:proofErr w:type="spellStart"/>
      <w:r w:rsidRPr="00BF7DB5">
        <w:rPr>
          <w:rFonts w:ascii="Arial" w:hAnsi="Arial" w:cs="Arial"/>
          <w:sz w:val="24"/>
          <w:szCs w:val="24"/>
        </w:rPr>
        <w:t>post-expansion</w:t>
      </w:r>
      <w:bookmarkEnd w:id="116"/>
      <w:proofErr w:type="spellEnd"/>
      <w:r w:rsidRPr="00BF7DB5">
        <w:rPr>
          <w:rFonts w:ascii="Arial" w:hAnsi="Arial" w:cs="Arial"/>
          <w:sz w:val="24"/>
          <w:szCs w:val="24"/>
        </w:rPr>
        <w:t xml:space="preserve">. RAW 264.7 macrophages were incubated with or without 40-nm Strep-AgNPs for 24 hours before being washed, fixed, and stained with NHS-AF555 (grey) and imaged with light scattering (red). The white arrows indicate the position of the 40-nm Strep-AgNPs. </w:t>
      </w:r>
      <w:r w:rsidRPr="00BF7DB5">
        <w:rPr>
          <w:rFonts w:ascii="Arial" w:hAnsi="Arial" w:cs="Arial"/>
          <w:b/>
          <w:bCs/>
          <w:sz w:val="24"/>
          <w:szCs w:val="24"/>
        </w:rPr>
        <w:t>(a)</w:t>
      </w:r>
      <w:r w:rsidRPr="00BF7DB5">
        <w:rPr>
          <w:rFonts w:ascii="Arial" w:hAnsi="Arial" w:cs="Arial"/>
          <w:sz w:val="24"/>
          <w:szCs w:val="24"/>
        </w:rPr>
        <w:t xml:space="preserve"> Non-expanded cells with 40-nm AgNPs. </w:t>
      </w:r>
      <w:r w:rsidRPr="00BF7DB5">
        <w:rPr>
          <w:rFonts w:ascii="Arial" w:hAnsi="Arial" w:cs="Arial"/>
          <w:b/>
          <w:bCs/>
          <w:sz w:val="24"/>
          <w:szCs w:val="24"/>
        </w:rPr>
        <w:t xml:space="preserve">(b) </w:t>
      </w:r>
      <w:r w:rsidRPr="00BF7DB5">
        <w:rPr>
          <w:rFonts w:ascii="Arial" w:hAnsi="Arial" w:cs="Arial"/>
          <w:sz w:val="24"/>
          <w:szCs w:val="24"/>
        </w:rPr>
        <w:lastRenderedPageBreak/>
        <w:t xml:space="preserve">In expanded cells with 40-nm AgNPs, however, there is no visible light scattering signal within the cells. Increasing the crosslinker density of the acrylamide gel creates a stiffer gel matrix, which likely prevents smaller nanoparticles from flowing out through the pores of the gel. Here, we used a gel with double the crosslinker concentration in the gel monomer solution. </w:t>
      </w:r>
      <w:r w:rsidRPr="00BF7DB5">
        <w:rPr>
          <w:rFonts w:ascii="Arial" w:hAnsi="Arial" w:cs="Arial"/>
          <w:b/>
          <w:bCs/>
          <w:sz w:val="24"/>
          <w:szCs w:val="24"/>
        </w:rPr>
        <w:t>(c)</w:t>
      </w:r>
      <w:r w:rsidRPr="00BF7DB5">
        <w:rPr>
          <w:rFonts w:ascii="Arial" w:hAnsi="Arial" w:cs="Arial"/>
          <w:sz w:val="24"/>
          <w:szCs w:val="24"/>
        </w:rPr>
        <w:t xml:space="preserve"> Expanded cells with or without AgNPs in 2X crosslinker gels. The direct magnifications of the regions of interest are shown, followed by the nanoparticle light scattering channel only in grayscale. The scale bars indicate 50 µm for the unmagnified images, and 15 µm for the magnified images. Scale bars for images of expanded cells are the original length as taken by the microscope (</w:t>
      </w:r>
      <w:proofErr w:type="gramStart"/>
      <w:r w:rsidRPr="00BF7DB5">
        <w:rPr>
          <w:rFonts w:ascii="Arial" w:hAnsi="Arial" w:cs="Arial"/>
          <w:sz w:val="24"/>
          <w:szCs w:val="24"/>
        </w:rPr>
        <w:t>i.e.</w:t>
      </w:r>
      <w:proofErr w:type="gramEnd"/>
      <w:r w:rsidRPr="00BF7DB5">
        <w:rPr>
          <w:rFonts w:ascii="Arial" w:hAnsi="Arial" w:cs="Arial"/>
          <w:sz w:val="24"/>
          <w:szCs w:val="24"/>
        </w:rPr>
        <w:t xml:space="preserve"> not corrected for expansion factors).</w:t>
      </w:r>
      <w:r w:rsidRPr="00BF7DB5">
        <w:rPr>
          <w:rFonts w:ascii="Arial" w:hAnsi="Arial" w:cs="Arial"/>
          <w:sz w:val="24"/>
          <w:szCs w:val="24"/>
        </w:rPr>
        <w:br w:type="page"/>
      </w:r>
    </w:p>
    <w:p w14:paraId="0010ABBC"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179BC45F" wp14:editId="4DC92749">
            <wp:extent cx="4645254" cy="7042875"/>
            <wp:effectExtent l="0" t="0" r="3175" b="5715"/>
            <wp:docPr id="1536905449" name="Picture 1536905449"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05449" name="Picture 1536905449" descr="A collage of images of a cell&#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53797" cy="7055828"/>
                    </a:xfrm>
                    <a:prstGeom prst="rect">
                      <a:avLst/>
                    </a:prstGeom>
                    <a:noFill/>
                    <a:ln>
                      <a:noFill/>
                    </a:ln>
                  </pic:spPr>
                </pic:pic>
              </a:graphicData>
            </a:graphic>
          </wp:inline>
        </w:drawing>
      </w:r>
    </w:p>
    <w:p w14:paraId="1A98FB4B" w14:textId="2C39C21D" w:rsidR="004A2E41" w:rsidRPr="00BF7DB5" w:rsidRDefault="004A2E41" w:rsidP="004A2E41">
      <w:pPr>
        <w:jc w:val="both"/>
        <w:rPr>
          <w:rFonts w:ascii="Arial" w:hAnsi="Arial" w:cs="Arial"/>
          <w:sz w:val="24"/>
          <w:szCs w:val="24"/>
        </w:rPr>
      </w:pPr>
      <w:bookmarkStart w:id="117" w:name="_Toc129890297"/>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14: Determining potential intracellular AuNP loss from expansion.</w:t>
      </w:r>
      <w:bookmarkEnd w:id="117"/>
      <w:r w:rsidRPr="00BF7DB5">
        <w:rPr>
          <w:rFonts w:ascii="Arial" w:hAnsi="Arial" w:cs="Arial"/>
          <w:sz w:val="24"/>
          <w:szCs w:val="24"/>
        </w:rPr>
        <w:t xml:space="preserve"> </w:t>
      </w:r>
      <w:r w:rsidRPr="00BF7DB5">
        <w:rPr>
          <w:rFonts w:ascii="Arial" w:hAnsi="Arial" w:cs="Arial"/>
          <w:b/>
          <w:bCs/>
          <w:sz w:val="24"/>
          <w:szCs w:val="24"/>
        </w:rPr>
        <w:t xml:space="preserve">(a) </w:t>
      </w:r>
      <w:r w:rsidRPr="00BF7DB5">
        <w:rPr>
          <w:rFonts w:ascii="Arial" w:hAnsi="Arial" w:cs="Arial"/>
          <w:sz w:val="24"/>
          <w:szCs w:val="24"/>
        </w:rPr>
        <w:t>RAW 264.7 macrophages were incubated with HEP-AuNPs</w:t>
      </w:r>
      <w:bookmarkStart w:id="118" w:name="_Hlk121660898"/>
      <w:r w:rsidRPr="00BF7DB5">
        <w:rPr>
          <w:rFonts w:ascii="Arial" w:hAnsi="Arial" w:cs="Arial"/>
          <w:sz w:val="24"/>
          <w:szCs w:val="24"/>
        </w:rPr>
        <w:t xml:space="preserve"> for 3 hours before being washed, fixed, and stained with</w:t>
      </w:r>
      <w:bookmarkEnd w:id="118"/>
      <w:r w:rsidRPr="00BF7DB5">
        <w:rPr>
          <w:rFonts w:ascii="Arial" w:hAnsi="Arial" w:cs="Arial"/>
          <w:sz w:val="24"/>
          <w:szCs w:val="24"/>
        </w:rPr>
        <w:t xml:space="preserve"> NHS-AF555 (grey) with nanoparticle light scattering imaging (red), first with the overlay of both channels, and then the nanoparticle light scattering signal alone shown in grayscale. The same groups of cells were imaged before and after the </w:t>
      </w:r>
      <w:r w:rsidRPr="00BF7DB5">
        <w:rPr>
          <w:rFonts w:ascii="Arial" w:hAnsi="Arial" w:cs="Arial"/>
          <w:sz w:val="24"/>
          <w:szCs w:val="24"/>
        </w:rPr>
        <w:lastRenderedPageBreak/>
        <w:t xml:space="preserve">proExM process. The expanded cells shown are a maximum intensity projection of 4 slices around the center of a Z-stack to account for the 3D volumetric spreading of the nanoparticles within the cells. The scale bars indicate 15 µm in the non-expanded cell images, and 50 µm in the expanded cell images. Scale bars for images of expanded cells are the original length as taken by the microscope (i.e., not corrected for expansion factors). </w:t>
      </w:r>
      <w:r w:rsidRPr="00BF7DB5">
        <w:rPr>
          <w:rFonts w:ascii="Arial" w:hAnsi="Arial" w:cs="Arial"/>
          <w:b/>
          <w:bCs/>
          <w:sz w:val="24"/>
          <w:szCs w:val="24"/>
        </w:rPr>
        <w:t xml:space="preserve">(b) </w:t>
      </w:r>
      <w:r w:rsidRPr="00BF7DB5">
        <w:rPr>
          <w:rFonts w:ascii="Arial" w:eastAsiaTheme="minorEastAsia" w:hAnsi="Arial" w:cs="Arial"/>
          <w:sz w:val="24"/>
          <w:szCs w:val="24"/>
        </w:rPr>
        <w:t>Inductively coupled plasma mass spectrometry (</w:t>
      </w:r>
      <w:r w:rsidRPr="00BF7DB5">
        <w:rPr>
          <w:rFonts w:ascii="Arial" w:hAnsi="Arial" w:cs="Arial"/>
          <w:sz w:val="24"/>
          <w:szCs w:val="24"/>
        </w:rPr>
        <w:t xml:space="preserve">ICP-MS) analysis of the intracellular AuNP loss through the expansion process. Bars represent </w:t>
      </w:r>
      <w:proofErr w:type="gramStart"/>
      <w:r w:rsidRPr="00BF7DB5">
        <w:rPr>
          <w:rFonts w:ascii="Arial" w:hAnsi="Arial" w:cs="Arial"/>
          <w:sz w:val="24"/>
          <w:szCs w:val="24"/>
        </w:rPr>
        <w:t>mean</w:t>
      </w:r>
      <w:proofErr w:type="gramEnd"/>
      <w:r w:rsidRPr="00BF7DB5">
        <w:rPr>
          <w:rFonts w:ascii="Arial" w:hAnsi="Arial" w:cs="Arial"/>
          <w:sz w:val="24"/>
          <w:szCs w:val="24"/>
        </w:rPr>
        <w:t xml:space="preserve"> +/- SD. A two-way ANOVA with </w:t>
      </w:r>
      <w:proofErr w:type="spellStart"/>
      <w:r w:rsidRPr="00BF7DB5">
        <w:rPr>
          <w:rFonts w:ascii="Arial" w:hAnsi="Arial" w:cs="Arial"/>
          <w:sz w:val="24"/>
          <w:szCs w:val="24"/>
        </w:rPr>
        <w:t>Šidák’s</w:t>
      </w:r>
      <w:proofErr w:type="spellEnd"/>
      <w:r w:rsidRPr="00BF7DB5">
        <w:rPr>
          <w:rFonts w:ascii="Arial" w:hAnsi="Arial" w:cs="Arial"/>
          <w:sz w:val="24"/>
          <w:szCs w:val="24"/>
        </w:rPr>
        <w:t xml:space="preserve"> multiple comparison test showed a statistical significance in the detected gold content between cells that were treated with AuNPs and untreated controls in the washes after the Acryloyl X, SE treatment (****p&lt;0.0001) as well as the residual cells that remained on the bottom coverslip during gelation (**p&lt;0.01), but no statistical significance in the remaining steps (ns = not significant, p&gt;0.99). The gold content detected in the first two steps is not likely to be from intracellular AuNPs. The Acryloyl-X treatment is not a destructive process, so the detected gold content was likely from uninternalized AuNPs that were mechanically dislodged during the treatment. Similarly, the gold content from the second step was likely from cells that did not transfer to gel or from cells in pieces of the gel that remained stuck to the coverslip. Since the remaining steps of the proExM process (digestion and expansions) involve chemically and physically disrupting the mechanical structure of the cell, it would be expected that any potentially lost intracellular AuNPs would be found within those solutions (</w:t>
      </w:r>
      <w:r w:rsidRPr="00BF7DB5">
        <w:rPr>
          <w:rFonts w:ascii="Arial" w:hAnsi="Arial" w:cs="Arial"/>
          <w:i/>
          <w:iCs/>
          <w:sz w:val="24"/>
          <w:szCs w:val="24"/>
        </w:rPr>
        <w:t>n</w:t>
      </w:r>
      <w:r w:rsidRPr="00BF7DB5">
        <w:rPr>
          <w:rFonts w:ascii="Arial" w:hAnsi="Arial" w:cs="Arial"/>
          <w:sz w:val="24"/>
          <w:szCs w:val="24"/>
        </w:rPr>
        <w:t>=4).</w:t>
      </w:r>
      <w:r w:rsidRPr="00BF7DB5">
        <w:rPr>
          <w:rFonts w:ascii="Arial" w:hAnsi="Arial" w:cs="Arial"/>
          <w:sz w:val="24"/>
          <w:szCs w:val="24"/>
        </w:rPr>
        <w:br w:type="page"/>
      </w:r>
    </w:p>
    <w:p w14:paraId="79ED199D" w14:textId="77777777" w:rsidR="004A2E41" w:rsidRPr="00C5729B" w:rsidRDefault="004A2E41" w:rsidP="004A2E41">
      <w:pPr>
        <w:jc w:val="both"/>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38F4ECE4" wp14:editId="2730CAB6">
            <wp:extent cx="5943600" cy="5123815"/>
            <wp:effectExtent l="0" t="0" r="0" b="635"/>
            <wp:docPr id="10" name="Picture 10" descr="A graph of different sizes and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different sizes and sizes&#10;&#10;Description automatically generated with medium confidenc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5123815"/>
                    </a:xfrm>
                    <a:prstGeom prst="rect">
                      <a:avLst/>
                    </a:prstGeom>
                    <a:noFill/>
                    <a:ln>
                      <a:noFill/>
                    </a:ln>
                  </pic:spPr>
                </pic:pic>
              </a:graphicData>
            </a:graphic>
          </wp:inline>
        </w:drawing>
      </w:r>
    </w:p>
    <w:p w14:paraId="17FC9614" w14:textId="19459174" w:rsidR="004A2E41" w:rsidRPr="00C5729B" w:rsidRDefault="004A2E41" w:rsidP="004A2E41">
      <w:pPr>
        <w:spacing w:before="240"/>
        <w:jc w:val="both"/>
        <w:rPr>
          <w:rFonts w:ascii="Times New Roman" w:hAnsi="Times New Roman" w:cs="Times New Roman"/>
          <w:sz w:val="24"/>
          <w:szCs w:val="24"/>
        </w:rPr>
      </w:pPr>
      <w:bookmarkStart w:id="119" w:name="_Toc129890298"/>
      <w:r w:rsidRPr="00BF7DB5">
        <w:rPr>
          <w:rFonts w:ascii="Arial" w:hAnsi="Arial" w:cs="Arial"/>
          <w:sz w:val="24"/>
          <w:szCs w:val="24"/>
        </w:rPr>
        <w:t>Figure S</w:t>
      </w:r>
      <w:r w:rsidR="0087397B" w:rsidRPr="00BF7DB5">
        <w:rPr>
          <w:rFonts w:ascii="Arial" w:hAnsi="Arial" w:cs="Arial"/>
          <w:sz w:val="24"/>
          <w:szCs w:val="24"/>
        </w:rPr>
        <w:t>2.</w:t>
      </w:r>
      <w:r w:rsidRPr="00BF7DB5">
        <w:rPr>
          <w:rFonts w:ascii="Arial" w:hAnsi="Arial" w:cs="Arial"/>
          <w:sz w:val="24"/>
          <w:szCs w:val="24"/>
        </w:rPr>
        <w:t>15: Testing AuNP colloidal stability using single`-particle inductively coupled plasma mass spectrometry.</w:t>
      </w:r>
      <w:bookmarkEnd w:id="119"/>
      <w:r w:rsidRPr="00BF7DB5">
        <w:rPr>
          <w:rStyle w:val="Heading2Char"/>
          <w:rFonts w:cs="Arial"/>
          <w:sz w:val="28"/>
          <w:szCs w:val="28"/>
        </w:rPr>
        <w:t xml:space="preserve"> </w:t>
      </w:r>
      <w:r w:rsidRPr="00BF7DB5">
        <w:rPr>
          <w:rFonts w:ascii="Arial" w:hAnsi="Arial" w:cs="Arial"/>
          <w:b/>
          <w:bCs/>
          <w:sz w:val="24"/>
          <w:szCs w:val="24"/>
        </w:rPr>
        <w:t>(a)</w:t>
      </w:r>
      <w:r w:rsidRPr="00BF7DB5">
        <w:rPr>
          <w:rFonts w:ascii="Arial" w:hAnsi="Arial" w:cs="Arial"/>
          <w:sz w:val="24"/>
          <w:szCs w:val="24"/>
        </w:rPr>
        <w:t xml:space="preserve"> HEP-AuNPs and </w:t>
      </w:r>
      <w:r w:rsidRPr="00BF7DB5">
        <w:rPr>
          <w:rFonts w:ascii="Arial" w:hAnsi="Arial" w:cs="Arial"/>
          <w:b/>
          <w:bCs/>
          <w:sz w:val="24"/>
          <w:szCs w:val="24"/>
        </w:rPr>
        <w:t>(b)</w:t>
      </w:r>
      <w:r w:rsidRPr="00BF7DB5">
        <w:rPr>
          <w:rFonts w:ascii="Arial" w:hAnsi="Arial" w:cs="Arial"/>
          <w:sz w:val="24"/>
          <w:szCs w:val="24"/>
        </w:rPr>
        <w:t xml:space="preserve"> PEG-AuNPs were incubated in ultrapure H</w:t>
      </w:r>
      <w:r w:rsidRPr="00BF7DB5">
        <w:rPr>
          <w:rFonts w:ascii="Arial" w:hAnsi="Arial" w:cs="Arial"/>
          <w:sz w:val="24"/>
          <w:szCs w:val="24"/>
          <w:vertAlign w:val="subscript"/>
        </w:rPr>
        <w:t>2</w:t>
      </w:r>
      <w:r w:rsidRPr="00BF7DB5">
        <w:rPr>
          <w:rFonts w:ascii="Arial" w:hAnsi="Arial" w:cs="Arial"/>
          <w:sz w:val="24"/>
          <w:szCs w:val="24"/>
        </w:rPr>
        <w:t>O, DMEM, DMEM + 10% fetal bovine serum (FBS) + 1% penicillin/streptomycin (P/S), or artificial lysosomal fluid for 3 hours at 37</w:t>
      </w:r>
      <w:r w:rsidRPr="00BF7DB5">
        <w:rPr>
          <w:rFonts w:ascii="Arial" w:eastAsia="Times New Roman" w:hAnsi="Arial" w:cs="Arial"/>
          <w:sz w:val="24"/>
          <w:szCs w:val="24"/>
        </w:rPr>
        <w:t>°</w:t>
      </w:r>
      <w:r w:rsidRPr="00BF7DB5">
        <w:rPr>
          <w:rFonts w:ascii="Arial" w:hAnsi="Arial" w:cs="Arial"/>
          <w:sz w:val="24"/>
          <w:szCs w:val="24"/>
        </w:rPr>
        <w:t>C. Following washing through centrifugation, the AuNPs were characterized with single-particle inductively coupled plasma mass spectrometry (SP-ICP-MS). The Kruskal-</w:t>
      </w:r>
      <w:proofErr w:type="gramStart"/>
      <w:r w:rsidRPr="00BF7DB5">
        <w:rPr>
          <w:rFonts w:ascii="Arial" w:hAnsi="Arial" w:cs="Arial"/>
          <w:sz w:val="24"/>
          <w:szCs w:val="24"/>
        </w:rPr>
        <w:t>Wallis</w:t>
      </w:r>
      <w:proofErr w:type="gramEnd"/>
      <w:r w:rsidRPr="00BF7DB5">
        <w:rPr>
          <w:rFonts w:ascii="Arial" w:hAnsi="Arial" w:cs="Arial"/>
          <w:sz w:val="24"/>
          <w:szCs w:val="24"/>
        </w:rPr>
        <w:t xml:space="preserve"> test with Dunn’s multiple comparison test did not show significant differences in the means of the distributions of either type of AuNPs after incubation in DMEM, DMEM + 10% FBS + 1% P/S, or artificial lysosomal fluid compared to the ultrapure H</w:t>
      </w:r>
      <w:r w:rsidRPr="00BF7DB5">
        <w:rPr>
          <w:rFonts w:ascii="Arial" w:hAnsi="Arial" w:cs="Arial"/>
          <w:sz w:val="24"/>
          <w:szCs w:val="24"/>
          <w:vertAlign w:val="subscript"/>
        </w:rPr>
        <w:t>2</w:t>
      </w:r>
      <w:r w:rsidRPr="00BF7DB5">
        <w:rPr>
          <w:rFonts w:ascii="Arial" w:hAnsi="Arial" w:cs="Arial"/>
          <w:sz w:val="24"/>
          <w:szCs w:val="24"/>
        </w:rPr>
        <w:t>O control (p&gt;0.9999) (</w:t>
      </w:r>
      <w:r w:rsidRPr="00BF7DB5">
        <w:rPr>
          <w:rFonts w:ascii="Arial" w:hAnsi="Arial" w:cs="Arial"/>
          <w:i/>
          <w:iCs/>
          <w:sz w:val="24"/>
          <w:szCs w:val="24"/>
        </w:rPr>
        <w:t>n</w:t>
      </w:r>
      <w:r w:rsidRPr="00BF7DB5">
        <w:rPr>
          <w:rFonts w:ascii="Arial" w:hAnsi="Arial" w:cs="Arial"/>
          <w:sz w:val="24"/>
          <w:szCs w:val="24"/>
        </w:rPr>
        <w:t>=1,000).</w:t>
      </w:r>
      <w:r w:rsidRPr="00C5729B">
        <w:rPr>
          <w:rFonts w:ascii="Times New Roman" w:hAnsi="Times New Roman" w:cs="Times New Roman"/>
          <w:sz w:val="24"/>
          <w:szCs w:val="24"/>
        </w:rPr>
        <w:t xml:space="preserve"> </w:t>
      </w:r>
      <w:r w:rsidRPr="00C5729B">
        <w:rPr>
          <w:rFonts w:ascii="Times New Roman" w:hAnsi="Times New Roman" w:cs="Times New Roman"/>
          <w:sz w:val="24"/>
          <w:szCs w:val="24"/>
        </w:rPr>
        <w:br w:type="page"/>
      </w:r>
    </w:p>
    <w:p w14:paraId="5016347D"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15DD6077" wp14:editId="46FA4C96">
            <wp:extent cx="5015313" cy="6721056"/>
            <wp:effectExtent l="0" t="0" r="0" b="3810"/>
            <wp:docPr id="28" name="Picture 28"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ollage of images of cells&#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19183" cy="6726242"/>
                    </a:xfrm>
                    <a:prstGeom prst="rect">
                      <a:avLst/>
                    </a:prstGeom>
                    <a:noFill/>
                    <a:ln>
                      <a:noFill/>
                    </a:ln>
                  </pic:spPr>
                </pic:pic>
              </a:graphicData>
            </a:graphic>
          </wp:inline>
        </w:drawing>
      </w:r>
    </w:p>
    <w:p w14:paraId="7EE8743A" w14:textId="0A064470" w:rsidR="004A2E41" w:rsidRPr="00BF7DB5" w:rsidRDefault="004A2E41" w:rsidP="004A2E41">
      <w:pPr>
        <w:jc w:val="both"/>
        <w:rPr>
          <w:rFonts w:ascii="Arial" w:hAnsi="Arial" w:cs="Arial"/>
          <w:sz w:val="24"/>
          <w:szCs w:val="24"/>
        </w:rPr>
      </w:pPr>
      <w:bookmarkStart w:id="120" w:name="_Toc129890299"/>
      <w:r w:rsidRPr="00BF7DB5">
        <w:rPr>
          <w:rFonts w:ascii="Arial" w:hAnsi="Arial" w:cs="Arial"/>
          <w:sz w:val="24"/>
          <w:szCs w:val="24"/>
        </w:rPr>
        <w:t>Figure S</w:t>
      </w:r>
      <w:r w:rsidR="0087397B" w:rsidRPr="00BF7DB5">
        <w:rPr>
          <w:rFonts w:ascii="Arial" w:hAnsi="Arial" w:cs="Arial"/>
          <w:sz w:val="24"/>
          <w:szCs w:val="24"/>
        </w:rPr>
        <w:t>3.1</w:t>
      </w:r>
      <w:r w:rsidRPr="00BF7DB5">
        <w:rPr>
          <w:rFonts w:ascii="Arial" w:hAnsi="Arial" w:cs="Arial"/>
          <w:sz w:val="24"/>
          <w:szCs w:val="24"/>
        </w:rPr>
        <w:t>: Validation of pan-ExM results with Airyscan.</w:t>
      </w:r>
      <w:bookmarkEnd w:id="120"/>
      <w:r w:rsidRPr="00BF7DB5">
        <w:rPr>
          <w:rFonts w:ascii="Arial" w:hAnsi="Arial" w:cs="Arial"/>
          <w:sz w:val="24"/>
          <w:szCs w:val="24"/>
        </w:rPr>
        <w:t xml:space="preserve"> RAW 264.7 macrophages were incubated with HEP-AuNPs for 3 hours before being washed, fixed, and stained with NHS-AF555 (grey) with nanoparticle light scattering imaging (red), first with the overlay of both channels, and then the nanoparticle light scattering signal alone shown in grayscale. The cells were first imaged under standard confocal conditions </w:t>
      </w:r>
      <w:r w:rsidRPr="00BF7DB5">
        <w:rPr>
          <w:rFonts w:ascii="Arial" w:hAnsi="Arial" w:cs="Arial"/>
          <w:b/>
          <w:bCs/>
          <w:sz w:val="24"/>
          <w:szCs w:val="24"/>
        </w:rPr>
        <w:t>(a)</w:t>
      </w:r>
      <w:r w:rsidRPr="00BF7DB5">
        <w:rPr>
          <w:rFonts w:ascii="Arial" w:hAnsi="Arial" w:cs="Arial"/>
          <w:sz w:val="24"/>
          <w:szCs w:val="24"/>
        </w:rPr>
        <w:t xml:space="preserve"> and then with the Airyscan detector </w:t>
      </w:r>
      <w:r w:rsidRPr="00BF7DB5">
        <w:rPr>
          <w:rFonts w:ascii="Arial" w:hAnsi="Arial" w:cs="Arial"/>
          <w:b/>
          <w:bCs/>
          <w:sz w:val="24"/>
          <w:szCs w:val="24"/>
        </w:rPr>
        <w:t>(b)</w:t>
      </w:r>
      <w:r w:rsidRPr="00BF7DB5">
        <w:rPr>
          <w:rFonts w:ascii="Arial" w:hAnsi="Arial" w:cs="Arial"/>
          <w:sz w:val="24"/>
          <w:szCs w:val="24"/>
        </w:rPr>
        <w:t xml:space="preserve"> for super-resolution imaging. The scale bars indicate 20 µm for the unmagnified images, and 5 µm for the magnified images.</w:t>
      </w:r>
      <w:r w:rsidRPr="00BF7DB5">
        <w:rPr>
          <w:rFonts w:ascii="Arial" w:hAnsi="Arial" w:cs="Arial"/>
          <w:sz w:val="24"/>
          <w:szCs w:val="24"/>
        </w:rPr>
        <w:br w:type="page"/>
      </w:r>
    </w:p>
    <w:p w14:paraId="36BFC696"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3B89921C" wp14:editId="27B722C0">
            <wp:extent cx="4870981" cy="6056415"/>
            <wp:effectExtent l="0" t="0" r="6350" b="1905"/>
            <wp:docPr id="26" name="Picture 26" descr="A close-up of a test res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a test results&#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80089" cy="6067740"/>
                    </a:xfrm>
                    <a:prstGeom prst="rect">
                      <a:avLst/>
                    </a:prstGeom>
                    <a:noFill/>
                    <a:ln>
                      <a:noFill/>
                    </a:ln>
                  </pic:spPr>
                </pic:pic>
              </a:graphicData>
            </a:graphic>
          </wp:inline>
        </w:drawing>
      </w:r>
    </w:p>
    <w:p w14:paraId="76324985" w14:textId="11F15A2E" w:rsidR="004A2E41" w:rsidRPr="00BF7DB5" w:rsidRDefault="004A2E41" w:rsidP="004A2E41">
      <w:pPr>
        <w:jc w:val="both"/>
        <w:rPr>
          <w:rFonts w:ascii="Arial" w:hAnsi="Arial" w:cs="Arial"/>
          <w:sz w:val="24"/>
          <w:szCs w:val="24"/>
        </w:rPr>
      </w:pPr>
      <w:bookmarkStart w:id="121" w:name="_Toc129890300"/>
      <w:r w:rsidRPr="00BF7DB5">
        <w:rPr>
          <w:rFonts w:ascii="Arial" w:hAnsi="Arial" w:cs="Arial"/>
          <w:sz w:val="24"/>
          <w:szCs w:val="24"/>
        </w:rPr>
        <w:t>Figure S</w:t>
      </w:r>
      <w:r w:rsidR="0087397B" w:rsidRPr="00BF7DB5">
        <w:rPr>
          <w:rFonts w:ascii="Arial" w:hAnsi="Arial" w:cs="Arial"/>
          <w:sz w:val="24"/>
          <w:szCs w:val="24"/>
        </w:rPr>
        <w:t>3.2</w:t>
      </w:r>
      <w:r w:rsidRPr="00BF7DB5">
        <w:rPr>
          <w:rFonts w:ascii="Arial" w:hAnsi="Arial" w:cs="Arial"/>
          <w:sz w:val="24"/>
          <w:szCs w:val="24"/>
        </w:rPr>
        <w:t>: Verifying the formation of a BSA protein corona on 55 nm AuNPs via SDS-PAGE</w:t>
      </w:r>
      <w:bookmarkEnd w:id="121"/>
      <w:r w:rsidRPr="00BF7DB5">
        <w:rPr>
          <w:rFonts w:ascii="Arial" w:hAnsi="Arial" w:cs="Arial"/>
          <w:sz w:val="24"/>
          <w:szCs w:val="24"/>
        </w:rPr>
        <w:t>. BSA-AuNP and citrate-coated AuNPs, along with a range of concentrations of free BSA (processed in the same way as the nanoparticles) were run through SDS-PAGE. BSA has a molecular weight of approximately 66.5 kDa, which is corroborated by the protein bands of the free BSA appearing strongly between the 55-kDa and 70-kDa bands of the protein ladder. A strong band appears on the BSA AuNP lane at approximately the same position, with no band appearing on the citrate-coated AuNP lane, which validates that a BSA protein corona had formed on the BSA-AuNPs.</w:t>
      </w:r>
      <w:r w:rsidRPr="00BF7DB5">
        <w:rPr>
          <w:rFonts w:ascii="Arial" w:hAnsi="Arial" w:cs="Arial"/>
          <w:sz w:val="24"/>
          <w:szCs w:val="24"/>
        </w:rPr>
        <w:br w:type="page"/>
      </w:r>
    </w:p>
    <w:p w14:paraId="023B7C24" w14:textId="77777777" w:rsidR="004A2E41" w:rsidRPr="00C5729B" w:rsidRDefault="004A2E41" w:rsidP="004A2E41">
      <w:pPr>
        <w:jc w:val="cente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37BCECC7" wp14:editId="65D45DA4">
            <wp:extent cx="5867400" cy="5672322"/>
            <wp:effectExtent l="0" t="0" r="0" b="5080"/>
            <wp:docPr id="27" name="Picture 27"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ollage of images of cells&#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69341" cy="5674198"/>
                    </a:xfrm>
                    <a:prstGeom prst="rect">
                      <a:avLst/>
                    </a:prstGeom>
                    <a:noFill/>
                    <a:ln>
                      <a:noFill/>
                    </a:ln>
                  </pic:spPr>
                </pic:pic>
              </a:graphicData>
            </a:graphic>
          </wp:inline>
        </w:drawing>
      </w:r>
    </w:p>
    <w:p w14:paraId="3F161844" w14:textId="481269D2" w:rsidR="004A2E41" w:rsidRPr="00BF7DB5" w:rsidRDefault="004A2E41" w:rsidP="004A2E41">
      <w:pPr>
        <w:jc w:val="both"/>
        <w:rPr>
          <w:rFonts w:ascii="Arial" w:hAnsi="Arial" w:cs="Arial"/>
          <w:sz w:val="24"/>
          <w:szCs w:val="24"/>
        </w:rPr>
      </w:pPr>
      <w:bookmarkStart w:id="122" w:name="_Toc129890301"/>
      <w:r w:rsidRPr="00BF7DB5">
        <w:rPr>
          <w:rFonts w:ascii="Arial" w:hAnsi="Arial" w:cs="Arial"/>
          <w:sz w:val="24"/>
          <w:szCs w:val="24"/>
        </w:rPr>
        <w:t>Figure S</w:t>
      </w:r>
      <w:r w:rsidR="0087397B" w:rsidRPr="00BF7DB5">
        <w:rPr>
          <w:rFonts w:ascii="Arial" w:hAnsi="Arial" w:cs="Arial"/>
          <w:sz w:val="24"/>
          <w:szCs w:val="24"/>
        </w:rPr>
        <w:t>3.3</w:t>
      </w:r>
      <w:r w:rsidRPr="00BF7DB5">
        <w:rPr>
          <w:rFonts w:ascii="Arial" w:hAnsi="Arial" w:cs="Arial"/>
          <w:sz w:val="24"/>
          <w:szCs w:val="24"/>
        </w:rPr>
        <w:t>: Pan-ExM with nanoparticle light scattering imaging allows for the comparison of the uptake of AuNPs with different surface modifications.</w:t>
      </w:r>
      <w:bookmarkEnd w:id="122"/>
      <w:r w:rsidRPr="00BF7DB5">
        <w:rPr>
          <w:rFonts w:ascii="Arial" w:hAnsi="Arial" w:cs="Arial"/>
          <w:sz w:val="24"/>
          <w:szCs w:val="24"/>
        </w:rPr>
        <w:t xml:space="preserve"> Non-expanded 4T1 cells stained with NHS-AF555 (grey) incubated with BSA-AuNPs </w:t>
      </w:r>
      <w:r w:rsidRPr="00BF7DB5">
        <w:rPr>
          <w:rFonts w:ascii="Arial" w:hAnsi="Arial" w:cs="Arial"/>
          <w:b/>
          <w:bCs/>
          <w:sz w:val="24"/>
          <w:szCs w:val="24"/>
        </w:rPr>
        <w:t>(a)</w:t>
      </w:r>
      <w:r w:rsidRPr="00BF7DB5">
        <w:rPr>
          <w:rFonts w:ascii="Arial" w:hAnsi="Arial" w:cs="Arial"/>
          <w:sz w:val="24"/>
          <w:szCs w:val="24"/>
        </w:rPr>
        <w:t xml:space="preserve"> or PEG-AuNPs </w:t>
      </w:r>
      <w:r w:rsidRPr="00BF7DB5">
        <w:rPr>
          <w:rFonts w:ascii="Arial" w:hAnsi="Arial" w:cs="Arial"/>
          <w:b/>
          <w:bCs/>
          <w:sz w:val="24"/>
          <w:szCs w:val="24"/>
        </w:rPr>
        <w:t>(b)</w:t>
      </w:r>
      <w:r w:rsidRPr="00BF7DB5">
        <w:rPr>
          <w:rFonts w:ascii="Arial" w:hAnsi="Arial" w:cs="Arial"/>
          <w:sz w:val="24"/>
          <w:szCs w:val="24"/>
        </w:rPr>
        <w:t xml:space="preserve">, with the AuNP light scattering signal (red). </w:t>
      </w:r>
      <w:bookmarkStart w:id="123" w:name="_Hlk113442603"/>
      <w:r w:rsidRPr="00BF7DB5">
        <w:rPr>
          <w:rFonts w:ascii="Arial" w:hAnsi="Arial" w:cs="Arial"/>
          <w:sz w:val="24"/>
          <w:szCs w:val="24"/>
        </w:rPr>
        <w:t xml:space="preserve">Digital magnifications of the regions of interest are shown, first with the overlay of both channels, and then the nanoparticle light scattering signal alone is shown in grayscale. </w:t>
      </w:r>
      <w:bookmarkEnd w:id="123"/>
      <w:r w:rsidRPr="00BF7DB5">
        <w:rPr>
          <w:rFonts w:ascii="Arial" w:hAnsi="Arial" w:cs="Arial"/>
          <w:sz w:val="24"/>
          <w:szCs w:val="24"/>
        </w:rPr>
        <w:t xml:space="preserve">Pan-ExM was then performed on cells incubated with BSA-AuNPs </w:t>
      </w:r>
      <w:r w:rsidRPr="00BF7DB5">
        <w:rPr>
          <w:rFonts w:ascii="Arial" w:hAnsi="Arial" w:cs="Arial"/>
          <w:b/>
          <w:bCs/>
          <w:sz w:val="24"/>
          <w:szCs w:val="24"/>
        </w:rPr>
        <w:t xml:space="preserve">(c) </w:t>
      </w:r>
      <w:r w:rsidRPr="00BF7DB5">
        <w:rPr>
          <w:rFonts w:ascii="Arial" w:hAnsi="Arial" w:cs="Arial"/>
          <w:sz w:val="24"/>
          <w:szCs w:val="24"/>
        </w:rPr>
        <w:t>or PEG-AuNPs</w:t>
      </w:r>
      <w:r w:rsidRPr="00BF7DB5">
        <w:rPr>
          <w:rFonts w:ascii="Arial" w:hAnsi="Arial" w:cs="Arial"/>
          <w:b/>
          <w:bCs/>
          <w:sz w:val="24"/>
          <w:szCs w:val="24"/>
        </w:rPr>
        <w:t xml:space="preserve"> (d)</w:t>
      </w:r>
      <w:r w:rsidRPr="00BF7DB5">
        <w:rPr>
          <w:rFonts w:ascii="Arial" w:hAnsi="Arial" w:cs="Arial"/>
          <w:sz w:val="24"/>
          <w:szCs w:val="24"/>
        </w:rPr>
        <w:t xml:space="preserve">, with 3D reconstructions of CLSM Z-stacks being shown. The yellow regions of interest depict individual slices from the z-stacks, with similar digital magnifications. Similar to the non-expanded cells, more BSA-AuNPs are visible in the expanded cells compared to PEG-AuNPs. The scale bars indicate 50 µm in the unmagnified image, and 15 µm in the magnified image. Scale bars for images of </w:t>
      </w:r>
      <w:r w:rsidRPr="00BF7DB5">
        <w:rPr>
          <w:rFonts w:ascii="Arial" w:hAnsi="Arial" w:cs="Arial"/>
          <w:sz w:val="24"/>
          <w:szCs w:val="24"/>
        </w:rPr>
        <w:lastRenderedPageBreak/>
        <w:t>expanded cells are the original length as taken by the microscope (</w:t>
      </w:r>
      <w:proofErr w:type="gramStart"/>
      <w:r w:rsidRPr="00BF7DB5">
        <w:rPr>
          <w:rFonts w:ascii="Arial" w:hAnsi="Arial" w:cs="Arial"/>
          <w:sz w:val="24"/>
          <w:szCs w:val="24"/>
        </w:rPr>
        <w:t>i.e.</w:t>
      </w:r>
      <w:proofErr w:type="gramEnd"/>
      <w:r w:rsidRPr="00BF7DB5">
        <w:rPr>
          <w:rFonts w:ascii="Arial" w:hAnsi="Arial" w:cs="Arial"/>
          <w:sz w:val="24"/>
          <w:szCs w:val="24"/>
        </w:rPr>
        <w:t xml:space="preserve"> not corrected for expansion factors).</w:t>
      </w:r>
      <w:r w:rsidRPr="00BF7DB5">
        <w:rPr>
          <w:rFonts w:ascii="Arial" w:hAnsi="Arial" w:cs="Arial"/>
          <w:sz w:val="24"/>
          <w:szCs w:val="24"/>
        </w:rPr>
        <w:br w:type="page"/>
      </w:r>
    </w:p>
    <w:p w14:paraId="4DADC278" w14:textId="77777777" w:rsidR="004A2E41" w:rsidRPr="00C5729B" w:rsidRDefault="004A2E41" w:rsidP="004A2E41">
      <w:pPr>
        <w:rPr>
          <w:rFonts w:ascii="Times New Roman" w:hAnsi="Times New Roman" w:cs="Times New Roman"/>
          <w:sz w:val="24"/>
          <w:szCs w:val="24"/>
        </w:rPr>
      </w:pPr>
      <w:r w:rsidRPr="00C5729B">
        <w:rPr>
          <w:rFonts w:ascii="Times New Roman" w:hAnsi="Times New Roman" w:cs="Times New Roman"/>
          <w:noProof/>
          <w:sz w:val="24"/>
          <w:szCs w:val="24"/>
        </w:rPr>
        <w:lastRenderedPageBreak/>
        <w:drawing>
          <wp:inline distT="0" distB="0" distL="0" distR="0" wp14:anchorId="1F194422" wp14:editId="275780E1">
            <wp:extent cx="5939790" cy="6989445"/>
            <wp:effectExtent l="0" t="0" r="0" b="0"/>
            <wp:docPr id="2" name="Picture 2" descr="A collage of images of white parti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llage of images of white particles&#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9790" cy="6989445"/>
                    </a:xfrm>
                    <a:prstGeom prst="rect">
                      <a:avLst/>
                    </a:prstGeom>
                    <a:noFill/>
                    <a:ln>
                      <a:noFill/>
                    </a:ln>
                  </pic:spPr>
                </pic:pic>
              </a:graphicData>
            </a:graphic>
          </wp:inline>
        </w:drawing>
      </w:r>
    </w:p>
    <w:p w14:paraId="04541370" w14:textId="77777777" w:rsidR="00301143" w:rsidRPr="00CE1909" w:rsidRDefault="004A2E41" w:rsidP="004A2E41">
      <w:pPr>
        <w:jc w:val="both"/>
        <w:rPr>
          <w:rFonts w:ascii="Arial" w:hAnsi="Arial" w:cs="Arial"/>
          <w:sz w:val="24"/>
          <w:szCs w:val="24"/>
        </w:rPr>
      </w:pPr>
      <w:bookmarkStart w:id="124" w:name="_Toc129890302"/>
      <w:r w:rsidRPr="00CE1909">
        <w:rPr>
          <w:rFonts w:ascii="Arial" w:hAnsi="Arial" w:cs="Arial"/>
          <w:sz w:val="24"/>
          <w:szCs w:val="24"/>
        </w:rPr>
        <w:t>Figure S</w:t>
      </w:r>
      <w:r w:rsidR="0087397B" w:rsidRPr="00CE1909">
        <w:rPr>
          <w:rFonts w:ascii="Arial" w:hAnsi="Arial" w:cs="Arial"/>
          <w:sz w:val="24"/>
          <w:szCs w:val="24"/>
        </w:rPr>
        <w:t>3.4</w:t>
      </w:r>
      <w:r w:rsidRPr="00CE1909">
        <w:rPr>
          <w:rFonts w:ascii="Arial" w:hAnsi="Arial" w:cs="Arial"/>
          <w:sz w:val="24"/>
          <w:szCs w:val="24"/>
        </w:rPr>
        <w:t>: Non-expanded RAW 264.7 macrophages treated with HEP- or PEG-AuNPs.</w:t>
      </w:r>
      <w:bookmarkEnd w:id="124"/>
      <w:r w:rsidRPr="00C5729B">
        <w:rPr>
          <w:rFonts w:ascii="Times New Roman" w:hAnsi="Times New Roman" w:cs="Times New Roman"/>
          <w:b/>
          <w:bCs/>
          <w:sz w:val="24"/>
          <w:szCs w:val="24"/>
        </w:rPr>
        <w:t xml:space="preserve"> </w:t>
      </w:r>
      <w:r w:rsidRPr="00CE1909">
        <w:rPr>
          <w:rFonts w:ascii="Arial" w:hAnsi="Arial" w:cs="Arial"/>
          <w:sz w:val="24"/>
          <w:szCs w:val="24"/>
        </w:rPr>
        <w:t xml:space="preserve">RAW 264.7 macrophages were incubated with or without </w:t>
      </w:r>
      <w:r w:rsidRPr="00CE1909">
        <w:rPr>
          <w:rFonts w:ascii="Arial" w:hAnsi="Arial" w:cs="Arial"/>
          <w:b/>
          <w:bCs/>
          <w:sz w:val="24"/>
          <w:szCs w:val="24"/>
        </w:rPr>
        <w:t>(a)</w:t>
      </w:r>
      <w:r w:rsidRPr="00CE1909">
        <w:rPr>
          <w:rFonts w:ascii="Arial" w:hAnsi="Arial" w:cs="Arial"/>
          <w:sz w:val="24"/>
          <w:szCs w:val="24"/>
        </w:rPr>
        <w:t xml:space="preserve"> HEP-AuNPs or </w:t>
      </w:r>
      <w:r w:rsidRPr="00CE1909">
        <w:rPr>
          <w:rFonts w:ascii="Arial" w:hAnsi="Arial" w:cs="Arial"/>
          <w:b/>
          <w:bCs/>
          <w:sz w:val="24"/>
          <w:szCs w:val="24"/>
        </w:rPr>
        <w:t>(b)</w:t>
      </w:r>
      <w:r w:rsidRPr="00CE1909">
        <w:rPr>
          <w:rFonts w:ascii="Arial" w:hAnsi="Arial" w:cs="Arial"/>
          <w:sz w:val="24"/>
          <w:szCs w:val="24"/>
        </w:rPr>
        <w:t xml:space="preserve"> PEG-AuNPs for 3 hours before being washed, fixed, and stained with NHS-AF555 (grey) with nanoparticle light scattering imaging (red). Digital magnifications of the regions of interest are shown, first with the overlay of both channels, and then the nanoparticle light scattering signal alone shown in grayscale. The scale bars indicate 50 µm for the </w:t>
      </w:r>
      <w:r w:rsidRPr="00CE1909">
        <w:rPr>
          <w:rFonts w:ascii="Arial" w:hAnsi="Arial" w:cs="Arial"/>
          <w:sz w:val="24"/>
          <w:szCs w:val="24"/>
        </w:rPr>
        <w:lastRenderedPageBreak/>
        <w:t xml:space="preserve">unmagnified images, and 15 µm for the magnified images. </w:t>
      </w:r>
      <w:r w:rsidRPr="00CE1909">
        <w:rPr>
          <w:rFonts w:ascii="Arial" w:hAnsi="Arial" w:cs="Arial"/>
          <w:b/>
          <w:bCs/>
          <w:sz w:val="24"/>
          <w:szCs w:val="24"/>
        </w:rPr>
        <w:t>(c)</w:t>
      </w:r>
      <w:r w:rsidRPr="00CE1909">
        <w:rPr>
          <w:rFonts w:ascii="Arial" w:hAnsi="Arial" w:cs="Arial"/>
          <w:sz w:val="24"/>
          <w:szCs w:val="24"/>
        </w:rPr>
        <w:t xml:space="preserve"> Quantitative analysis of the light scattering signal from the HEP- and PEG-AuNPs, measured by the integrated density of the light scattering signal in regions of interest drawn around the membrane of the cells on ImageJ. An unpaired one-tailed t-test demonstrated a significant statistical difference in the means of the two groups (****p&lt;0.0001) (</w:t>
      </w:r>
      <w:r w:rsidRPr="00CE1909">
        <w:rPr>
          <w:rFonts w:ascii="Arial" w:hAnsi="Arial" w:cs="Arial"/>
          <w:i/>
          <w:iCs/>
          <w:sz w:val="24"/>
          <w:szCs w:val="24"/>
        </w:rPr>
        <w:t>n</w:t>
      </w:r>
      <w:r w:rsidRPr="00CE1909">
        <w:rPr>
          <w:rFonts w:ascii="Arial" w:hAnsi="Arial" w:cs="Arial"/>
          <w:sz w:val="24"/>
          <w:szCs w:val="24"/>
        </w:rPr>
        <w:t>=9).</w:t>
      </w:r>
    </w:p>
    <w:p w14:paraId="774FB58D" w14:textId="77777777" w:rsidR="00301143" w:rsidRDefault="00301143">
      <w:pPr>
        <w:rPr>
          <w:rFonts w:ascii="Times New Roman" w:hAnsi="Times New Roman" w:cs="Times New Roman"/>
          <w:sz w:val="24"/>
          <w:szCs w:val="24"/>
        </w:rPr>
      </w:pPr>
      <w:r>
        <w:rPr>
          <w:rFonts w:ascii="Times New Roman" w:hAnsi="Times New Roman" w:cs="Times New Roman"/>
          <w:sz w:val="24"/>
          <w:szCs w:val="24"/>
        </w:rPr>
        <w:br w:type="page"/>
      </w:r>
    </w:p>
    <w:p w14:paraId="07251B79" w14:textId="1078DF0C" w:rsidR="00FB25D0" w:rsidRDefault="00024F8D" w:rsidP="00301143">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33E3D2" wp14:editId="536A14EA">
            <wp:extent cx="4858247" cy="7248182"/>
            <wp:effectExtent l="0" t="0" r="0" b="0"/>
            <wp:docPr id="14830214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76546" cy="7275483"/>
                    </a:xfrm>
                    <a:prstGeom prst="rect">
                      <a:avLst/>
                    </a:prstGeom>
                    <a:noFill/>
                    <a:ln>
                      <a:noFill/>
                    </a:ln>
                  </pic:spPr>
                </pic:pic>
              </a:graphicData>
            </a:graphic>
          </wp:inline>
        </w:drawing>
      </w:r>
    </w:p>
    <w:p w14:paraId="73DCDF8D" w14:textId="77777777" w:rsidR="006F609D" w:rsidRPr="006F609D" w:rsidRDefault="006F609D" w:rsidP="006F609D">
      <w:pPr>
        <w:jc w:val="center"/>
        <w:rPr>
          <w:rFonts w:ascii="Arial" w:hAnsi="Arial" w:cs="Arial"/>
          <w:sz w:val="24"/>
          <w:szCs w:val="24"/>
        </w:rPr>
      </w:pPr>
    </w:p>
    <w:p w14:paraId="6DB7C3E6" w14:textId="32008100" w:rsidR="00024F8D" w:rsidRPr="00CE1909" w:rsidRDefault="00024F8D" w:rsidP="00024F8D">
      <w:pPr>
        <w:jc w:val="both"/>
        <w:rPr>
          <w:rFonts w:ascii="Arial" w:hAnsi="Arial" w:cs="Arial"/>
          <w:sz w:val="24"/>
          <w:szCs w:val="24"/>
        </w:rPr>
      </w:pPr>
      <w:r w:rsidRPr="00CE1909">
        <w:rPr>
          <w:rFonts w:ascii="Arial" w:hAnsi="Arial" w:cs="Arial"/>
          <w:sz w:val="24"/>
          <w:szCs w:val="24"/>
        </w:rPr>
        <w:t>Figure S4.1: RAW 264.7 macrophages treated with Doxoves.</w:t>
      </w:r>
      <w:r w:rsidRPr="00CE1909">
        <w:rPr>
          <w:rFonts w:ascii="Arial" w:hAnsi="Arial" w:cs="Arial"/>
          <w:b/>
          <w:bCs/>
          <w:sz w:val="24"/>
          <w:szCs w:val="24"/>
        </w:rPr>
        <w:t xml:space="preserve"> </w:t>
      </w:r>
      <w:r w:rsidRPr="00CE1909">
        <w:rPr>
          <w:rFonts w:ascii="Arial" w:hAnsi="Arial" w:cs="Arial"/>
          <w:sz w:val="24"/>
          <w:szCs w:val="24"/>
        </w:rPr>
        <w:t>RAW 264.7 macrophages were incubated with 100 µg/mL Doxoves for 3 or 12 hours</w:t>
      </w:r>
      <w:r>
        <w:rPr>
          <w:rFonts w:ascii="Arial" w:hAnsi="Arial" w:cs="Arial"/>
          <w:sz w:val="24"/>
          <w:szCs w:val="24"/>
        </w:rPr>
        <w:t>, along with non-treated controls,</w:t>
      </w:r>
      <w:r w:rsidRPr="00CE1909">
        <w:rPr>
          <w:rFonts w:ascii="Arial" w:hAnsi="Arial" w:cs="Arial"/>
          <w:sz w:val="24"/>
          <w:szCs w:val="24"/>
        </w:rPr>
        <w:t xml:space="preserve"> before being washed, fixed, and expanded with the Magnify protocol. Non-</w:t>
      </w:r>
      <w:r w:rsidRPr="00CE1909">
        <w:rPr>
          <w:rFonts w:ascii="Arial" w:hAnsi="Arial" w:cs="Arial"/>
          <w:sz w:val="24"/>
          <w:szCs w:val="24"/>
        </w:rPr>
        <w:lastRenderedPageBreak/>
        <w:t xml:space="preserve">expanded cells shown first </w:t>
      </w:r>
      <w:r w:rsidRPr="00CE1909">
        <w:rPr>
          <w:rFonts w:ascii="Arial" w:hAnsi="Arial" w:cs="Arial"/>
          <w:b/>
          <w:bCs/>
          <w:sz w:val="24"/>
          <w:szCs w:val="24"/>
        </w:rPr>
        <w:t>(a</w:t>
      </w:r>
      <w:r w:rsidR="00C8244D">
        <w:rPr>
          <w:rFonts w:ascii="Arial" w:hAnsi="Arial" w:cs="Arial"/>
          <w:b/>
          <w:bCs/>
          <w:sz w:val="24"/>
          <w:szCs w:val="24"/>
        </w:rPr>
        <w:t xml:space="preserve"> -</w:t>
      </w:r>
      <w:r>
        <w:rPr>
          <w:rFonts w:ascii="Arial" w:hAnsi="Arial" w:cs="Arial"/>
          <w:b/>
          <w:bCs/>
          <w:sz w:val="24"/>
          <w:szCs w:val="24"/>
        </w:rPr>
        <w:t xml:space="preserve"> c</w:t>
      </w:r>
      <w:r w:rsidRPr="00CE1909">
        <w:rPr>
          <w:rFonts w:ascii="Arial" w:hAnsi="Arial" w:cs="Arial"/>
          <w:b/>
          <w:bCs/>
          <w:sz w:val="24"/>
          <w:szCs w:val="24"/>
        </w:rPr>
        <w:t>)</w:t>
      </w:r>
      <w:r w:rsidRPr="00CE1909">
        <w:rPr>
          <w:rFonts w:ascii="Arial" w:hAnsi="Arial" w:cs="Arial"/>
          <w:sz w:val="24"/>
          <w:szCs w:val="24"/>
        </w:rPr>
        <w:t xml:space="preserve">, followed by expanded cells </w:t>
      </w:r>
      <w:r w:rsidRPr="00CE1909">
        <w:rPr>
          <w:rFonts w:ascii="Arial" w:hAnsi="Arial" w:cs="Arial"/>
          <w:b/>
          <w:bCs/>
          <w:sz w:val="24"/>
          <w:szCs w:val="24"/>
        </w:rPr>
        <w:t>(</w:t>
      </w:r>
      <w:r>
        <w:rPr>
          <w:rFonts w:ascii="Arial" w:hAnsi="Arial" w:cs="Arial"/>
          <w:b/>
          <w:bCs/>
          <w:sz w:val="24"/>
          <w:szCs w:val="24"/>
        </w:rPr>
        <w:t>d</w:t>
      </w:r>
      <w:r w:rsidR="00C8244D">
        <w:rPr>
          <w:rFonts w:ascii="Arial" w:hAnsi="Arial" w:cs="Arial"/>
          <w:b/>
          <w:bCs/>
          <w:sz w:val="24"/>
          <w:szCs w:val="24"/>
        </w:rPr>
        <w:t xml:space="preserve"> -</w:t>
      </w:r>
      <w:r>
        <w:rPr>
          <w:rFonts w:ascii="Arial" w:hAnsi="Arial" w:cs="Arial"/>
          <w:b/>
          <w:bCs/>
          <w:sz w:val="24"/>
          <w:szCs w:val="24"/>
        </w:rPr>
        <w:t xml:space="preserve"> f</w:t>
      </w:r>
      <w:r w:rsidRPr="00CE1909">
        <w:rPr>
          <w:rFonts w:ascii="Arial" w:hAnsi="Arial" w:cs="Arial"/>
          <w:b/>
          <w:bCs/>
          <w:sz w:val="24"/>
          <w:szCs w:val="24"/>
        </w:rPr>
        <w:t>)</w:t>
      </w:r>
      <w:r w:rsidRPr="00CE1909">
        <w:rPr>
          <w:rFonts w:ascii="Arial" w:hAnsi="Arial" w:cs="Arial"/>
          <w:sz w:val="24"/>
          <w:szCs w:val="24"/>
        </w:rPr>
        <w:t xml:space="preserve">. Cells were stained with NHS-AF647 (gray) and DAPI (blue). First the overlay of the NHS-AF647, DAPI, and DOX (red) is shown. For non-expanded samples, a digital magnification of a region of interest showing the overlay of only the DAPI and DOX signals is included. For expanded samples, the full overlay of only the DAPI and DOX is shown, followed by a digital magnification of a region of interest of those two channels, and then the DOX signal is shown alone in grayscale. White arrows indicate the position of DOX signal. </w:t>
      </w:r>
      <w:r w:rsidRPr="00CE1909">
        <w:rPr>
          <w:rFonts w:ascii="Arial" w:hAnsi="Arial" w:cs="Arial"/>
          <w:b/>
          <w:bCs/>
          <w:sz w:val="24"/>
          <w:szCs w:val="24"/>
        </w:rPr>
        <w:t>(</w:t>
      </w:r>
      <w:r>
        <w:rPr>
          <w:rFonts w:ascii="Arial" w:hAnsi="Arial" w:cs="Arial"/>
          <w:b/>
          <w:bCs/>
          <w:sz w:val="24"/>
          <w:szCs w:val="24"/>
        </w:rPr>
        <w:t>g</w:t>
      </w:r>
      <w:r w:rsidRPr="00CE1909">
        <w:rPr>
          <w:rFonts w:ascii="Arial" w:hAnsi="Arial" w:cs="Arial"/>
          <w:b/>
          <w:bCs/>
          <w:sz w:val="24"/>
          <w:szCs w:val="24"/>
        </w:rPr>
        <w:t xml:space="preserve">) </w:t>
      </w:r>
      <w:r w:rsidRPr="00CE1909">
        <w:rPr>
          <w:rFonts w:ascii="Arial" w:hAnsi="Arial" w:cs="Arial"/>
          <w:sz w:val="24"/>
          <w:szCs w:val="24"/>
        </w:rPr>
        <w:t>Quantitative analysis of the integrated density of DOX signal within regions of interests drawn around the holes of the nuclei in expanded cells that were not stained with NHS-AF647 on ImageJ, normalized by the area of the region of interest in µm</w:t>
      </w:r>
      <w:r w:rsidRPr="00CE1909">
        <w:rPr>
          <w:rFonts w:ascii="Arial" w:hAnsi="Arial" w:cs="Arial"/>
          <w:sz w:val="24"/>
          <w:szCs w:val="24"/>
          <w:vertAlign w:val="superscript"/>
        </w:rPr>
        <w:t>2</w:t>
      </w:r>
      <w:r w:rsidRPr="00CE1909">
        <w:rPr>
          <w:rFonts w:ascii="Arial" w:hAnsi="Arial" w:cs="Arial"/>
          <w:sz w:val="24"/>
          <w:szCs w:val="24"/>
        </w:rPr>
        <w:t xml:space="preserve">. A one-way ANOVA with Tukey’s multiple comparison test resulted in statistically significant differences in the means of the DOX signal between the three groups (**p&lt;0.01, ****p&lt;0.0001). The scale bars indicate 20 µm in the unmagnified images and 5 µm in the magnified images. </w:t>
      </w:r>
    </w:p>
    <w:p w14:paraId="484E62E2" w14:textId="36B872C8" w:rsidR="00383225" w:rsidRDefault="00383225">
      <w:pPr>
        <w:rPr>
          <w:rFonts w:ascii="Times New Roman" w:hAnsi="Times New Roman" w:cs="Times New Roman"/>
          <w:sz w:val="24"/>
          <w:szCs w:val="24"/>
        </w:rPr>
      </w:pPr>
      <w:r>
        <w:rPr>
          <w:rFonts w:ascii="Times New Roman" w:hAnsi="Times New Roman" w:cs="Times New Roman"/>
          <w:sz w:val="24"/>
          <w:szCs w:val="24"/>
        </w:rPr>
        <w:br w:type="page"/>
      </w:r>
    </w:p>
    <w:p w14:paraId="555B2E66" w14:textId="71D0EE7C" w:rsidR="00CE1D9E" w:rsidRPr="00B24D07" w:rsidRDefault="002726D1" w:rsidP="00CE1D9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129274C" wp14:editId="200B2D21">
            <wp:extent cx="5939790" cy="2917825"/>
            <wp:effectExtent l="0" t="0" r="3810" b="0"/>
            <wp:docPr id="353057345" name="Picture 35305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9790" cy="2917825"/>
                    </a:xfrm>
                    <a:prstGeom prst="rect">
                      <a:avLst/>
                    </a:prstGeom>
                    <a:noFill/>
                    <a:ln>
                      <a:noFill/>
                    </a:ln>
                  </pic:spPr>
                </pic:pic>
              </a:graphicData>
            </a:graphic>
          </wp:inline>
        </w:drawing>
      </w:r>
    </w:p>
    <w:p w14:paraId="200348F5" w14:textId="77777777" w:rsidR="005B5163" w:rsidRPr="00CE1909" w:rsidRDefault="00383225" w:rsidP="005B5163">
      <w:pPr>
        <w:jc w:val="both"/>
        <w:rPr>
          <w:rFonts w:ascii="Arial" w:hAnsi="Arial" w:cs="Arial"/>
          <w:sz w:val="24"/>
          <w:szCs w:val="24"/>
        </w:rPr>
      </w:pPr>
      <w:r w:rsidRPr="00CE1909">
        <w:rPr>
          <w:rFonts w:ascii="Arial" w:hAnsi="Arial" w:cs="Arial"/>
          <w:sz w:val="24"/>
          <w:szCs w:val="24"/>
        </w:rPr>
        <w:t xml:space="preserve">Figure S4.2: Agarose gel electrophoresis of </w:t>
      </w:r>
      <w:r w:rsidR="004B6608" w:rsidRPr="00CE1909">
        <w:rPr>
          <w:rFonts w:ascii="Arial" w:hAnsi="Arial" w:cs="Arial"/>
          <w:sz w:val="24"/>
          <w:szCs w:val="24"/>
        </w:rPr>
        <w:t>10 kDa Dextran-PEG-Liposomes</w:t>
      </w:r>
      <w:r w:rsidRPr="00CE1909">
        <w:rPr>
          <w:rFonts w:ascii="Arial" w:hAnsi="Arial" w:cs="Arial"/>
          <w:sz w:val="24"/>
          <w:szCs w:val="24"/>
        </w:rPr>
        <w:t>.</w:t>
      </w:r>
      <w:r w:rsidRPr="00CE1909">
        <w:rPr>
          <w:rFonts w:ascii="Arial" w:hAnsi="Arial" w:cs="Arial"/>
          <w:b/>
          <w:bCs/>
          <w:sz w:val="24"/>
          <w:szCs w:val="24"/>
        </w:rPr>
        <w:t xml:space="preserve"> </w:t>
      </w:r>
      <w:r w:rsidR="003A3816" w:rsidRPr="00CE1909">
        <w:rPr>
          <w:rFonts w:ascii="Arial" w:hAnsi="Arial" w:cs="Arial"/>
          <w:sz w:val="24"/>
          <w:szCs w:val="24"/>
        </w:rPr>
        <w:t xml:space="preserve">10 kDa dextran-AF488-PEG-liposomes, before and after filtering with Amicon centrifugal filters, along with free 10 kDa dextran-AF488 were run through a 0.5% agarose gel for 60 minutes at 80 V. The orange lines indicate the positions of the wells of the gel. The white arrow indicates the position of the </w:t>
      </w:r>
      <w:r w:rsidR="00682A57" w:rsidRPr="00CE1909">
        <w:rPr>
          <w:rFonts w:ascii="Arial" w:hAnsi="Arial" w:cs="Arial"/>
          <w:sz w:val="24"/>
          <w:szCs w:val="24"/>
        </w:rPr>
        <w:t xml:space="preserve">fluorescent </w:t>
      </w:r>
      <w:r w:rsidR="003A3816" w:rsidRPr="00CE1909">
        <w:rPr>
          <w:rFonts w:ascii="Arial" w:hAnsi="Arial" w:cs="Arial"/>
          <w:sz w:val="24"/>
          <w:szCs w:val="24"/>
        </w:rPr>
        <w:t xml:space="preserve">band of the </w:t>
      </w:r>
      <w:r w:rsidR="002726D1" w:rsidRPr="00CE1909">
        <w:rPr>
          <w:rFonts w:ascii="Arial" w:hAnsi="Arial" w:cs="Arial"/>
          <w:sz w:val="24"/>
          <w:szCs w:val="24"/>
        </w:rPr>
        <w:t>PEG-L</w:t>
      </w:r>
      <w:r w:rsidR="003A3816" w:rsidRPr="00CE1909">
        <w:rPr>
          <w:rFonts w:ascii="Arial" w:hAnsi="Arial" w:cs="Arial"/>
          <w:sz w:val="24"/>
          <w:szCs w:val="24"/>
        </w:rPr>
        <w:t xml:space="preserve">iposomes, present in </w:t>
      </w:r>
      <w:r w:rsidR="00682A57" w:rsidRPr="00CE1909">
        <w:rPr>
          <w:rFonts w:ascii="Arial" w:hAnsi="Arial" w:cs="Arial"/>
          <w:sz w:val="24"/>
          <w:szCs w:val="24"/>
        </w:rPr>
        <w:t xml:space="preserve">lanes with the </w:t>
      </w:r>
      <w:r w:rsidR="002726D1" w:rsidRPr="00CE1909">
        <w:rPr>
          <w:rFonts w:ascii="Arial" w:hAnsi="Arial" w:cs="Arial"/>
          <w:sz w:val="24"/>
          <w:szCs w:val="24"/>
        </w:rPr>
        <w:t>PEG-L</w:t>
      </w:r>
      <w:r w:rsidR="00682A57" w:rsidRPr="00CE1909">
        <w:rPr>
          <w:rFonts w:ascii="Arial" w:hAnsi="Arial" w:cs="Arial"/>
          <w:sz w:val="24"/>
          <w:szCs w:val="24"/>
        </w:rPr>
        <w:t xml:space="preserve">iposomes, which have migrated towards the anode, while being absent in the free dextran lane, as expected. The lane with the </w:t>
      </w:r>
      <w:r w:rsidR="00DB106D" w:rsidRPr="00CE1909">
        <w:rPr>
          <w:rFonts w:ascii="Arial" w:hAnsi="Arial" w:cs="Arial"/>
          <w:sz w:val="24"/>
          <w:szCs w:val="24"/>
        </w:rPr>
        <w:t>PEG-L</w:t>
      </w:r>
      <w:r w:rsidR="00682A57" w:rsidRPr="00CE1909">
        <w:rPr>
          <w:rFonts w:ascii="Arial" w:hAnsi="Arial" w:cs="Arial"/>
          <w:sz w:val="24"/>
          <w:szCs w:val="24"/>
        </w:rPr>
        <w:t xml:space="preserve">iposomes following filtration shows much less of the signal that is visible in the free dextran lane, suggesting that the filtration was successful in removing </w:t>
      </w:r>
      <w:r w:rsidR="00DB106D" w:rsidRPr="00CE1909">
        <w:rPr>
          <w:rFonts w:ascii="Arial" w:hAnsi="Arial" w:cs="Arial"/>
          <w:sz w:val="24"/>
          <w:szCs w:val="24"/>
        </w:rPr>
        <w:t xml:space="preserve">a high amount of free dextran from the liposome solution. </w:t>
      </w:r>
      <w:r w:rsidR="005B5163" w:rsidRPr="00CE1909">
        <w:rPr>
          <w:rFonts w:ascii="Arial" w:hAnsi="Arial" w:cs="Arial"/>
          <w:sz w:val="24"/>
          <w:szCs w:val="24"/>
        </w:rPr>
        <w:br w:type="page"/>
      </w:r>
    </w:p>
    <w:p w14:paraId="1C7E1CD6" w14:textId="77777777" w:rsidR="005B5163" w:rsidRDefault="005B5163">
      <w:pPr>
        <w:rPr>
          <w:rFonts w:ascii="Times New Roman" w:hAnsi="Times New Roman" w:cs="Times New Roman"/>
          <w:sz w:val="24"/>
          <w:szCs w:val="24"/>
        </w:rPr>
      </w:pPr>
    </w:p>
    <w:p w14:paraId="2E55E405" w14:textId="1EBA80FD" w:rsidR="005B5163" w:rsidRDefault="003823C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7D47DE" wp14:editId="0DDC38C7">
            <wp:extent cx="5943600" cy="2541270"/>
            <wp:effectExtent l="0" t="0" r="0" b="0"/>
            <wp:docPr id="1426096138" name="Picture 142609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2541270"/>
                    </a:xfrm>
                    <a:prstGeom prst="rect">
                      <a:avLst/>
                    </a:prstGeom>
                    <a:noFill/>
                    <a:ln>
                      <a:noFill/>
                    </a:ln>
                  </pic:spPr>
                </pic:pic>
              </a:graphicData>
            </a:graphic>
          </wp:inline>
        </w:drawing>
      </w:r>
    </w:p>
    <w:p w14:paraId="41CBBEEE" w14:textId="77777777" w:rsidR="00A50937" w:rsidRPr="00CE1909" w:rsidRDefault="005B5163" w:rsidP="00A50937">
      <w:pPr>
        <w:jc w:val="both"/>
        <w:rPr>
          <w:rFonts w:ascii="Arial" w:hAnsi="Arial" w:cs="Arial"/>
          <w:sz w:val="24"/>
          <w:szCs w:val="24"/>
        </w:rPr>
      </w:pPr>
      <w:r w:rsidRPr="00CE1909">
        <w:rPr>
          <w:rFonts w:ascii="Arial" w:hAnsi="Arial" w:cs="Arial"/>
          <w:sz w:val="24"/>
          <w:szCs w:val="24"/>
        </w:rPr>
        <w:t>Figure S4.3: Agarose gel electrophoresis of 10 kDa Dextran-HEP-Liposomes.</w:t>
      </w:r>
      <w:r w:rsidRPr="00CE1909">
        <w:rPr>
          <w:rFonts w:ascii="Arial" w:hAnsi="Arial" w:cs="Arial"/>
          <w:b/>
          <w:bCs/>
          <w:sz w:val="24"/>
          <w:szCs w:val="24"/>
        </w:rPr>
        <w:t xml:space="preserve"> </w:t>
      </w:r>
      <w:r w:rsidRPr="00CE1909">
        <w:rPr>
          <w:rFonts w:ascii="Arial" w:hAnsi="Arial" w:cs="Arial"/>
          <w:sz w:val="24"/>
          <w:szCs w:val="24"/>
        </w:rPr>
        <w:t xml:space="preserve">10 kDa dextran-AF488-Thiol-liposomes and 10 kDa dextran-AF488-HEP-liposomes before and after dialysis against 1X PBS through a dialysis membrane and filtering with Amicon centrifugal filters, along with free 10 kDa dextran-AF488 were run through a 0.5% agarose gel for 40 minutes at 80 V. The orange lines indicate the positions of the wells of the gel. The white arrow indicates the position of the fluorescent band of the HEP-Liposomes, present in lanes with the HEP-Liposomes, which have migrated towards the anode, while being absent in the free dextran lane, as expected. The lane with the HEP-Liposomes following filtration shows much less of the signal that is visible in the free dextran lane, suggesting that the filtration was successful in removing a high amount of free dextran from the liposome solution. </w:t>
      </w:r>
      <w:r w:rsidRPr="00CE1909">
        <w:rPr>
          <w:rFonts w:ascii="Arial" w:hAnsi="Arial" w:cs="Arial"/>
          <w:sz w:val="24"/>
          <w:szCs w:val="24"/>
        </w:rPr>
        <w:br w:type="page"/>
      </w:r>
    </w:p>
    <w:p w14:paraId="08012175" w14:textId="77777777" w:rsidR="00A50937" w:rsidRDefault="00A50937">
      <w:pPr>
        <w:rPr>
          <w:rFonts w:ascii="Times New Roman" w:hAnsi="Times New Roman" w:cs="Times New Roman"/>
          <w:sz w:val="24"/>
          <w:szCs w:val="24"/>
        </w:rPr>
      </w:pPr>
    </w:p>
    <w:p w14:paraId="61475579" w14:textId="3C71E90F" w:rsidR="00A50937" w:rsidRDefault="003823C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29A16F" wp14:editId="73EAB2DA">
            <wp:extent cx="5943600" cy="2084070"/>
            <wp:effectExtent l="0" t="0" r="0" b="0"/>
            <wp:docPr id="1803163008" name="Picture 180316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084070"/>
                    </a:xfrm>
                    <a:prstGeom prst="rect">
                      <a:avLst/>
                    </a:prstGeom>
                    <a:noFill/>
                    <a:ln>
                      <a:noFill/>
                    </a:ln>
                  </pic:spPr>
                </pic:pic>
              </a:graphicData>
            </a:graphic>
          </wp:inline>
        </w:drawing>
      </w:r>
    </w:p>
    <w:p w14:paraId="4F824AF5" w14:textId="53368F22" w:rsidR="00A50937" w:rsidRPr="00CE1909" w:rsidRDefault="00A50937" w:rsidP="00691E6D">
      <w:pPr>
        <w:jc w:val="both"/>
        <w:rPr>
          <w:rFonts w:ascii="Arial" w:hAnsi="Arial" w:cs="Arial"/>
          <w:sz w:val="24"/>
          <w:szCs w:val="24"/>
        </w:rPr>
      </w:pPr>
      <w:r w:rsidRPr="00CE1909">
        <w:rPr>
          <w:rFonts w:ascii="Arial" w:hAnsi="Arial" w:cs="Arial"/>
          <w:sz w:val="24"/>
          <w:szCs w:val="24"/>
        </w:rPr>
        <w:t xml:space="preserve">Figure S4.4: DiO signal in Magnify samples is lost before expansion. </w:t>
      </w:r>
      <w:r w:rsidR="00FC4FC3" w:rsidRPr="00CE1909">
        <w:rPr>
          <w:rFonts w:ascii="Arial" w:hAnsi="Arial" w:cs="Arial"/>
          <w:b/>
          <w:bCs/>
          <w:sz w:val="24"/>
          <w:szCs w:val="24"/>
        </w:rPr>
        <w:t xml:space="preserve">(a) </w:t>
      </w:r>
      <w:r w:rsidR="00FC4FC3" w:rsidRPr="00CE1909">
        <w:rPr>
          <w:rFonts w:ascii="Arial" w:hAnsi="Arial" w:cs="Arial"/>
          <w:sz w:val="24"/>
          <w:szCs w:val="24"/>
        </w:rPr>
        <w:t>Live</w:t>
      </w:r>
      <w:r w:rsidR="00FC4FC3" w:rsidRPr="00CE1909">
        <w:rPr>
          <w:rFonts w:ascii="Arial" w:hAnsi="Arial" w:cs="Arial"/>
          <w:b/>
          <w:bCs/>
          <w:sz w:val="24"/>
          <w:szCs w:val="24"/>
        </w:rPr>
        <w:t xml:space="preserve"> </w:t>
      </w:r>
      <w:r w:rsidR="00FC4FC3" w:rsidRPr="00CE1909">
        <w:rPr>
          <w:rFonts w:ascii="Arial" w:hAnsi="Arial" w:cs="Arial"/>
          <w:sz w:val="24"/>
          <w:szCs w:val="24"/>
        </w:rPr>
        <w:t xml:space="preserve">RAW 264.7 macrophages were stained with 5 µM DiO (green) and the DNA stain Hoechst (blue) before being fixed, with a visible DiO signal. </w:t>
      </w:r>
      <w:r w:rsidR="00FC4FC3" w:rsidRPr="00CE1909">
        <w:rPr>
          <w:rFonts w:ascii="Arial" w:hAnsi="Arial" w:cs="Arial"/>
          <w:b/>
          <w:bCs/>
          <w:sz w:val="24"/>
          <w:szCs w:val="24"/>
        </w:rPr>
        <w:t xml:space="preserve">(b) </w:t>
      </w:r>
      <w:r w:rsidR="00FC4FC3" w:rsidRPr="00CE1909">
        <w:rPr>
          <w:rFonts w:ascii="Arial" w:hAnsi="Arial" w:cs="Arial"/>
          <w:sz w:val="24"/>
          <w:szCs w:val="24"/>
        </w:rPr>
        <w:t xml:space="preserve">RAW 264.7 macrophages that were stained with </w:t>
      </w:r>
      <w:r w:rsidR="00691E6D" w:rsidRPr="00CE1909">
        <w:rPr>
          <w:rFonts w:ascii="Arial" w:hAnsi="Arial" w:cs="Arial"/>
          <w:sz w:val="24"/>
          <w:szCs w:val="24"/>
        </w:rPr>
        <w:t xml:space="preserve">5 µM </w:t>
      </w:r>
      <w:r w:rsidR="00FC4FC3" w:rsidRPr="00CE1909">
        <w:rPr>
          <w:rFonts w:ascii="Arial" w:hAnsi="Arial" w:cs="Arial"/>
          <w:sz w:val="24"/>
          <w:szCs w:val="24"/>
        </w:rPr>
        <w:t xml:space="preserve">DiO and Hoechst </w:t>
      </w:r>
      <w:r w:rsidR="00691E6D" w:rsidRPr="00CE1909">
        <w:rPr>
          <w:rFonts w:ascii="Arial" w:hAnsi="Arial" w:cs="Arial"/>
          <w:sz w:val="24"/>
          <w:szCs w:val="24"/>
        </w:rPr>
        <w:t xml:space="preserve">while still alive, following Magnify processing, with no visible DiO signal. </w:t>
      </w:r>
      <w:r w:rsidR="00691E6D" w:rsidRPr="00CE1909">
        <w:rPr>
          <w:rFonts w:ascii="Arial" w:hAnsi="Arial" w:cs="Arial"/>
          <w:b/>
          <w:bCs/>
          <w:sz w:val="24"/>
          <w:szCs w:val="24"/>
        </w:rPr>
        <w:t>(c)</w:t>
      </w:r>
      <w:r w:rsidR="00691E6D" w:rsidRPr="00CE1909">
        <w:rPr>
          <w:rFonts w:ascii="Arial" w:hAnsi="Arial" w:cs="Arial"/>
          <w:sz w:val="24"/>
          <w:szCs w:val="24"/>
        </w:rPr>
        <w:t xml:space="preserve"> RAW 264.7 macrophages that were stained with 5 µM DiO and DAPI (blue) following the homogenization step of the Magnify process, prior to expansion, with a visible DiO signal. </w:t>
      </w:r>
      <w:r w:rsidR="006F609D" w:rsidRPr="006F609D">
        <w:rPr>
          <w:rFonts w:ascii="Arial" w:hAnsi="Arial" w:cs="Arial"/>
          <w:sz w:val="24"/>
          <w:szCs w:val="24"/>
        </w:rPr>
        <w:t>The scale bars indicate 20 µm</w:t>
      </w:r>
      <w:r w:rsidR="006F609D">
        <w:rPr>
          <w:rFonts w:ascii="Arial" w:hAnsi="Arial" w:cs="Arial"/>
          <w:sz w:val="24"/>
          <w:szCs w:val="24"/>
        </w:rPr>
        <w:t xml:space="preserve">, </w:t>
      </w:r>
      <w:r w:rsidR="006F609D" w:rsidRPr="006F609D">
        <w:rPr>
          <w:rFonts w:ascii="Arial" w:hAnsi="Arial" w:cs="Arial"/>
          <w:sz w:val="24"/>
          <w:szCs w:val="24"/>
        </w:rPr>
        <w:t>not corrected for expansion factors.</w:t>
      </w:r>
      <w:r w:rsidRPr="00CE1909">
        <w:rPr>
          <w:rFonts w:ascii="Arial" w:hAnsi="Arial" w:cs="Arial"/>
          <w:sz w:val="24"/>
          <w:szCs w:val="24"/>
        </w:rPr>
        <w:br w:type="page"/>
      </w:r>
    </w:p>
    <w:p w14:paraId="5519C577" w14:textId="0A22CA96" w:rsidR="00151728" w:rsidRDefault="00151728" w:rsidP="00CE1909">
      <w:pPr>
        <w:rPr>
          <w:rFonts w:ascii="Arial" w:hAnsi="Arial" w:cs="Arial"/>
          <w:sz w:val="24"/>
          <w:szCs w:val="24"/>
        </w:rPr>
      </w:pPr>
      <w:bookmarkStart w:id="125" w:name="_Toc129890303"/>
      <w:r>
        <w:rPr>
          <w:rFonts w:ascii="Arial" w:hAnsi="Arial" w:cs="Arial"/>
          <w:sz w:val="24"/>
          <w:szCs w:val="24"/>
        </w:rPr>
        <w:lastRenderedPageBreak/>
        <w:t xml:space="preserve">Supporting Movies are available at </w:t>
      </w:r>
      <w:hyperlink r:id="rId50" w:history="1">
        <w:r w:rsidRPr="00105E2C">
          <w:rPr>
            <w:rStyle w:val="Hyperlink"/>
            <w:rFonts w:ascii="Arial" w:hAnsi="Arial" w:cs="Arial"/>
            <w:sz w:val="24"/>
            <w:szCs w:val="24"/>
          </w:rPr>
          <w:t>https://pubs.acs.org/doi/10.1021/acsnano.2c12808</w:t>
        </w:r>
      </w:hyperlink>
    </w:p>
    <w:p w14:paraId="7D13FC22" w14:textId="77777777" w:rsidR="00151728" w:rsidRDefault="00151728" w:rsidP="00CE1909">
      <w:pPr>
        <w:rPr>
          <w:rFonts w:ascii="Arial" w:hAnsi="Arial" w:cs="Arial"/>
          <w:sz w:val="24"/>
          <w:szCs w:val="24"/>
        </w:rPr>
      </w:pPr>
    </w:p>
    <w:p w14:paraId="0DC3F96C" w14:textId="504A7FE8" w:rsidR="004A2E41" w:rsidRPr="00CE1909" w:rsidRDefault="004A2E41" w:rsidP="00CE1909">
      <w:pPr>
        <w:rPr>
          <w:rFonts w:ascii="Arial" w:hAnsi="Arial" w:cs="Arial"/>
          <w:sz w:val="24"/>
          <w:szCs w:val="24"/>
        </w:rPr>
      </w:pPr>
      <w:r w:rsidRPr="00CE1909">
        <w:rPr>
          <w:rFonts w:ascii="Arial" w:hAnsi="Arial" w:cs="Arial"/>
          <w:sz w:val="24"/>
          <w:szCs w:val="24"/>
        </w:rPr>
        <w:t>Supporting Movie 1</w:t>
      </w:r>
      <w:bookmarkEnd w:id="125"/>
    </w:p>
    <w:p w14:paraId="32444C8C" w14:textId="77777777" w:rsidR="004A2E41" w:rsidRPr="00CE1909" w:rsidRDefault="004A2E41" w:rsidP="004A2E41">
      <w:pPr>
        <w:jc w:val="both"/>
        <w:rPr>
          <w:rFonts w:ascii="Arial" w:hAnsi="Arial" w:cs="Arial"/>
          <w:sz w:val="24"/>
          <w:szCs w:val="24"/>
        </w:rPr>
      </w:pPr>
      <w:r w:rsidRPr="00CE1909">
        <w:rPr>
          <w:rFonts w:ascii="Arial" w:hAnsi="Arial" w:cs="Arial"/>
          <w:sz w:val="24"/>
          <w:szCs w:val="24"/>
        </w:rPr>
        <w:t>An animation of a Z-stack (48 slices) of a RAW 264.7 macrophage treated with HEP-AuNPs, following the pan-ExM process, shown in Figure 5C. First the individual Z-slices are shown, followed by a 3D reconstruction of the entire stack. The cell is bulk (pan) stained with NHS-AF555 (gray), with label-free AuNPs visualized through light scattering imaging (red). The data set was captured using a 40X/1.2 NA water immersion objective on a conventional inverted confocal laser scanning microscope (Zeiss LSM 880).</w:t>
      </w:r>
    </w:p>
    <w:p w14:paraId="120D2711" w14:textId="77777777" w:rsidR="004A2E41" w:rsidRPr="00CE1909" w:rsidRDefault="004A2E41" w:rsidP="00CE1909">
      <w:pPr>
        <w:rPr>
          <w:rFonts w:ascii="Arial" w:hAnsi="Arial" w:cs="Arial"/>
          <w:sz w:val="24"/>
          <w:szCs w:val="24"/>
        </w:rPr>
      </w:pPr>
    </w:p>
    <w:p w14:paraId="1DA073F2" w14:textId="77777777" w:rsidR="004A2E41" w:rsidRPr="00CE1909" w:rsidRDefault="004A2E41" w:rsidP="00CE1909">
      <w:pPr>
        <w:rPr>
          <w:rFonts w:ascii="Arial" w:hAnsi="Arial" w:cs="Arial"/>
          <w:sz w:val="24"/>
          <w:szCs w:val="24"/>
        </w:rPr>
      </w:pPr>
      <w:bookmarkStart w:id="126" w:name="_Toc129890304"/>
      <w:r w:rsidRPr="00CE1909">
        <w:rPr>
          <w:rFonts w:ascii="Arial" w:hAnsi="Arial" w:cs="Arial"/>
          <w:sz w:val="24"/>
          <w:szCs w:val="24"/>
        </w:rPr>
        <w:t>Supporting Movie 2</w:t>
      </w:r>
      <w:bookmarkEnd w:id="126"/>
    </w:p>
    <w:p w14:paraId="2F8CD5CE" w14:textId="77777777" w:rsidR="004A2E41" w:rsidRPr="00CE1909" w:rsidRDefault="004A2E41" w:rsidP="004A2E41">
      <w:pPr>
        <w:jc w:val="both"/>
        <w:rPr>
          <w:rFonts w:ascii="Arial" w:hAnsi="Arial" w:cs="Arial"/>
          <w:sz w:val="24"/>
          <w:szCs w:val="24"/>
        </w:rPr>
      </w:pPr>
      <w:r w:rsidRPr="00CE1909">
        <w:rPr>
          <w:rFonts w:ascii="Arial" w:hAnsi="Arial" w:cs="Arial"/>
          <w:sz w:val="24"/>
          <w:szCs w:val="24"/>
        </w:rPr>
        <w:t>An animation of a Z-stack (51 slices) of a RAW 264.7 macrophage without AuNP treatment, following the pan-ExM process, shown in Figure 5D. First the individual Z-slices are shown, followed by a 3D reconstruction of the entire stack. The cell is bulk (pan) stained with NHS-AF555 (gray), with label-free AuNPs visualized through light scattering imaging (red). The data set was captured using a 40X/1.2 NA water immersion objective on a conventional inverted confocal laser scanning microscope (Zeiss LSM 880).</w:t>
      </w:r>
    </w:p>
    <w:p w14:paraId="59948B65" w14:textId="25FC772E" w:rsidR="00D81284" w:rsidRDefault="00D81284">
      <w:pPr>
        <w:rPr>
          <w:rFonts w:ascii="Arial" w:hAnsi="Arial" w:cs="Arial"/>
          <w:b/>
          <w:bCs/>
          <w:sz w:val="24"/>
          <w:szCs w:val="24"/>
        </w:rPr>
      </w:pPr>
      <w:r>
        <w:rPr>
          <w:rFonts w:ascii="Arial" w:hAnsi="Arial" w:cs="Arial"/>
          <w:b/>
          <w:bCs/>
          <w:sz w:val="24"/>
          <w:szCs w:val="24"/>
        </w:rPr>
        <w:br w:type="page"/>
      </w:r>
    </w:p>
    <w:p w14:paraId="215D1A5E" w14:textId="6E911F9C" w:rsidR="006F3EEA" w:rsidRPr="008C387C" w:rsidRDefault="006F3EEA" w:rsidP="004C65B2">
      <w:pPr>
        <w:pStyle w:val="Heading1"/>
      </w:pPr>
      <w:bookmarkStart w:id="127" w:name="_Toc151032456"/>
      <w:r w:rsidRPr="008C387C">
        <w:lastRenderedPageBreak/>
        <w:t>Appendix D: Chapter Authors and Acknowledgements</w:t>
      </w:r>
      <w:bookmarkEnd w:id="127"/>
    </w:p>
    <w:p w14:paraId="473367E9" w14:textId="77777777" w:rsidR="004C65B2" w:rsidRPr="008C387C" w:rsidRDefault="004C65B2" w:rsidP="00BF7D9B">
      <w:pPr>
        <w:spacing w:line="480" w:lineRule="auto"/>
        <w:jc w:val="both"/>
        <w:rPr>
          <w:rFonts w:ascii="Arial" w:hAnsi="Arial" w:cs="Arial"/>
          <w:b/>
          <w:bCs/>
          <w:sz w:val="24"/>
          <w:szCs w:val="24"/>
        </w:rPr>
      </w:pPr>
    </w:p>
    <w:p w14:paraId="45536151" w14:textId="4185DB1B" w:rsidR="006F3EEA" w:rsidRPr="008C387C" w:rsidRDefault="006F3EEA" w:rsidP="00BF7D9B">
      <w:pPr>
        <w:spacing w:line="480" w:lineRule="auto"/>
        <w:jc w:val="both"/>
        <w:rPr>
          <w:rFonts w:ascii="Arial" w:hAnsi="Arial" w:cs="Arial"/>
          <w:b/>
          <w:bCs/>
          <w:sz w:val="24"/>
          <w:szCs w:val="24"/>
        </w:rPr>
      </w:pPr>
      <w:r w:rsidRPr="008C387C">
        <w:rPr>
          <w:rFonts w:ascii="Arial" w:hAnsi="Arial" w:cs="Arial"/>
          <w:b/>
          <w:bCs/>
          <w:sz w:val="24"/>
          <w:szCs w:val="24"/>
        </w:rPr>
        <w:t xml:space="preserve">Chapter 1: </w:t>
      </w:r>
    </w:p>
    <w:p w14:paraId="6BAEEBD2" w14:textId="77777777" w:rsidR="005C56E1" w:rsidRPr="008C387C" w:rsidRDefault="006F3EEA" w:rsidP="00BF7D9B">
      <w:pPr>
        <w:spacing w:line="480" w:lineRule="auto"/>
        <w:jc w:val="both"/>
        <w:rPr>
          <w:rFonts w:ascii="Arial" w:hAnsi="Arial" w:cs="Arial"/>
          <w:sz w:val="24"/>
          <w:szCs w:val="24"/>
        </w:rPr>
      </w:pPr>
      <w:r w:rsidRPr="008C387C">
        <w:rPr>
          <w:rFonts w:ascii="Arial" w:hAnsi="Arial" w:cs="Arial"/>
          <w:sz w:val="24"/>
          <w:szCs w:val="24"/>
        </w:rPr>
        <w:t>Authors:</w:t>
      </w:r>
      <w:r w:rsidR="00BF7D9B" w:rsidRPr="008C387C">
        <w:t xml:space="preserve"> </w:t>
      </w:r>
      <w:r w:rsidR="00BF7D9B" w:rsidRPr="008C387C">
        <w:rPr>
          <w:rFonts w:ascii="Arial" w:hAnsi="Arial" w:cs="Arial"/>
          <w:b/>
          <w:bCs/>
          <w:sz w:val="24"/>
          <w:szCs w:val="24"/>
        </w:rPr>
        <w:t>Vinit Sheth</w:t>
      </w:r>
      <w:r w:rsidR="00BF7D9B" w:rsidRPr="008C387C">
        <w:rPr>
          <w:rFonts w:ascii="Arial" w:hAnsi="Arial" w:cs="Arial"/>
          <w:sz w:val="24"/>
          <w:szCs w:val="24"/>
        </w:rPr>
        <w:t>, Lin Wang, Resham Bhattacharya, Priyabrata Mukherjee, Stefan Wilhelm</w:t>
      </w:r>
    </w:p>
    <w:p w14:paraId="2AA826A6" w14:textId="4F5785A5" w:rsidR="005C56E1" w:rsidRPr="008C387C" w:rsidRDefault="005C56E1" w:rsidP="00BF7D9B">
      <w:pPr>
        <w:spacing w:line="480" w:lineRule="auto"/>
        <w:jc w:val="both"/>
        <w:rPr>
          <w:rFonts w:ascii="Arial" w:hAnsi="Arial" w:cs="Arial"/>
          <w:sz w:val="24"/>
          <w:szCs w:val="24"/>
        </w:rPr>
      </w:pPr>
      <w:r w:rsidRPr="008C387C">
        <w:rPr>
          <w:rFonts w:ascii="Arial" w:hAnsi="Arial" w:cs="Arial"/>
          <w:sz w:val="24"/>
          <w:szCs w:val="24"/>
        </w:rPr>
        <w:t>Author Contributions:</w:t>
      </w:r>
    </w:p>
    <w:p w14:paraId="1820B7A1" w14:textId="5C37FCCF" w:rsidR="005C56E1" w:rsidRPr="008C387C" w:rsidRDefault="005C56E1" w:rsidP="00E46E94">
      <w:pPr>
        <w:pStyle w:val="ListParagraph"/>
        <w:numPr>
          <w:ilvl w:val="0"/>
          <w:numId w:val="16"/>
        </w:numPr>
        <w:spacing w:line="480" w:lineRule="auto"/>
        <w:jc w:val="both"/>
        <w:rPr>
          <w:rFonts w:ascii="Arial" w:hAnsi="Arial" w:cs="Arial"/>
        </w:rPr>
      </w:pPr>
      <w:r w:rsidRPr="008C387C">
        <w:rPr>
          <w:rFonts w:ascii="Arial" w:hAnsi="Arial" w:cs="Arial"/>
        </w:rPr>
        <w:t xml:space="preserve">Vinit Sheth – Composed most sections and figures/ tables </w:t>
      </w:r>
    </w:p>
    <w:p w14:paraId="3F21A468" w14:textId="2555DD16" w:rsidR="005C56E1" w:rsidRPr="008C387C" w:rsidRDefault="005C56E1" w:rsidP="00E46E94">
      <w:pPr>
        <w:pStyle w:val="ListParagraph"/>
        <w:numPr>
          <w:ilvl w:val="0"/>
          <w:numId w:val="16"/>
        </w:numPr>
        <w:spacing w:line="480" w:lineRule="auto"/>
        <w:jc w:val="both"/>
        <w:rPr>
          <w:rFonts w:ascii="Arial" w:hAnsi="Arial" w:cs="Arial"/>
        </w:rPr>
      </w:pPr>
      <w:r w:rsidRPr="008C387C">
        <w:rPr>
          <w:rFonts w:ascii="Arial" w:hAnsi="Arial" w:cs="Arial"/>
        </w:rPr>
        <w:t>Lin Wang – Composed Section 1.2, and Figures 1.2 and 1.3</w:t>
      </w:r>
    </w:p>
    <w:p w14:paraId="68E2E3AD" w14:textId="53EACFB5" w:rsidR="005C56E1" w:rsidRPr="008C387C" w:rsidRDefault="005C56E1" w:rsidP="00E46E94">
      <w:pPr>
        <w:pStyle w:val="ListParagraph"/>
        <w:numPr>
          <w:ilvl w:val="0"/>
          <w:numId w:val="16"/>
        </w:numPr>
        <w:spacing w:line="480" w:lineRule="auto"/>
        <w:jc w:val="both"/>
        <w:rPr>
          <w:rFonts w:ascii="Arial" w:hAnsi="Arial" w:cs="Arial"/>
        </w:rPr>
      </w:pPr>
      <w:r w:rsidRPr="008C387C">
        <w:rPr>
          <w:rFonts w:ascii="Arial" w:hAnsi="Arial" w:cs="Arial"/>
        </w:rPr>
        <w:t xml:space="preserve">Resham Bhattacharya, Priyabrata Mukherjee </w:t>
      </w:r>
      <w:r w:rsidR="00E46E94" w:rsidRPr="008C387C">
        <w:rPr>
          <w:rFonts w:ascii="Arial" w:hAnsi="Arial" w:cs="Arial"/>
        </w:rPr>
        <w:t>–</w:t>
      </w:r>
      <w:r w:rsidRPr="008C387C">
        <w:rPr>
          <w:rFonts w:ascii="Arial" w:hAnsi="Arial" w:cs="Arial"/>
        </w:rPr>
        <w:t xml:space="preserve"> </w:t>
      </w:r>
      <w:r w:rsidR="00E46E94" w:rsidRPr="008C387C">
        <w:rPr>
          <w:rFonts w:ascii="Arial" w:hAnsi="Arial" w:cs="Arial"/>
        </w:rPr>
        <w:t>Provided discussion about content</w:t>
      </w:r>
    </w:p>
    <w:p w14:paraId="4C13C91E" w14:textId="16150991" w:rsidR="005C56E1" w:rsidRPr="008C387C" w:rsidRDefault="00E46E94" w:rsidP="00E46E94">
      <w:pPr>
        <w:pStyle w:val="ListParagraph"/>
        <w:numPr>
          <w:ilvl w:val="0"/>
          <w:numId w:val="16"/>
        </w:numPr>
        <w:spacing w:line="480" w:lineRule="auto"/>
        <w:jc w:val="both"/>
        <w:rPr>
          <w:rFonts w:ascii="Arial" w:hAnsi="Arial" w:cs="Arial"/>
        </w:rPr>
      </w:pPr>
      <w:r w:rsidRPr="008C387C">
        <w:rPr>
          <w:rFonts w:ascii="Arial" w:hAnsi="Arial" w:cs="Arial"/>
        </w:rPr>
        <w:t>Stefan Wilhelm – Oversaw manuscript completion</w:t>
      </w:r>
    </w:p>
    <w:p w14:paraId="6C031689" w14:textId="77777777" w:rsidR="00BF7D9B" w:rsidRPr="008C387C" w:rsidRDefault="00BF7D9B" w:rsidP="00BF7D9B">
      <w:pPr>
        <w:spacing w:line="480" w:lineRule="auto"/>
        <w:jc w:val="both"/>
        <w:rPr>
          <w:rFonts w:ascii="Arial" w:hAnsi="Arial" w:cs="Arial"/>
          <w:sz w:val="24"/>
          <w:szCs w:val="24"/>
        </w:rPr>
      </w:pPr>
      <w:r w:rsidRPr="008C387C">
        <w:rPr>
          <w:rFonts w:ascii="Arial" w:hAnsi="Arial" w:cs="Arial"/>
          <w:sz w:val="24"/>
          <w:szCs w:val="24"/>
        </w:rPr>
        <w:t>Acknowledgements: Authors thank W. Yang for feedback and discussions, and S. Quine for assistance with illustrations. SW acknowledges funding support from the University of Oklahoma IBEST-OUHSC Seed Grant for Interdisciplinary Research, the Oklahoma Tobacco Settlement Endowment Trust awarded to the University of Oklahoma - Stephenson Cancer Center, and the Oklahoma Center for Advancement of Science and Technology (OCAST) Health Research program.</w:t>
      </w:r>
    </w:p>
    <w:p w14:paraId="6FB5978B" w14:textId="77777777" w:rsidR="00BF7D9B" w:rsidRPr="008C387C" w:rsidRDefault="00BF7D9B" w:rsidP="00BF7D9B">
      <w:pPr>
        <w:spacing w:line="480" w:lineRule="auto"/>
        <w:jc w:val="both"/>
        <w:rPr>
          <w:rFonts w:ascii="Arial" w:hAnsi="Arial" w:cs="Arial"/>
          <w:sz w:val="24"/>
          <w:szCs w:val="24"/>
        </w:rPr>
      </w:pPr>
    </w:p>
    <w:p w14:paraId="063DB569" w14:textId="77777777" w:rsidR="00BF7D9B" w:rsidRPr="008C387C" w:rsidRDefault="00BF7D9B" w:rsidP="00BF7D9B">
      <w:pPr>
        <w:spacing w:line="480" w:lineRule="auto"/>
        <w:jc w:val="both"/>
        <w:rPr>
          <w:rFonts w:ascii="Arial" w:hAnsi="Arial" w:cs="Arial"/>
          <w:b/>
          <w:bCs/>
          <w:sz w:val="24"/>
          <w:szCs w:val="24"/>
        </w:rPr>
      </w:pPr>
      <w:r w:rsidRPr="008C387C">
        <w:rPr>
          <w:rFonts w:ascii="Arial" w:hAnsi="Arial" w:cs="Arial"/>
          <w:b/>
          <w:bCs/>
          <w:sz w:val="24"/>
          <w:szCs w:val="24"/>
        </w:rPr>
        <w:t>Chapters 2 and 3:</w:t>
      </w:r>
    </w:p>
    <w:p w14:paraId="6F7D2FC4" w14:textId="77777777" w:rsidR="00BF7D9B" w:rsidRPr="008C387C" w:rsidRDefault="00BF7D9B" w:rsidP="00BF7D9B">
      <w:pPr>
        <w:spacing w:line="480" w:lineRule="auto"/>
        <w:jc w:val="both"/>
        <w:rPr>
          <w:rFonts w:ascii="Arial" w:hAnsi="Arial" w:cs="Arial"/>
          <w:sz w:val="24"/>
          <w:szCs w:val="24"/>
        </w:rPr>
      </w:pPr>
      <w:r w:rsidRPr="008C387C">
        <w:rPr>
          <w:rFonts w:ascii="Arial" w:hAnsi="Arial" w:cs="Arial"/>
          <w:sz w:val="24"/>
          <w:szCs w:val="24"/>
        </w:rPr>
        <w:t xml:space="preserve">Authors: </w:t>
      </w:r>
      <w:r w:rsidRPr="008C387C">
        <w:rPr>
          <w:rFonts w:ascii="Arial" w:hAnsi="Arial" w:cs="Arial"/>
          <w:b/>
          <w:bCs/>
          <w:sz w:val="24"/>
          <w:szCs w:val="24"/>
        </w:rPr>
        <w:t>Vinit Sheth</w:t>
      </w:r>
      <w:r w:rsidRPr="008C387C">
        <w:rPr>
          <w:rFonts w:ascii="Arial" w:hAnsi="Arial" w:cs="Arial"/>
          <w:sz w:val="24"/>
          <w:szCs w:val="24"/>
        </w:rPr>
        <w:t xml:space="preserve">, Xuxin Chen, Evan M. Mettenbrink, Wen Yang, Meredith A. Jones, Ons M’Saad, Abigail G. Thomas, Rylee S. Newport, Emmy R. Francek, Lin Wang, Alex N. </w:t>
      </w:r>
      <w:proofErr w:type="spellStart"/>
      <w:r w:rsidRPr="008C387C">
        <w:rPr>
          <w:rFonts w:ascii="Arial" w:hAnsi="Arial" w:cs="Arial"/>
          <w:sz w:val="24"/>
          <w:szCs w:val="24"/>
        </w:rPr>
        <w:t>Frickenstein</w:t>
      </w:r>
      <w:proofErr w:type="spellEnd"/>
      <w:r w:rsidRPr="008C387C">
        <w:rPr>
          <w:rFonts w:ascii="Arial" w:hAnsi="Arial" w:cs="Arial"/>
          <w:sz w:val="24"/>
          <w:szCs w:val="24"/>
        </w:rPr>
        <w:t xml:space="preserve">, Nathan D. Donahue, Alyssa M. Holden, Nathan </w:t>
      </w:r>
      <w:proofErr w:type="spellStart"/>
      <w:r w:rsidRPr="008C387C">
        <w:rPr>
          <w:rFonts w:ascii="Arial" w:hAnsi="Arial" w:cs="Arial"/>
          <w:sz w:val="24"/>
          <w:szCs w:val="24"/>
        </w:rPr>
        <w:t>Mjema</w:t>
      </w:r>
      <w:proofErr w:type="spellEnd"/>
      <w:r w:rsidRPr="008C387C">
        <w:rPr>
          <w:rFonts w:ascii="Arial" w:hAnsi="Arial" w:cs="Arial"/>
          <w:sz w:val="24"/>
          <w:szCs w:val="24"/>
        </w:rPr>
        <w:t>, Dixy E. Green, Paul L. DeAngelis, Joerg Bewersdorf, Stefan Wilhelm</w:t>
      </w:r>
    </w:p>
    <w:p w14:paraId="0B9889A3" w14:textId="77777777" w:rsidR="00E46E94" w:rsidRPr="008C387C" w:rsidRDefault="00E46E94" w:rsidP="00E46E94">
      <w:pPr>
        <w:spacing w:line="480" w:lineRule="auto"/>
        <w:jc w:val="both"/>
        <w:rPr>
          <w:rFonts w:ascii="Arial" w:hAnsi="Arial" w:cs="Arial"/>
          <w:sz w:val="24"/>
          <w:szCs w:val="24"/>
        </w:rPr>
      </w:pPr>
      <w:r w:rsidRPr="008C387C">
        <w:rPr>
          <w:rFonts w:ascii="Arial" w:hAnsi="Arial" w:cs="Arial"/>
          <w:sz w:val="24"/>
          <w:szCs w:val="24"/>
        </w:rPr>
        <w:lastRenderedPageBreak/>
        <w:t>Author Contributions:</w:t>
      </w:r>
    </w:p>
    <w:p w14:paraId="75E4E04B" w14:textId="41941CF4" w:rsidR="00E46E94" w:rsidRPr="008C387C" w:rsidRDefault="00E46E94" w:rsidP="00E46E94">
      <w:pPr>
        <w:pStyle w:val="ListParagraph"/>
        <w:numPr>
          <w:ilvl w:val="0"/>
          <w:numId w:val="16"/>
        </w:numPr>
        <w:spacing w:line="480" w:lineRule="auto"/>
        <w:jc w:val="both"/>
        <w:rPr>
          <w:rFonts w:ascii="Arial" w:hAnsi="Arial" w:cs="Arial"/>
        </w:rPr>
      </w:pPr>
      <w:r w:rsidRPr="008C387C">
        <w:rPr>
          <w:rFonts w:ascii="Arial" w:hAnsi="Arial" w:cs="Arial"/>
        </w:rPr>
        <w:t>Vinit Sheth – Project lead, primary experiment coordinator and performer, primary writer</w:t>
      </w:r>
    </w:p>
    <w:p w14:paraId="0946B213" w14:textId="62BF5310" w:rsidR="00E46E94" w:rsidRPr="008C387C" w:rsidRDefault="00E46E94" w:rsidP="00E46E94">
      <w:pPr>
        <w:pStyle w:val="ListParagraph"/>
        <w:numPr>
          <w:ilvl w:val="0"/>
          <w:numId w:val="16"/>
        </w:numPr>
        <w:spacing w:line="480" w:lineRule="auto"/>
        <w:jc w:val="both"/>
        <w:rPr>
          <w:rFonts w:ascii="Arial" w:hAnsi="Arial" w:cs="Arial"/>
        </w:rPr>
      </w:pPr>
      <w:r w:rsidRPr="008C387C">
        <w:rPr>
          <w:rFonts w:ascii="Arial" w:hAnsi="Arial" w:cs="Arial"/>
        </w:rPr>
        <w:t xml:space="preserve">Xuxin Chen, Meredith Jones – Wrote code for automatic analysis of light scattering signal in </w:t>
      </w:r>
      <w:r w:rsidR="0000202B" w:rsidRPr="008C387C">
        <w:rPr>
          <w:rFonts w:ascii="Arial" w:hAnsi="Arial" w:cs="Arial"/>
        </w:rPr>
        <w:t>pan</w:t>
      </w:r>
      <w:r w:rsidR="003C512D">
        <w:rPr>
          <w:rFonts w:ascii="Arial" w:hAnsi="Arial" w:cs="Arial"/>
        </w:rPr>
        <w:t>-</w:t>
      </w:r>
      <w:r w:rsidR="0000202B" w:rsidRPr="008C387C">
        <w:rPr>
          <w:rFonts w:ascii="Arial" w:hAnsi="Arial" w:cs="Arial"/>
        </w:rPr>
        <w:t>ExM samples</w:t>
      </w:r>
    </w:p>
    <w:p w14:paraId="47712B95" w14:textId="27E46126" w:rsidR="00E46E94" w:rsidRPr="008C387C" w:rsidRDefault="00E46E94" w:rsidP="00E46E94">
      <w:pPr>
        <w:pStyle w:val="ListParagraph"/>
        <w:numPr>
          <w:ilvl w:val="0"/>
          <w:numId w:val="16"/>
        </w:numPr>
        <w:spacing w:line="480" w:lineRule="auto"/>
        <w:jc w:val="both"/>
        <w:rPr>
          <w:rFonts w:ascii="Arial" w:hAnsi="Arial" w:cs="Arial"/>
        </w:rPr>
      </w:pPr>
      <w:r w:rsidRPr="008C387C">
        <w:rPr>
          <w:rFonts w:ascii="Arial" w:hAnsi="Arial" w:cs="Arial"/>
        </w:rPr>
        <w:t>Evan M. Mettenbrink – Assisted with nanoparticle synthesis and functionalization, and agarose gel experiments</w:t>
      </w:r>
    </w:p>
    <w:p w14:paraId="6FA77E80" w14:textId="67269C5F" w:rsidR="00E46E94" w:rsidRPr="008C387C" w:rsidRDefault="00E46E94" w:rsidP="00E46E94">
      <w:pPr>
        <w:pStyle w:val="ListParagraph"/>
        <w:numPr>
          <w:ilvl w:val="0"/>
          <w:numId w:val="16"/>
        </w:numPr>
        <w:spacing w:line="480" w:lineRule="auto"/>
        <w:jc w:val="both"/>
        <w:rPr>
          <w:rFonts w:ascii="Arial" w:hAnsi="Arial" w:cs="Arial"/>
        </w:rPr>
      </w:pPr>
      <w:r w:rsidRPr="008C387C">
        <w:rPr>
          <w:rFonts w:ascii="Arial" w:hAnsi="Arial" w:cs="Arial"/>
        </w:rPr>
        <w:t xml:space="preserve">Wen Yang, Lin Wang – Assisted with SDS-PAGE, discussion of data </w:t>
      </w:r>
      <w:r w:rsidR="0000202B" w:rsidRPr="008C387C">
        <w:rPr>
          <w:rFonts w:ascii="Arial" w:hAnsi="Arial" w:cs="Arial"/>
        </w:rPr>
        <w:t>analysis and interpretation</w:t>
      </w:r>
    </w:p>
    <w:p w14:paraId="5CF9799F" w14:textId="60E27EDA" w:rsidR="0000202B" w:rsidRPr="008C387C" w:rsidRDefault="0000202B" w:rsidP="00E46E94">
      <w:pPr>
        <w:pStyle w:val="ListParagraph"/>
        <w:numPr>
          <w:ilvl w:val="0"/>
          <w:numId w:val="16"/>
        </w:numPr>
        <w:spacing w:line="480" w:lineRule="auto"/>
        <w:jc w:val="both"/>
        <w:rPr>
          <w:rFonts w:ascii="Arial" w:hAnsi="Arial" w:cs="Arial"/>
        </w:rPr>
      </w:pPr>
      <w:r w:rsidRPr="008C387C">
        <w:rPr>
          <w:rFonts w:ascii="Arial" w:hAnsi="Arial" w:cs="Arial"/>
        </w:rPr>
        <w:t>Ons M’Saad, Joerg Bewersdorf – Advised on pan</w:t>
      </w:r>
      <w:r w:rsidR="003C512D">
        <w:rPr>
          <w:rFonts w:ascii="Arial" w:hAnsi="Arial" w:cs="Arial"/>
        </w:rPr>
        <w:t>-</w:t>
      </w:r>
      <w:r w:rsidRPr="008C387C">
        <w:rPr>
          <w:rFonts w:ascii="Arial" w:hAnsi="Arial" w:cs="Arial"/>
        </w:rPr>
        <w:t>ExM experiments</w:t>
      </w:r>
    </w:p>
    <w:p w14:paraId="66440720" w14:textId="6945B52D" w:rsidR="0000202B" w:rsidRPr="008C387C" w:rsidRDefault="0000202B" w:rsidP="00E46E94">
      <w:pPr>
        <w:pStyle w:val="ListParagraph"/>
        <w:numPr>
          <w:ilvl w:val="0"/>
          <w:numId w:val="16"/>
        </w:numPr>
        <w:spacing w:line="480" w:lineRule="auto"/>
        <w:jc w:val="both"/>
        <w:rPr>
          <w:rFonts w:ascii="Arial" w:hAnsi="Arial" w:cs="Arial"/>
        </w:rPr>
      </w:pPr>
      <w:r w:rsidRPr="008C387C">
        <w:rPr>
          <w:rFonts w:ascii="Arial" w:hAnsi="Arial" w:cs="Arial"/>
        </w:rPr>
        <w:t>Abigail G. Thomas, Rylee Newport</w:t>
      </w:r>
      <w:r w:rsidR="00F62111" w:rsidRPr="008C387C">
        <w:rPr>
          <w:rFonts w:ascii="Arial" w:hAnsi="Arial" w:cs="Arial"/>
        </w:rPr>
        <w:t xml:space="preserve"> – Assisted with experiments, confocal imaging, data analysis, and figure design </w:t>
      </w:r>
    </w:p>
    <w:p w14:paraId="077C9CCF" w14:textId="6F8CE7D5" w:rsidR="00F62111" w:rsidRPr="008C387C" w:rsidRDefault="00F62111" w:rsidP="00E46E94">
      <w:pPr>
        <w:pStyle w:val="ListParagraph"/>
        <w:numPr>
          <w:ilvl w:val="0"/>
          <w:numId w:val="16"/>
        </w:numPr>
        <w:spacing w:line="480" w:lineRule="auto"/>
        <w:jc w:val="both"/>
        <w:rPr>
          <w:rFonts w:ascii="Arial" w:hAnsi="Arial" w:cs="Arial"/>
        </w:rPr>
      </w:pPr>
      <w:r w:rsidRPr="008C387C">
        <w:rPr>
          <w:rFonts w:ascii="Arial" w:hAnsi="Arial" w:cs="Arial"/>
        </w:rPr>
        <w:t xml:space="preserve">Alex N. </w:t>
      </w:r>
      <w:proofErr w:type="spellStart"/>
      <w:r w:rsidRPr="008C387C">
        <w:rPr>
          <w:rFonts w:ascii="Arial" w:hAnsi="Arial" w:cs="Arial"/>
        </w:rPr>
        <w:t>Frickenstein</w:t>
      </w:r>
      <w:proofErr w:type="spellEnd"/>
      <w:r w:rsidRPr="008C387C">
        <w:rPr>
          <w:rFonts w:ascii="Arial" w:hAnsi="Arial" w:cs="Arial"/>
        </w:rPr>
        <w:t xml:space="preserve">, Nathan D. Donahue, Alyssa Holden – Assisted with ICP-MS experiments </w:t>
      </w:r>
    </w:p>
    <w:p w14:paraId="24D486DE" w14:textId="5A15D4F4" w:rsidR="00F62111" w:rsidRPr="008C387C" w:rsidRDefault="00F62111" w:rsidP="00E46E94">
      <w:pPr>
        <w:pStyle w:val="ListParagraph"/>
        <w:numPr>
          <w:ilvl w:val="0"/>
          <w:numId w:val="16"/>
        </w:numPr>
        <w:spacing w:line="480" w:lineRule="auto"/>
        <w:jc w:val="both"/>
        <w:rPr>
          <w:rFonts w:ascii="Arial" w:hAnsi="Arial" w:cs="Arial"/>
        </w:rPr>
      </w:pPr>
      <w:r w:rsidRPr="008C387C">
        <w:rPr>
          <w:rFonts w:ascii="Arial" w:hAnsi="Arial" w:cs="Arial"/>
        </w:rPr>
        <w:t>Emmy Francek, Alyssa Holden - Assisted with nanoparticle synthesis and functionalization and figure design</w:t>
      </w:r>
    </w:p>
    <w:p w14:paraId="7376674A" w14:textId="0FEA2085" w:rsidR="00F62111" w:rsidRPr="008C387C" w:rsidRDefault="00F62111" w:rsidP="00E46E94">
      <w:pPr>
        <w:pStyle w:val="ListParagraph"/>
        <w:numPr>
          <w:ilvl w:val="0"/>
          <w:numId w:val="16"/>
        </w:numPr>
        <w:spacing w:line="480" w:lineRule="auto"/>
        <w:jc w:val="both"/>
        <w:rPr>
          <w:rFonts w:ascii="Arial" w:hAnsi="Arial" w:cs="Arial"/>
        </w:rPr>
      </w:pPr>
      <w:r w:rsidRPr="008C387C">
        <w:rPr>
          <w:rFonts w:ascii="Arial" w:hAnsi="Arial" w:cs="Arial"/>
        </w:rPr>
        <w:t xml:space="preserve">Nathan </w:t>
      </w:r>
      <w:proofErr w:type="spellStart"/>
      <w:r w:rsidRPr="008C387C">
        <w:rPr>
          <w:rFonts w:ascii="Arial" w:hAnsi="Arial" w:cs="Arial"/>
        </w:rPr>
        <w:t>Mjema</w:t>
      </w:r>
      <w:proofErr w:type="spellEnd"/>
      <w:r w:rsidRPr="008C387C">
        <w:rPr>
          <w:rFonts w:ascii="Arial" w:hAnsi="Arial" w:cs="Arial"/>
        </w:rPr>
        <w:t xml:space="preserve"> – Assisted with nanoparticle synthesis and functionalization and image analysis </w:t>
      </w:r>
    </w:p>
    <w:p w14:paraId="0592C39B" w14:textId="5F870217" w:rsidR="00F62111" w:rsidRPr="008C387C" w:rsidRDefault="00F62111" w:rsidP="00E46E94">
      <w:pPr>
        <w:pStyle w:val="ListParagraph"/>
        <w:numPr>
          <w:ilvl w:val="0"/>
          <w:numId w:val="16"/>
        </w:numPr>
        <w:spacing w:line="480" w:lineRule="auto"/>
        <w:jc w:val="both"/>
        <w:rPr>
          <w:rFonts w:ascii="Arial" w:hAnsi="Arial" w:cs="Arial"/>
        </w:rPr>
      </w:pPr>
      <w:r w:rsidRPr="008C387C">
        <w:rPr>
          <w:rFonts w:ascii="Arial" w:hAnsi="Arial" w:cs="Arial"/>
        </w:rPr>
        <w:t xml:space="preserve">Dixy E. Green, Paul L. DeAngelis </w:t>
      </w:r>
      <w:r w:rsidR="00014F72" w:rsidRPr="008C387C">
        <w:rPr>
          <w:rFonts w:ascii="Arial" w:hAnsi="Arial" w:cs="Arial"/>
        </w:rPr>
        <w:t>–</w:t>
      </w:r>
      <w:r w:rsidRPr="008C387C">
        <w:rPr>
          <w:rFonts w:ascii="Arial" w:hAnsi="Arial" w:cs="Arial"/>
        </w:rPr>
        <w:t xml:space="preserve"> </w:t>
      </w:r>
      <w:r w:rsidR="00014F72" w:rsidRPr="008C387C">
        <w:rPr>
          <w:rFonts w:ascii="Arial" w:hAnsi="Arial" w:cs="Arial"/>
        </w:rPr>
        <w:t>Provided and advised on heparosan</w:t>
      </w:r>
    </w:p>
    <w:p w14:paraId="268A3134" w14:textId="1F0EE83C" w:rsidR="00E46E94" w:rsidRPr="008C387C" w:rsidRDefault="00E46E94" w:rsidP="00E46E94">
      <w:pPr>
        <w:pStyle w:val="ListParagraph"/>
        <w:numPr>
          <w:ilvl w:val="0"/>
          <w:numId w:val="16"/>
        </w:numPr>
        <w:spacing w:line="480" w:lineRule="auto"/>
        <w:jc w:val="both"/>
        <w:rPr>
          <w:rFonts w:ascii="Arial" w:hAnsi="Arial" w:cs="Arial"/>
        </w:rPr>
      </w:pPr>
      <w:r w:rsidRPr="008C387C">
        <w:rPr>
          <w:rFonts w:ascii="Arial" w:hAnsi="Arial" w:cs="Arial"/>
        </w:rPr>
        <w:t xml:space="preserve">Stefan Wilhelm – </w:t>
      </w:r>
      <w:r w:rsidR="008859DE" w:rsidRPr="008C387C">
        <w:rPr>
          <w:rFonts w:ascii="Arial" w:hAnsi="Arial" w:cs="Arial"/>
        </w:rPr>
        <w:t>Project advisor and corresponding author</w:t>
      </w:r>
    </w:p>
    <w:p w14:paraId="06F63B83" w14:textId="77777777" w:rsidR="00014F72" w:rsidRDefault="00014F72" w:rsidP="00CC0FDD">
      <w:pPr>
        <w:spacing w:line="480" w:lineRule="auto"/>
        <w:jc w:val="both"/>
        <w:rPr>
          <w:rFonts w:ascii="Arial" w:hAnsi="Arial" w:cs="Arial"/>
          <w:sz w:val="24"/>
          <w:szCs w:val="24"/>
        </w:rPr>
      </w:pPr>
    </w:p>
    <w:p w14:paraId="1076EE62" w14:textId="5968078B" w:rsidR="00CC0FDD" w:rsidRPr="00CC0FDD" w:rsidRDefault="00BF7D9B" w:rsidP="00CC0FDD">
      <w:pPr>
        <w:spacing w:line="480" w:lineRule="auto"/>
        <w:jc w:val="both"/>
        <w:rPr>
          <w:rFonts w:ascii="Arial" w:hAnsi="Arial" w:cs="Arial"/>
          <w:sz w:val="24"/>
          <w:szCs w:val="24"/>
        </w:rPr>
      </w:pPr>
      <w:r>
        <w:rPr>
          <w:rFonts w:ascii="Arial" w:hAnsi="Arial" w:cs="Arial"/>
          <w:sz w:val="24"/>
          <w:szCs w:val="24"/>
        </w:rPr>
        <w:t xml:space="preserve">Acknowledgements: </w:t>
      </w:r>
      <w:r w:rsidR="00CC0FDD" w:rsidRPr="00CC0FDD">
        <w:rPr>
          <w:rFonts w:ascii="Arial" w:hAnsi="Arial" w:cs="Arial"/>
          <w:sz w:val="24"/>
          <w:szCs w:val="24"/>
        </w:rPr>
        <w:t xml:space="preserve">The authors thank N. </w:t>
      </w:r>
      <w:proofErr w:type="spellStart"/>
      <w:r w:rsidR="00CC0FDD" w:rsidRPr="00CC0FDD">
        <w:rPr>
          <w:rFonts w:ascii="Arial" w:hAnsi="Arial" w:cs="Arial"/>
          <w:sz w:val="24"/>
          <w:szCs w:val="24"/>
        </w:rPr>
        <w:t>Koc</w:t>
      </w:r>
      <w:proofErr w:type="spellEnd"/>
      <w:r w:rsidR="00CC0FDD" w:rsidRPr="00CC0FDD">
        <w:rPr>
          <w:rFonts w:ascii="Arial" w:hAnsi="Arial" w:cs="Arial"/>
          <w:sz w:val="24"/>
          <w:szCs w:val="24"/>
        </w:rPr>
        <w:t xml:space="preserve">, A. Karim, E. Joyce, S. Butterfield, M. Haddad, Y. He, and S. Lyu for their assistance with experiments. We also thank Drs. B. </w:t>
      </w:r>
      <w:r w:rsidR="00CC0FDD" w:rsidRPr="00CC0FDD">
        <w:rPr>
          <w:rFonts w:ascii="Arial" w:hAnsi="Arial" w:cs="Arial"/>
          <w:sz w:val="24"/>
          <w:szCs w:val="24"/>
        </w:rPr>
        <w:lastRenderedPageBreak/>
        <w:t xml:space="preserve">Zheng, T. Gu, S. Foster, and J. Grime as well as B. Fowler, J. Wilge, and J. Crane for their assistance, and the Chen Lab for kindly providing the DC 2.4 cells. We also thank P. Kidd and Dr. Y. Tian for providing training on pan-Expansion Microscopy. Additionally, the authors acknowledge the University of Oklahoma (OU) Samuel Roberts Noble Microscopy Laboratory (SRNML), the OU Mass Spectrometry, Proteomics &amp; Metabolomics (MSPM) Core, the Oklahoma Medical Research Foundation (OMRF) Imaging Core Facility, and the Oklahoma COBRE in Cancer Imaging Research (Oklahoma Center of Medical Imaging for Translational Cancer Research). This work was supported in part by awards from NIH COBRE (P20GM135009), NSF CAREER (2048130), and OCAST HR20-106. J.B. acknowledges support by the </w:t>
      </w:r>
      <w:proofErr w:type="spellStart"/>
      <w:r w:rsidR="00CC0FDD" w:rsidRPr="00CC0FDD">
        <w:rPr>
          <w:rFonts w:ascii="Arial" w:hAnsi="Arial" w:cs="Arial"/>
          <w:sz w:val="24"/>
          <w:szCs w:val="24"/>
        </w:rPr>
        <w:t>Wellcome</w:t>
      </w:r>
      <w:proofErr w:type="spellEnd"/>
      <w:r w:rsidR="00CC0FDD" w:rsidRPr="00CC0FDD">
        <w:rPr>
          <w:rFonts w:ascii="Arial" w:hAnsi="Arial" w:cs="Arial"/>
          <w:sz w:val="24"/>
          <w:szCs w:val="24"/>
        </w:rPr>
        <w:t xml:space="preserve"> Trust (203285/B/16/Z) and NIH (P30 DK045735).</w:t>
      </w:r>
    </w:p>
    <w:p w14:paraId="02BDA2A9" w14:textId="77777777" w:rsidR="00CC0FDD" w:rsidRDefault="00CC0FDD">
      <w:pPr>
        <w:rPr>
          <w:rFonts w:ascii="Arial" w:hAnsi="Arial" w:cs="Arial"/>
          <w:sz w:val="24"/>
          <w:szCs w:val="24"/>
        </w:rPr>
      </w:pPr>
    </w:p>
    <w:p w14:paraId="4015E105" w14:textId="7EBD48ED" w:rsidR="00CC0FDD" w:rsidRDefault="00CC0FDD" w:rsidP="00CC0FDD">
      <w:pPr>
        <w:spacing w:line="480" w:lineRule="auto"/>
        <w:jc w:val="both"/>
        <w:rPr>
          <w:rFonts w:ascii="Arial" w:hAnsi="Arial" w:cs="Arial"/>
          <w:b/>
          <w:bCs/>
          <w:sz w:val="24"/>
          <w:szCs w:val="24"/>
        </w:rPr>
      </w:pPr>
      <w:r w:rsidRPr="00BF7D9B">
        <w:rPr>
          <w:rFonts w:ascii="Arial" w:hAnsi="Arial" w:cs="Arial"/>
          <w:b/>
          <w:bCs/>
          <w:sz w:val="24"/>
          <w:szCs w:val="24"/>
        </w:rPr>
        <w:t xml:space="preserve">Chapters </w:t>
      </w:r>
      <w:r>
        <w:rPr>
          <w:rFonts w:ascii="Arial" w:hAnsi="Arial" w:cs="Arial"/>
          <w:b/>
          <w:bCs/>
          <w:sz w:val="24"/>
          <w:szCs w:val="24"/>
        </w:rPr>
        <w:t>4</w:t>
      </w:r>
      <w:r w:rsidRPr="00BF7D9B">
        <w:rPr>
          <w:rFonts w:ascii="Arial" w:hAnsi="Arial" w:cs="Arial"/>
          <w:b/>
          <w:bCs/>
          <w:sz w:val="24"/>
          <w:szCs w:val="24"/>
        </w:rPr>
        <w:t>:</w:t>
      </w:r>
    </w:p>
    <w:p w14:paraId="22665C6E" w14:textId="3AB0DEDD" w:rsidR="00CC0FDD" w:rsidRDefault="00CC0FDD" w:rsidP="00CC0FDD">
      <w:pPr>
        <w:spacing w:line="480" w:lineRule="auto"/>
        <w:jc w:val="both"/>
        <w:rPr>
          <w:rFonts w:ascii="Arial" w:hAnsi="Arial" w:cs="Arial"/>
          <w:sz w:val="24"/>
          <w:szCs w:val="24"/>
        </w:rPr>
      </w:pPr>
      <w:r>
        <w:rPr>
          <w:rFonts w:ascii="Arial" w:hAnsi="Arial" w:cs="Arial"/>
          <w:sz w:val="24"/>
          <w:szCs w:val="24"/>
        </w:rPr>
        <w:t xml:space="preserve">Authors: </w:t>
      </w:r>
      <w:r w:rsidRPr="00BF7D9B">
        <w:rPr>
          <w:rFonts w:ascii="Arial" w:hAnsi="Arial" w:cs="Arial"/>
          <w:b/>
          <w:bCs/>
          <w:sz w:val="24"/>
          <w:szCs w:val="24"/>
        </w:rPr>
        <w:t>Vinit Sheth</w:t>
      </w:r>
      <w:r>
        <w:rPr>
          <w:rFonts w:ascii="Arial" w:hAnsi="Arial" w:cs="Arial"/>
          <w:b/>
          <w:bCs/>
          <w:sz w:val="24"/>
          <w:szCs w:val="24"/>
        </w:rPr>
        <w:t>*</w:t>
      </w:r>
      <w:r>
        <w:rPr>
          <w:rFonts w:ascii="Arial" w:hAnsi="Arial" w:cs="Arial"/>
          <w:sz w:val="24"/>
          <w:szCs w:val="24"/>
        </w:rPr>
        <w:t>,</w:t>
      </w:r>
      <w:r w:rsidRPr="00BF7D9B">
        <w:rPr>
          <w:rFonts w:ascii="Arial" w:hAnsi="Arial" w:cs="Arial"/>
          <w:sz w:val="24"/>
          <w:szCs w:val="24"/>
        </w:rPr>
        <w:t xml:space="preserve"> Abigail G. Thomas</w:t>
      </w:r>
      <w:r>
        <w:rPr>
          <w:rFonts w:ascii="Arial" w:hAnsi="Arial" w:cs="Arial"/>
          <w:sz w:val="24"/>
          <w:szCs w:val="24"/>
        </w:rPr>
        <w:t>*</w:t>
      </w:r>
      <w:r w:rsidRPr="00BF7D9B">
        <w:rPr>
          <w:rFonts w:ascii="Arial" w:hAnsi="Arial" w:cs="Arial"/>
          <w:sz w:val="24"/>
          <w:szCs w:val="24"/>
        </w:rPr>
        <w:t xml:space="preserve">, </w:t>
      </w:r>
      <w:r>
        <w:rPr>
          <w:rFonts w:ascii="Arial" w:hAnsi="Arial" w:cs="Arial"/>
          <w:sz w:val="24"/>
          <w:szCs w:val="24"/>
        </w:rPr>
        <w:t>Hamilton Young, Amberlynn Demko</w:t>
      </w:r>
      <w:r w:rsidR="009B7B06">
        <w:rPr>
          <w:rFonts w:ascii="Arial" w:hAnsi="Arial" w:cs="Arial"/>
          <w:sz w:val="24"/>
          <w:szCs w:val="24"/>
        </w:rPr>
        <w:t xml:space="preserve">, Lin Wang, </w:t>
      </w:r>
      <w:r w:rsidRPr="00BF7D9B">
        <w:rPr>
          <w:rFonts w:ascii="Arial" w:hAnsi="Arial" w:cs="Arial"/>
          <w:sz w:val="24"/>
          <w:szCs w:val="24"/>
        </w:rPr>
        <w:t>Dixy E. Green, Paul L. DeAngelis,</w:t>
      </w:r>
      <w:r>
        <w:rPr>
          <w:rFonts w:ascii="Arial" w:hAnsi="Arial" w:cs="Arial"/>
          <w:sz w:val="24"/>
          <w:szCs w:val="24"/>
        </w:rPr>
        <w:t xml:space="preserve"> </w:t>
      </w:r>
      <w:r w:rsidRPr="00BF7D9B">
        <w:rPr>
          <w:rFonts w:ascii="Arial" w:hAnsi="Arial" w:cs="Arial"/>
          <w:sz w:val="24"/>
          <w:szCs w:val="24"/>
        </w:rPr>
        <w:t>Stefan Wilhelm</w:t>
      </w:r>
    </w:p>
    <w:p w14:paraId="0CDD3A5D" w14:textId="6DB3EE46" w:rsidR="00CC0FDD" w:rsidRPr="008C387C" w:rsidRDefault="00CC0FDD" w:rsidP="00CC0FDD">
      <w:pPr>
        <w:spacing w:line="480" w:lineRule="auto"/>
        <w:jc w:val="both"/>
        <w:rPr>
          <w:rFonts w:ascii="Arial" w:hAnsi="Arial" w:cs="Arial"/>
          <w:sz w:val="24"/>
          <w:szCs w:val="24"/>
        </w:rPr>
      </w:pPr>
      <w:r w:rsidRPr="008C387C">
        <w:rPr>
          <w:rFonts w:ascii="Arial" w:hAnsi="Arial" w:cs="Arial"/>
          <w:sz w:val="24"/>
          <w:szCs w:val="24"/>
        </w:rPr>
        <w:t>* Denotes equal contribution</w:t>
      </w:r>
    </w:p>
    <w:p w14:paraId="2373C5E9" w14:textId="737B8D74" w:rsidR="00014F72" w:rsidRPr="008C387C" w:rsidRDefault="00014F72" w:rsidP="00014F72">
      <w:pPr>
        <w:pStyle w:val="ListParagraph"/>
        <w:numPr>
          <w:ilvl w:val="0"/>
          <w:numId w:val="16"/>
        </w:numPr>
        <w:spacing w:line="480" w:lineRule="auto"/>
        <w:jc w:val="both"/>
        <w:rPr>
          <w:rFonts w:ascii="Arial" w:hAnsi="Arial" w:cs="Arial"/>
        </w:rPr>
      </w:pPr>
      <w:r w:rsidRPr="008C387C">
        <w:rPr>
          <w:rFonts w:ascii="Arial" w:hAnsi="Arial" w:cs="Arial"/>
        </w:rPr>
        <w:t>Vinit Sheth* – Project lead, primary experiment coordinator and performer, primary writer</w:t>
      </w:r>
    </w:p>
    <w:p w14:paraId="599B023B" w14:textId="40B87D6D" w:rsidR="00014F72" w:rsidRPr="008C387C" w:rsidRDefault="00014F72" w:rsidP="00014F72">
      <w:pPr>
        <w:pStyle w:val="ListParagraph"/>
        <w:numPr>
          <w:ilvl w:val="0"/>
          <w:numId w:val="16"/>
        </w:numPr>
        <w:spacing w:line="480" w:lineRule="auto"/>
        <w:jc w:val="both"/>
        <w:rPr>
          <w:rFonts w:ascii="Arial" w:hAnsi="Arial" w:cs="Arial"/>
        </w:rPr>
      </w:pPr>
      <w:r w:rsidRPr="008C387C">
        <w:rPr>
          <w:rFonts w:ascii="Arial" w:hAnsi="Arial" w:cs="Arial"/>
        </w:rPr>
        <w:t xml:space="preserve">Abigail G. Thomas* - </w:t>
      </w:r>
      <w:r w:rsidR="00723363" w:rsidRPr="008C387C">
        <w:rPr>
          <w:rFonts w:ascii="Arial" w:hAnsi="Arial" w:cs="Arial"/>
        </w:rPr>
        <w:t>Original investigator in visualizing liposomes with Magnify, assisted in method development and liposome synthesis</w:t>
      </w:r>
    </w:p>
    <w:p w14:paraId="7347F38D" w14:textId="77777777" w:rsidR="00723363" w:rsidRPr="008C387C" w:rsidRDefault="00723363" w:rsidP="00014F72">
      <w:pPr>
        <w:pStyle w:val="ListParagraph"/>
        <w:numPr>
          <w:ilvl w:val="0"/>
          <w:numId w:val="16"/>
        </w:numPr>
        <w:spacing w:line="480" w:lineRule="auto"/>
        <w:jc w:val="both"/>
        <w:rPr>
          <w:rFonts w:ascii="Arial" w:hAnsi="Arial" w:cs="Arial"/>
        </w:rPr>
      </w:pPr>
      <w:r w:rsidRPr="008C387C">
        <w:rPr>
          <w:rFonts w:ascii="Arial" w:hAnsi="Arial" w:cs="Arial"/>
        </w:rPr>
        <w:t>Hamilton Young, Amberlynn Demko – established liposome synthesis protocol, and assisted with liposome synthesis</w:t>
      </w:r>
    </w:p>
    <w:p w14:paraId="0ECCB548" w14:textId="1B3DFA94" w:rsidR="00723363" w:rsidRPr="008C387C" w:rsidRDefault="00723363" w:rsidP="00014F72">
      <w:pPr>
        <w:pStyle w:val="ListParagraph"/>
        <w:numPr>
          <w:ilvl w:val="0"/>
          <w:numId w:val="16"/>
        </w:numPr>
        <w:spacing w:line="480" w:lineRule="auto"/>
        <w:jc w:val="both"/>
        <w:rPr>
          <w:rFonts w:ascii="Arial" w:hAnsi="Arial" w:cs="Arial"/>
        </w:rPr>
      </w:pPr>
      <w:r w:rsidRPr="008C387C">
        <w:rPr>
          <w:rFonts w:ascii="Arial" w:hAnsi="Arial" w:cs="Arial"/>
        </w:rPr>
        <w:lastRenderedPageBreak/>
        <w:t xml:space="preserve">Lin Wang - </w:t>
      </w:r>
      <w:r w:rsidR="009641BA" w:rsidRPr="008C387C">
        <w:rPr>
          <w:rFonts w:ascii="Arial" w:hAnsi="Arial" w:cs="Arial"/>
        </w:rPr>
        <w:t>Assisted with agarose gel electrophoresis experiments</w:t>
      </w:r>
    </w:p>
    <w:p w14:paraId="7B84C4B4" w14:textId="77777777" w:rsidR="009641BA" w:rsidRPr="008C387C" w:rsidRDefault="009641BA" w:rsidP="009641BA">
      <w:pPr>
        <w:pStyle w:val="ListParagraph"/>
        <w:numPr>
          <w:ilvl w:val="0"/>
          <w:numId w:val="16"/>
        </w:numPr>
        <w:spacing w:line="480" w:lineRule="auto"/>
        <w:jc w:val="both"/>
        <w:rPr>
          <w:rFonts w:ascii="Arial" w:hAnsi="Arial" w:cs="Arial"/>
        </w:rPr>
      </w:pPr>
      <w:r w:rsidRPr="008C387C">
        <w:rPr>
          <w:rFonts w:ascii="Arial" w:hAnsi="Arial" w:cs="Arial"/>
        </w:rPr>
        <w:t>Dixy E. Green, Paul L. DeAngelis – Provided and advised on heparosan</w:t>
      </w:r>
    </w:p>
    <w:p w14:paraId="485EAFB3" w14:textId="77777777" w:rsidR="008859DE" w:rsidRPr="008C387C" w:rsidRDefault="009641BA" w:rsidP="008859DE">
      <w:pPr>
        <w:pStyle w:val="ListParagraph"/>
        <w:numPr>
          <w:ilvl w:val="0"/>
          <w:numId w:val="16"/>
        </w:numPr>
        <w:spacing w:line="480" w:lineRule="auto"/>
        <w:jc w:val="both"/>
        <w:rPr>
          <w:rFonts w:ascii="Arial" w:hAnsi="Arial" w:cs="Arial"/>
        </w:rPr>
      </w:pPr>
      <w:r w:rsidRPr="008C387C">
        <w:rPr>
          <w:rFonts w:ascii="Arial" w:hAnsi="Arial" w:cs="Arial"/>
        </w:rPr>
        <w:t xml:space="preserve">Stefan Wilhelm – </w:t>
      </w:r>
      <w:r w:rsidR="008859DE" w:rsidRPr="008C387C">
        <w:rPr>
          <w:rFonts w:ascii="Arial" w:hAnsi="Arial" w:cs="Arial"/>
        </w:rPr>
        <w:t>Project advisor and corresponding author</w:t>
      </w:r>
    </w:p>
    <w:p w14:paraId="06631D9D" w14:textId="7387487B" w:rsidR="00014F72" w:rsidRPr="008C387C" w:rsidRDefault="00014F72" w:rsidP="008859DE">
      <w:pPr>
        <w:pStyle w:val="ListParagraph"/>
        <w:spacing w:line="480" w:lineRule="auto"/>
        <w:jc w:val="both"/>
        <w:rPr>
          <w:rFonts w:ascii="Arial" w:hAnsi="Arial" w:cs="Arial"/>
        </w:rPr>
      </w:pPr>
    </w:p>
    <w:p w14:paraId="1DAA3107" w14:textId="3C3B2224" w:rsidR="009B7B06" w:rsidRPr="00CC0FDD" w:rsidRDefault="00CC0FDD" w:rsidP="009B7B06">
      <w:pPr>
        <w:spacing w:line="480" w:lineRule="auto"/>
        <w:jc w:val="both"/>
        <w:rPr>
          <w:rFonts w:ascii="Arial" w:hAnsi="Arial" w:cs="Arial"/>
          <w:sz w:val="24"/>
          <w:szCs w:val="24"/>
        </w:rPr>
      </w:pPr>
      <w:r w:rsidRPr="008C387C">
        <w:rPr>
          <w:rFonts w:ascii="Arial" w:hAnsi="Arial" w:cs="Arial"/>
          <w:sz w:val="24"/>
          <w:szCs w:val="24"/>
        </w:rPr>
        <w:t xml:space="preserve">Acknowledgements: </w:t>
      </w:r>
      <w:r w:rsidR="009B7B06" w:rsidRPr="008C387C">
        <w:rPr>
          <w:rFonts w:ascii="Arial" w:hAnsi="Arial" w:cs="Arial"/>
          <w:sz w:val="24"/>
          <w:szCs w:val="24"/>
        </w:rPr>
        <w:t>The authors thank S. Butterfield, M. Jamei, and Y. He, for their assistance with experiments. We also thank B. Fowler, J. Wilge, and J. Crane for their</w:t>
      </w:r>
      <w:r w:rsidR="009B7B06" w:rsidRPr="00CC0FDD">
        <w:rPr>
          <w:rFonts w:ascii="Arial" w:hAnsi="Arial" w:cs="Arial"/>
          <w:sz w:val="24"/>
          <w:szCs w:val="24"/>
        </w:rPr>
        <w:t xml:space="preserve"> assistance. Additionally, the authors acknowledge the Oklahoma Medical Research Foundation (OMRF) Imaging Core Facility, and the Oklahoma COBRE in Cancer Imaging Research (Oklahoma Center of Medical Imaging for Translational Cancer Research). This work was supported in part by awards from NIH COBRE (P20GM135009), NSF CAREER (2048130</w:t>
      </w:r>
      <w:r w:rsidR="00355AA7">
        <w:rPr>
          <w:rFonts w:ascii="Arial" w:hAnsi="Arial" w:cs="Arial"/>
          <w:sz w:val="24"/>
          <w:szCs w:val="24"/>
        </w:rPr>
        <w:t>), and NIH R35 MIRA (R35GM150758)</w:t>
      </w:r>
    </w:p>
    <w:p w14:paraId="3DA3D1F6" w14:textId="2527AB84" w:rsidR="00CC0FDD" w:rsidRDefault="00CC0FDD" w:rsidP="00CC0FDD">
      <w:pPr>
        <w:rPr>
          <w:rFonts w:ascii="Arial" w:hAnsi="Arial" w:cs="Arial"/>
          <w:sz w:val="24"/>
          <w:szCs w:val="24"/>
        </w:rPr>
      </w:pPr>
      <w:r>
        <w:rPr>
          <w:rFonts w:ascii="Arial" w:hAnsi="Arial" w:cs="Arial"/>
          <w:sz w:val="24"/>
          <w:szCs w:val="24"/>
        </w:rPr>
        <w:br w:type="page"/>
      </w:r>
    </w:p>
    <w:p w14:paraId="3DA2192E" w14:textId="4C149588" w:rsidR="00D81284" w:rsidRDefault="00D81284" w:rsidP="004C65B2">
      <w:pPr>
        <w:pStyle w:val="Heading1"/>
      </w:pPr>
      <w:bookmarkStart w:id="128" w:name="_Toc151032457"/>
      <w:r>
        <w:lastRenderedPageBreak/>
        <w:t xml:space="preserve">Appendix </w:t>
      </w:r>
      <w:r w:rsidR="006F3EEA">
        <w:t>E</w:t>
      </w:r>
      <w:r>
        <w:t>: Permissions</w:t>
      </w:r>
      <w:bookmarkEnd w:id="128"/>
    </w:p>
    <w:p w14:paraId="148EB64D" w14:textId="77777777" w:rsidR="00355AA7" w:rsidRDefault="00355AA7" w:rsidP="00D81284">
      <w:pPr>
        <w:spacing w:line="240" w:lineRule="auto"/>
        <w:jc w:val="both"/>
        <w:rPr>
          <w:rFonts w:ascii="Arial" w:hAnsi="Arial" w:cs="Arial"/>
          <w:b/>
          <w:bCs/>
          <w:sz w:val="24"/>
          <w:szCs w:val="24"/>
        </w:rPr>
      </w:pPr>
    </w:p>
    <w:p w14:paraId="23B12AD7" w14:textId="1D73E908" w:rsidR="00D81284" w:rsidRDefault="00D81284" w:rsidP="00D81284">
      <w:pPr>
        <w:spacing w:line="240" w:lineRule="auto"/>
        <w:jc w:val="both"/>
        <w:rPr>
          <w:rFonts w:ascii="Arial" w:hAnsi="Arial" w:cs="Arial"/>
          <w:b/>
          <w:bCs/>
          <w:sz w:val="24"/>
          <w:szCs w:val="24"/>
        </w:rPr>
      </w:pPr>
      <w:r w:rsidRPr="002E22D3">
        <w:rPr>
          <w:rFonts w:ascii="Arial" w:hAnsi="Arial" w:cs="Arial"/>
          <w:b/>
          <w:bCs/>
          <w:sz w:val="24"/>
          <w:szCs w:val="24"/>
        </w:rPr>
        <w:t>Right to Reuse for Chapter 1</w:t>
      </w:r>
    </w:p>
    <w:p w14:paraId="17DCCCC4" w14:textId="52DBBB52" w:rsidR="002E22D3" w:rsidRPr="002E22D3" w:rsidRDefault="002E22D3" w:rsidP="00D81284">
      <w:pPr>
        <w:spacing w:line="240" w:lineRule="auto"/>
        <w:jc w:val="both"/>
        <w:rPr>
          <w:rFonts w:ascii="Arial" w:hAnsi="Arial" w:cs="Arial"/>
          <w:sz w:val="24"/>
          <w:szCs w:val="24"/>
        </w:rPr>
      </w:pPr>
      <w:r w:rsidRPr="002E22D3">
        <w:rPr>
          <w:rFonts w:ascii="Arial" w:hAnsi="Arial" w:cs="Arial"/>
          <w:sz w:val="24"/>
          <w:szCs w:val="24"/>
        </w:rPr>
        <w:t>Used with permission of John Wiley &amp; Sons - Books, from Strategies for Delivering</w:t>
      </w:r>
      <w:r>
        <w:rPr>
          <w:rFonts w:ascii="Arial" w:hAnsi="Arial" w:cs="Arial"/>
          <w:sz w:val="24"/>
          <w:szCs w:val="24"/>
        </w:rPr>
        <w:t xml:space="preserve"> </w:t>
      </w:r>
      <w:r w:rsidRPr="002E22D3">
        <w:rPr>
          <w:rFonts w:ascii="Arial" w:hAnsi="Arial" w:cs="Arial"/>
          <w:sz w:val="24"/>
          <w:szCs w:val="24"/>
        </w:rPr>
        <w:t>Nanoparticles across</w:t>
      </w:r>
      <w:r>
        <w:rPr>
          <w:rFonts w:ascii="Arial" w:hAnsi="Arial" w:cs="Arial"/>
          <w:sz w:val="24"/>
          <w:szCs w:val="24"/>
        </w:rPr>
        <w:t xml:space="preserve"> </w:t>
      </w:r>
      <w:r w:rsidRPr="002E22D3">
        <w:rPr>
          <w:rFonts w:ascii="Arial" w:hAnsi="Arial" w:cs="Arial"/>
          <w:sz w:val="24"/>
          <w:szCs w:val="24"/>
        </w:rPr>
        <w:t>Tumor Blood Vessels, Sheth, Vinit; Wang, Lin;</w:t>
      </w:r>
      <w:r>
        <w:rPr>
          <w:rFonts w:ascii="Arial" w:hAnsi="Arial" w:cs="Arial"/>
          <w:sz w:val="24"/>
          <w:szCs w:val="24"/>
        </w:rPr>
        <w:t xml:space="preserve"> </w:t>
      </w:r>
      <w:r w:rsidRPr="002E22D3">
        <w:rPr>
          <w:rFonts w:ascii="Arial" w:hAnsi="Arial" w:cs="Arial"/>
          <w:sz w:val="24"/>
          <w:szCs w:val="24"/>
        </w:rPr>
        <w:t>Bhattacharya, Resham;</w:t>
      </w:r>
      <w:r>
        <w:rPr>
          <w:rFonts w:ascii="Arial" w:hAnsi="Arial" w:cs="Arial"/>
          <w:sz w:val="24"/>
          <w:szCs w:val="24"/>
        </w:rPr>
        <w:t xml:space="preserve"> </w:t>
      </w:r>
      <w:r w:rsidRPr="002E22D3">
        <w:rPr>
          <w:rFonts w:ascii="Arial" w:hAnsi="Arial" w:cs="Arial"/>
          <w:sz w:val="24"/>
          <w:szCs w:val="24"/>
        </w:rPr>
        <w:t>Mukherjee, Priyabrata;</w:t>
      </w:r>
      <w:r>
        <w:rPr>
          <w:rFonts w:ascii="Arial" w:hAnsi="Arial" w:cs="Arial"/>
          <w:sz w:val="24"/>
          <w:szCs w:val="24"/>
        </w:rPr>
        <w:t xml:space="preserve"> </w:t>
      </w:r>
      <w:r w:rsidRPr="002E22D3">
        <w:rPr>
          <w:rFonts w:ascii="Arial" w:hAnsi="Arial" w:cs="Arial"/>
          <w:sz w:val="24"/>
          <w:szCs w:val="24"/>
        </w:rPr>
        <w:t xml:space="preserve">Wilhelm, Stefan, </w:t>
      </w:r>
      <w:r>
        <w:rPr>
          <w:rFonts w:ascii="Arial" w:hAnsi="Arial" w:cs="Arial"/>
          <w:sz w:val="24"/>
          <w:szCs w:val="24"/>
        </w:rPr>
        <w:t>31</w:t>
      </w:r>
      <w:r w:rsidRPr="002E22D3">
        <w:rPr>
          <w:rFonts w:ascii="Arial" w:hAnsi="Arial" w:cs="Arial"/>
          <w:sz w:val="24"/>
          <w:szCs w:val="24"/>
        </w:rPr>
        <w:t xml:space="preserve">, </w:t>
      </w:r>
      <w:r>
        <w:rPr>
          <w:rFonts w:ascii="Arial" w:hAnsi="Arial" w:cs="Arial"/>
          <w:sz w:val="24"/>
          <w:szCs w:val="24"/>
        </w:rPr>
        <w:t>2020</w:t>
      </w:r>
      <w:r w:rsidRPr="002E22D3">
        <w:rPr>
          <w:rFonts w:ascii="Arial" w:hAnsi="Arial" w:cs="Arial"/>
          <w:sz w:val="24"/>
          <w:szCs w:val="24"/>
        </w:rPr>
        <w:t>; permission conveyed through Copyright Clearance Center, Inc.</w:t>
      </w:r>
    </w:p>
    <w:p w14:paraId="08CEC63A" w14:textId="55584D61" w:rsidR="00D81284" w:rsidRDefault="00D81284" w:rsidP="00D81284">
      <w:pPr>
        <w:spacing w:line="240" w:lineRule="auto"/>
        <w:jc w:val="both"/>
        <w:rPr>
          <w:rFonts w:ascii="Arial" w:hAnsi="Arial" w:cs="Arial"/>
          <w:b/>
          <w:bCs/>
          <w:sz w:val="24"/>
          <w:szCs w:val="24"/>
        </w:rPr>
      </w:pPr>
      <w:r>
        <w:rPr>
          <w:rFonts w:ascii="Arial" w:hAnsi="Arial" w:cs="Arial"/>
          <w:b/>
          <w:bCs/>
          <w:sz w:val="24"/>
          <w:szCs w:val="24"/>
        </w:rPr>
        <w:t>Right to Reuse for Chapters 2 and 3</w:t>
      </w:r>
    </w:p>
    <w:p w14:paraId="2B49B849" w14:textId="4744E065" w:rsidR="00D81284" w:rsidRPr="00504576" w:rsidRDefault="00504576" w:rsidP="00D81284">
      <w:pPr>
        <w:spacing w:line="240" w:lineRule="auto"/>
        <w:jc w:val="both"/>
        <w:rPr>
          <w:rFonts w:ascii="Arial" w:hAnsi="Arial" w:cs="Arial"/>
          <w:sz w:val="24"/>
          <w:szCs w:val="24"/>
        </w:rPr>
      </w:pPr>
      <w:r>
        <w:rPr>
          <w:rFonts w:ascii="Arial" w:hAnsi="Arial" w:cs="Arial"/>
          <w:sz w:val="24"/>
          <w:szCs w:val="24"/>
        </w:rPr>
        <w:t xml:space="preserve">Reprinted (adapted) with permission from </w:t>
      </w:r>
      <w:r w:rsidRPr="00504576">
        <w:rPr>
          <w:rFonts w:ascii="Arial" w:hAnsi="Arial" w:cs="Arial"/>
          <w:sz w:val="24"/>
          <w:szCs w:val="24"/>
        </w:rPr>
        <w:t xml:space="preserve">Sheth, V.; Chen, X.; Mettenbrink, E. M.; Yang, W.; Jones, M. A.; M’Saad, O.; Thomas, A. G.; Newport, R. S.; Francek, E.; Wang, L.; </w:t>
      </w:r>
      <w:proofErr w:type="spellStart"/>
      <w:r w:rsidRPr="00504576">
        <w:rPr>
          <w:rFonts w:ascii="Arial" w:hAnsi="Arial" w:cs="Arial"/>
          <w:sz w:val="24"/>
          <w:szCs w:val="24"/>
        </w:rPr>
        <w:t>Frickenstein</w:t>
      </w:r>
      <w:proofErr w:type="spellEnd"/>
      <w:r w:rsidRPr="00504576">
        <w:rPr>
          <w:rFonts w:ascii="Arial" w:hAnsi="Arial" w:cs="Arial"/>
          <w:sz w:val="24"/>
          <w:szCs w:val="24"/>
        </w:rPr>
        <w:t xml:space="preserve">, A. N.; Donahue, N. D.; Holden, A.; </w:t>
      </w:r>
      <w:proofErr w:type="spellStart"/>
      <w:r w:rsidRPr="00504576">
        <w:rPr>
          <w:rFonts w:ascii="Arial" w:hAnsi="Arial" w:cs="Arial"/>
          <w:sz w:val="24"/>
          <w:szCs w:val="24"/>
        </w:rPr>
        <w:t>Mjema</w:t>
      </w:r>
      <w:proofErr w:type="spellEnd"/>
      <w:r w:rsidRPr="00504576">
        <w:rPr>
          <w:rFonts w:ascii="Arial" w:hAnsi="Arial" w:cs="Arial"/>
          <w:sz w:val="24"/>
          <w:szCs w:val="24"/>
        </w:rPr>
        <w:t xml:space="preserve">, N. F.; Green, D. E.; DeAngelis, P. L.; Bewersdorf, J.; Wilhelm, S. Quantifying Intracellular Nanoparticle Distributions with Three-Dimensional Super-Resolution Microscopy. ACS Nano 2023, 17 (9), 8376–8392. </w:t>
      </w:r>
      <w:hyperlink r:id="rId51" w:history="1">
        <w:r w:rsidRPr="004A7157">
          <w:rPr>
            <w:rStyle w:val="Hyperlink"/>
            <w:rFonts w:ascii="Arial" w:hAnsi="Arial" w:cs="Arial"/>
            <w:sz w:val="24"/>
            <w:szCs w:val="24"/>
          </w:rPr>
          <w:t>https://doi.org/10.1021/acsnano.2c12808</w:t>
        </w:r>
      </w:hyperlink>
      <w:r w:rsidRPr="00504576">
        <w:rPr>
          <w:rFonts w:ascii="Arial" w:hAnsi="Arial" w:cs="Arial"/>
          <w:sz w:val="24"/>
          <w:szCs w:val="24"/>
        </w:rPr>
        <w:t>.</w:t>
      </w:r>
      <w:r>
        <w:rPr>
          <w:rFonts w:ascii="Arial" w:hAnsi="Arial" w:cs="Arial"/>
          <w:sz w:val="24"/>
          <w:szCs w:val="24"/>
        </w:rPr>
        <w:t>, Copyright 2023 American Chemical Society</w:t>
      </w:r>
    </w:p>
    <w:p w14:paraId="6174E9F7" w14:textId="77777777" w:rsidR="004A2E41" w:rsidRPr="004A2E41" w:rsidRDefault="004A2E41" w:rsidP="004A2E41">
      <w:pPr>
        <w:spacing w:line="240" w:lineRule="auto"/>
        <w:jc w:val="both"/>
        <w:rPr>
          <w:rFonts w:ascii="Arial" w:hAnsi="Arial" w:cs="Arial"/>
          <w:b/>
          <w:bCs/>
          <w:sz w:val="24"/>
          <w:szCs w:val="24"/>
        </w:rPr>
      </w:pPr>
    </w:p>
    <w:sectPr w:rsidR="004A2E41" w:rsidRPr="004A2E41" w:rsidSect="00403195">
      <w:footerReference w:type="default" r:id="rId5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B482B" w14:textId="77777777" w:rsidR="00843852" w:rsidRDefault="00843852">
      <w:pPr>
        <w:spacing w:after="0" w:line="240" w:lineRule="auto"/>
      </w:pPr>
      <w:r>
        <w:separator/>
      </w:r>
    </w:p>
  </w:endnote>
  <w:endnote w:type="continuationSeparator" w:id="0">
    <w:p w14:paraId="7CB99962" w14:textId="77777777" w:rsidR="00843852" w:rsidRDefault="00843852">
      <w:pPr>
        <w:spacing w:after="0" w:line="240" w:lineRule="auto"/>
      </w:pPr>
      <w:r>
        <w:continuationSeparator/>
      </w:r>
    </w:p>
  </w:endnote>
  <w:endnote w:type="continuationNotice" w:id="1">
    <w:p w14:paraId="29CE7100" w14:textId="77777777" w:rsidR="00843852" w:rsidRDefault="008438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EAEB" w14:textId="4562D1C3" w:rsidR="0060760A" w:rsidRDefault="0060760A" w:rsidP="0060760A">
    <w:pPr>
      <w:pStyle w:val="Footer"/>
    </w:pPr>
  </w:p>
  <w:p w14:paraId="5E2F117F" w14:textId="11E415E5" w:rsidR="003F4032" w:rsidRDefault="003F403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616284"/>
      <w:docPartObj>
        <w:docPartGallery w:val="Page Numbers (Bottom of Page)"/>
        <w:docPartUnique/>
      </w:docPartObj>
    </w:sdtPr>
    <w:sdtEndPr>
      <w:rPr>
        <w:noProof/>
      </w:rPr>
    </w:sdtEndPr>
    <w:sdtContent>
      <w:p w14:paraId="30A7CEDF" w14:textId="77777777" w:rsidR="0060760A" w:rsidRDefault="006076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B7FBE8" w14:textId="77777777" w:rsidR="0060760A" w:rsidRDefault="0060760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478421"/>
      <w:docPartObj>
        <w:docPartGallery w:val="Page Numbers (Bottom of Page)"/>
        <w:docPartUnique/>
      </w:docPartObj>
    </w:sdtPr>
    <w:sdtEndPr>
      <w:rPr>
        <w:noProof/>
      </w:rPr>
    </w:sdtEndPr>
    <w:sdtContent>
      <w:p w14:paraId="656EE0B9" w14:textId="77777777" w:rsidR="0060760A" w:rsidRDefault="006076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B0162F" w14:textId="77777777" w:rsidR="0060760A" w:rsidRDefault="0060760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22CB" w14:textId="77777777" w:rsidR="00843852" w:rsidRDefault="00843852">
      <w:pPr>
        <w:spacing w:after="0" w:line="240" w:lineRule="auto"/>
      </w:pPr>
      <w:r>
        <w:separator/>
      </w:r>
    </w:p>
  </w:footnote>
  <w:footnote w:type="continuationSeparator" w:id="0">
    <w:p w14:paraId="4190F876" w14:textId="77777777" w:rsidR="00843852" w:rsidRDefault="00843852">
      <w:pPr>
        <w:spacing w:after="0" w:line="240" w:lineRule="auto"/>
      </w:pPr>
      <w:r>
        <w:continuationSeparator/>
      </w:r>
    </w:p>
  </w:footnote>
  <w:footnote w:type="continuationNotice" w:id="1">
    <w:p w14:paraId="04C20F4E" w14:textId="77777777" w:rsidR="00843852" w:rsidRDefault="008438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526A"/>
    <w:multiLevelType w:val="multilevel"/>
    <w:tmpl w:val="E97A9B8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E5C1378"/>
    <w:multiLevelType w:val="multilevel"/>
    <w:tmpl w:val="33221F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410579"/>
    <w:multiLevelType w:val="hybridMultilevel"/>
    <w:tmpl w:val="1A129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7D7DBE"/>
    <w:multiLevelType w:val="hybridMultilevel"/>
    <w:tmpl w:val="7F42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67BC3"/>
    <w:multiLevelType w:val="hybridMultilevel"/>
    <w:tmpl w:val="5EECF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28026F"/>
    <w:multiLevelType w:val="hybridMultilevel"/>
    <w:tmpl w:val="7A8A7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C3D33"/>
    <w:multiLevelType w:val="hybridMultilevel"/>
    <w:tmpl w:val="0B7CE912"/>
    <w:lvl w:ilvl="0" w:tplc="01929BAE">
      <w:start w:val="1"/>
      <w:numFmt w:val="decimal"/>
      <w:lvlText w:val="%1."/>
      <w:lvlJc w:val="left"/>
      <w:pPr>
        <w:ind w:left="720" w:hanging="360"/>
      </w:pPr>
    </w:lvl>
    <w:lvl w:ilvl="1" w:tplc="FC609FAE">
      <w:start w:val="2"/>
      <w:numFmt w:val="decimal"/>
      <w:lvlText w:val="%2."/>
      <w:lvlJc w:val="left"/>
      <w:pPr>
        <w:ind w:left="1440" w:hanging="360"/>
      </w:pPr>
    </w:lvl>
    <w:lvl w:ilvl="2" w:tplc="7D6AB834">
      <w:start w:val="1"/>
      <w:numFmt w:val="lowerRoman"/>
      <w:lvlText w:val="%3."/>
      <w:lvlJc w:val="right"/>
      <w:pPr>
        <w:ind w:left="2160" w:hanging="180"/>
      </w:pPr>
    </w:lvl>
    <w:lvl w:ilvl="3" w:tplc="3140E6D8">
      <w:start w:val="1"/>
      <w:numFmt w:val="decimal"/>
      <w:lvlText w:val="%4."/>
      <w:lvlJc w:val="left"/>
      <w:pPr>
        <w:ind w:left="2880" w:hanging="360"/>
      </w:pPr>
    </w:lvl>
    <w:lvl w:ilvl="4" w:tplc="74E27E78">
      <w:start w:val="1"/>
      <w:numFmt w:val="lowerLetter"/>
      <w:lvlText w:val="%5."/>
      <w:lvlJc w:val="left"/>
      <w:pPr>
        <w:ind w:left="3600" w:hanging="360"/>
      </w:pPr>
    </w:lvl>
    <w:lvl w:ilvl="5" w:tplc="669CCC58">
      <w:start w:val="1"/>
      <w:numFmt w:val="lowerRoman"/>
      <w:lvlText w:val="%6."/>
      <w:lvlJc w:val="right"/>
      <w:pPr>
        <w:ind w:left="4320" w:hanging="180"/>
      </w:pPr>
    </w:lvl>
    <w:lvl w:ilvl="6" w:tplc="ECDC73AA">
      <w:start w:val="1"/>
      <w:numFmt w:val="decimal"/>
      <w:lvlText w:val="%7."/>
      <w:lvlJc w:val="left"/>
      <w:pPr>
        <w:ind w:left="5040" w:hanging="360"/>
      </w:pPr>
    </w:lvl>
    <w:lvl w:ilvl="7" w:tplc="D7A2FF90">
      <w:start w:val="1"/>
      <w:numFmt w:val="lowerLetter"/>
      <w:lvlText w:val="%8."/>
      <w:lvlJc w:val="left"/>
      <w:pPr>
        <w:ind w:left="5760" w:hanging="360"/>
      </w:pPr>
    </w:lvl>
    <w:lvl w:ilvl="8" w:tplc="D7209FF2">
      <w:start w:val="1"/>
      <w:numFmt w:val="lowerRoman"/>
      <w:lvlText w:val="%9."/>
      <w:lvlJc w:val="right"/>
      <w:pPr>
        <w:ind w:left="6480" w:hanging="180"/>
      </w:pPr>
    </w:lvl>
  </w:abstractNum>
  <w:abstractNum w:abstractNumId="7" w15:restartNumberingAfterBreak="0">
    <w:nsid w:val="5F5A560E"/>
    <w:multiLevelType w:val="hybridMultilevel"/>
    <w:tmpl w:val="32461C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2563864"/>
    <w:multiLevelType w:val="hybridMultilevel"/>
    <w:tmpl w:val="344245E0"/>
    <w:lvl w:ilvl="0" w:tplc="2B5486A0">
      <w:start w:val="1"/>
      <w:numFmt w:val="decimal"/>
      <w:lvlText w:val="%1."/>
      <w:lvlJc w:val="left"/>
      <w:pPr>
        <w:ind w:left="720" w:hanging="360"/>
      </w:pPr>
    </w:lvl>
    <w:lvl w:ilvl="1" w:tplc="271A69A8">
      <w:start w:val="1"/>
      <w:numFmt w:val="decimal"/>
      <w:lvlText w:val="%2."/>
      <w:lvlJc w:val="left"/>
      <w:pPr>
        <w:ind w:left="1440" w:hanging="360"/>
      </w:pPr>
    </w:lvl>
    <w:lvl w:ilvl="2" w:tplc="B7361020">
      <w:start w:val="1"/>
      <w:numFmt w:val="lowerRoman"/>
      <w:lvlText w:val="%3."/>
      <w:lvlJc w:val="right"/>
      <w:pPr>
        <w:ind w:left="2160" w:hanging="180"/>
      </w:pPr>
    </w:lvl>
    <w:lvl w:ilvl="3" w:tplc="0DDAB9FC">
      <w:start w:val="1"/>
      <w:numFmt w:val="decimal"/>
      <w:lvlText w:val="%4."/>
      <w:lvlJc w:val="left"/>
      <w:pPr>
        <w:ind w:left="2880" w:hanging="360"/>
      </w:pPr>
    </w:lvl>
    <w:lvl w:ilvl="4" w:tplc="7C84419C">
      <w:start w:val="1"/>
      <w:numFmt w:val="lowerLetter"/>
      <w:lvlText w:val="%5."/>
      <w:lvlJc w:val="left"/>
      <w:pPr>
        <w:ind w:left="3600" w:hanging="360"/>
      </w:pPr>
    </w:lvl>
    <w:lvl w:ilvl="5" w:tplc="5994DC20">
      <w:start w:val="1"/>
      <w:numFmt w:val="lowerRoman"/>
      <w:lvlText w:val="%6."/>
      <w:lvlJc w:val="right"/>
      <w:pPr>
        <w:ind w:left="4320" w:hanging="180"/>
      </w:pPr>
    </w:lvl>
    <w:lvl w:ilvl="6" w:tplc="68BAFE94">
      <w:start w:val="1"/>
      <w:numFmt w:val="decimal"/>
      <w:lvlText w:val="%7."/>
      <w:lvlJc w:val="left"/>
      <w:pPr>
        <w:ind w:left="5040" w:hanging="360"/>
      </w:pPr>
    </w:lvl>
    <w:lvl w:ilvl="7" w:tplc="176860E8">
      <w:start w:val="1"/>
      <w:numFmt w:val="lowerLetter"/>
      <w:lvlText w:val="%8."/>
      <w:lvlJc w:val="left"/>
      <w:pPr>
        <w:ind w:left="5760" w:hanging="360"/>
      </w:pPr>
    </w:lvl>
    <w:lvl w:ilvl="8" w:tplc="3A7E4EF8">
      <w:start w:val="1"/>
      <w:numFmt w:val="lowerRoman"/>
      <w:lvlText w:val="%9."/>
      <w:lvlJc w:val="right"/>
      <w:pPr>
        <w:ind w:left="6480" w:hanging="180"/>
      </w:pPr>
    </w:lvl>
  </w:abstractNum>
  <w:abstractNum w:abstractNumId="9" w15:restartNumberingAfterBreak="0">
    <w:nsid w:val="66482377"/>
    <w:multiLevelType w:val="hybridMultilevel"/>
    <w:tmpl w:val="97CA87EA"/>
    <w:lvl w:ilvl="0" w:tplc="CBEEFA34">
      <w:start w:val="1"/>
      <w:numFmt w:val="decimal"/>
      <w:lvlText w:val="%1."/>
      <w:lvlJc w:val="left"/>
      <w:pPr>
        <w:tabs>
          <w:tab w:val="num" w:pos="720"/>
        </w:tabs>
        <w:ind w:left="720" w:hanging="360"/>
      </w:pPr>
    </w:lvl>
    <w:lvl w:ilvl="1" w:tplc="5D9A42C4" w:tentative="1">
      <w:start w:val="1"/>
      <w:numFmt w:val="decimal"/>
      <w:lvlText w:val="%2."/>
      <w:lvlJc w:val="left"/>
      <w:pPr>
        <w:tabs>
          <w:tab w:val="num" w:pos="1440"/>
        </w:tabs>
        <w:ind w:left="1440" w:hanging="360"/>
      </w:pPr>
    </w:lvl>
    <w:lvl w:ilvl="2" w:tplc="E9E201C4" w:tentative="1">
      <w:start w:val="1"/>
      <w:numFmt w:val="decimal"/>
      <w:lvlText w:val="%3."/>
      <w:lvlJc w:val="left"/>
      <w:pPr>
        <w:tabs>
          <w:tab w:val="num" w:pos="2160"/>
        </w:tabs>
        <w:ind w:left="2160" w:hanging="360"/>
      </w:pPr>
    </w:lvl>
    <w:lvl w:ilvl="3" w:tplc="FF04FB4E" w:tentative="1">
      <w:start w:val="1"/>
      <w:numFmt w:val="decimal"/>
      <w:lvlText w:val="%4."/>
      <w:lvlJc w:val="left"/>
      <w:pPr>
        <w:tabs>
          <w:tab w:val="num" w:pos="2880"/>
        </w:tabs>
        <w:ind w:left="2880" w:hanging="360"/>
      </w:pPr>
    </w:lvl>
    <w:lvl w:ilvl="4" w:tplc="7C66E2F8" w:tentative="1">
      <w:start w:val="1"/>
      <w:numFmt w:val="decimal"/>
      <w:lvlText w:val="%5."/>
      <w:lvlJc w:val="left"/>
      <w:pPr>
        <w:tabs>
          <w:tab w:val="num" w:pos="3600"/>
        </w:tabs>
        <w:ind w:left="3600" w:hanging="360"/>
      </w:pPr>
    </w:lvl>
    <w:lvl w:ilvl="5" w:tplc="D9BC994E" w:tentative="1">
      <w:start w:val="1"/>
      <w:numFmt w:val="decimal"/>
      <w:lvlText w:val="%6."/>
      <w:lvlJc w:val="left"/>
      <w:pPr>
        <w:tabs>
          <w:tab w:val="num" w:pos="4320"/>
        </w:tabs>
        <w:ind w:left="4320" w:hanging="360"/>
      </w:pPr>
    </w:lvl>
    <w:lvl w:ilvl="6" w:tplc="BBD0C318" w:tentative="1">
      <w:start w:val="1"/>
      <w:numFmt w:val="decimal"/>
      <w:lvlText w:val="%7."/>
      <w:lvlJc w:val="left"/>
      <w:pPr>
        <w:tabs>
          <w:tab w:val="num" w:pos="5040"/>
        </w:tabs>
        <w:ind w:left="5040" w:hanging="360"/>
      </w:pPr>
    </w:lvl>
    <w:lvl w:ilvl="7" w:tplc="E60CE7E2" w:tentative="1">
      <w:start w:val="1"/>
      <w:numFmt w:val="decimal"/>
      <w:lvlText w:val="%8."/>
      <w:lvlJc w:val="left"/>
      <w:pPr>
        <w:tabs>
          <w:tab w:val="num" w:pos="5760"/>
        </w:tabs>
        <w:ind w:left="5760" w:hanging="360"/>
      </w:pPr>
    </w:lvl>
    <w:lvl w:ilvl="8" w:tplc="4B0EAC68" w:tentative="1">
      <w:start w:val="1"/>
      <w:numFmt w:val="decimal"/>
      <w:lvlText w:val="%9."/>
      <w:lvlJc w:val="left"/>
      <w:pPr>
        <w:tabs>
          <w:tab w:val="num" w:pos="6480"/>
        </w:tabs>
        <w:ind w:left="6480" w:hanging="360"/>
      </w:pPr>
    </w:lvl>
  </w:abstractNum>
  <w:abstractNum w:abstractNumId="10" w15:restartNumberingAfterBreak="0">
    <w:nsid w:val="68571A39"/>
    <w:multiLevelType w:val="hybridMultilevel"/>
    <w:tmpl w:val="3CBA1380"/>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A976BA"/>
    <w:multiLevelType w:val="multilevel"/>
    <w:tmpl w:val="300EFDD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70E67D21"/>
    <w:multiLevelType w:val="hybridMultilevel"/>
    <w:tmpl w:val="7172C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A728B6"/>
    <w:multiLevelType w:val="multilevel"/>
    <w:tmpl w:val="0E14582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7B011F30"/>
    <w:multiLevelType w:val="hybridMultilevel"/>
    <w:tmpl w:val="6EE6D35E"/>
    <w:lvl w:ilvl="0" w:tplc="D188C566">
      <w:start w:val="2"/>
      <w:numFmt w:val="decimal"/>
      <w:lvlText w:val="%1."/>
      <w:lvlJc w:val="left"/>
      <w:pPr>
        <w:tabs>
          <w:tab w:val="num" w:pos="720"/>
        </w:tabs>
        <w:ind w:left="720" w:hanging="360"/>
      </w:pPr>
    </w:lvl>
    <w:lvl w:ilvl="1" w:tplc="70EC7912">
      <w:start w:val="1"/>
      <w:numFmt w:val="decimal"/>
      <w:lvlText w:val="%2."/>
      <w:lvlJc w:val="left"/>
      <w:pPr>
        <w:tabs>
          <w:tab w:val="num" w:pos="1440"/>
        </w:tabs>
        <w:ind w:left="1440" w:hanging="360"/>
      </w:pPr>
    </w:lvl>
    <w:lvl w:ilvl="2" w:tplc="163427E8" w:tentative="1">
      <w:start w:val="1"/>
      <w:numFmt w:val="decimal"/>
      <w:lvlText w:val="%3."/>
      <w:lvlJc w:val="left"/>
      <w:pPr>
        <w:tabs>
          <w:tab w:val="num" w:pos="2160"/>
        </w:tabs>
        <w:ind w:left="2160" w:hanging="360"/>
      </w:pPr>
    </w:lvl>
    <w:lvl w:ilvl="3" w:tplc="5DDE9E40" w:tentative="1">
      <w:start w:val="1"/>
      <w:numFmt w:val="decimal"/>
      <w:lvlText w:val="%4."/>
      <w:lvlJc w:val="left"/>
      <w:pPr>
        <w:tabs>
          <w:tab w:val="num" w:pos="2880"/>
        </w:tabs>
        <w:ind w:left="2880" w:hanging="360"/>
      </w:pPr>
    </w:lvl>
    <w:lvl w:ilvl="4" w:tplc="63BE03AE" w:tentative="1">
      <w:start w:val="1"/>
      <w:numFmt w:val="decimal"/>
      <w:lvlText w:val="%5."/>
      <w:lvlJc w:val="left"/>
      <w:pPr>
        <w:tabs>
          <w:tab w:val="num" w:pos="3600"/>
        </w:tabs>
        <w:ind w:left="3600" w:hanging="360"/>
      </w:pPr>
    </w:lvl>
    <w:lvl w:ilvl="5" w:tplc="8250DACA" w:tentative="1">
      <w:start w:val="1"/>
      <w:numFmt w:val="decimal"/>
      <w:lvlText w:val="%6."/>
      <w:lvlJc w:val="left"/>
      <w:pPr>
        <w:tabs>
          <w:tab w:val="num" w:pos="4320"/>
        </w:tabs>
        <w:ind w:left="4320" w:hanging="360"/>
      </w:pPr>
    </w:lvl>
    <w:lvl w:ilvl="6" w:tplc="0308B88A" w:tentative="1">
      <w:start w:val="1"/>
      <w:numFmt w:val="decimal"/>
      <w:lvlText w:val="%7."/>
      <w:lvlJc w:val="left"/>
      <w:pPr>
        <w:tabs>
          <w:tab w:val="num" w:pos="5040"/>
        </w:tabs>
        <w:ind w:left="5040" w:hanging="360"/>
      </w:pPr>
    </w:lvl>
    <w:lvl w:ilvl="7" w:tplc="347A90E4" w:tentative="1">
      <w:start w:val="1"/>
      <w:numFmt w:val="decimal"/>
      <w:lvlText w:val="%8."/>
      <w:lvlJc w:val="left"/>
      <w:pPr>
        <w:tabs>
          <w:tab w:val="num" w:pos="5760"/>
        </w:tabs>
        <w:ind w:left="5760" w:hanging="360"/>
      </w:pPr>
    </w:lvl>
    <w:lvl w:ilvl="8" w:tplc="1FA8CE8C" w:tentative="1">
      <w:start w:val="1"/>
      <w:numFmt w:val="decimal"/>
      <w:lvlText w:val="%9."/>
      <w:lvlJc w:val="left"/>
      <w:pPr>
        <w:tabs>
          <w:tab w:val="num" w:pos="6480"/>
        </w:tabs>
        <w:ind w:left="6480" w:hanging="360"/>
      </w:pPr>
    </w:lvl>
  </w:abstractNum>
  <w:abstractNum w:abstractNumId="15" w15:restartNumberingAfterBreak="0">
    <w:nsid w:val="7C714B90"/>
    <w:multiLevelType w:val="hybridMultilevel"/>
    <w:tmpl w:val="63A09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9938112">
    <w:abstractNumId w:val="12"/>
  </w:num>
  <w:num w:numId="2" w16cid:durableId="311838933">
    <w:abstractNumId w:val="6"/>
  </w:num>
  <w:num w:numId="3" w16cid:durableId="1347634213">
    <w:abstractNumId w:val="5"/>
  </w:num>
  <w:num w:numId="4" w16cid:durableId="1958640679">
    <w:abstractNumId w:val="8"/>
  </w:num>
  <w:num w:numId="5" w16cid:durableId="621689055">
    <w:abstractNumId w:val="11"/>
  </w:num>
  <w:num w:numId="6" w16cid:durableId="1889951015">
    <w:abstractNumId w:val="9"/>
  </w:num>
  <w:num w:numId="7" w16cid:durableId="1629161698">
    <w:abstractNumId w:val="14"/>
  </w:num>
  <w:num w:numId="8" w16cid:durableId="44524849">
    <w:abstractNumId w:val="15"/>
  </w:num>
  <w:num w:numId="9" w16cid:durableId="1438594676">
    <w:abstractNumId w:val="0"/>
  </w:num>
  <w:num w:numId="10" w16cid:durableId="1324318048">
    <w:abstractNumId w:val="13"/>
  </w:num>
  <w:num w:numId="11" w16cid:durableId="390344393">
    <w:abstractNumId w:val="2"/>
  </w:num>
  <w:num w:numId="12" w16cid:durableId="1132334209">
    <w:abstractNumId w:val="7"/>
  </w:num>
  <w:num w:numId="13" w16cid:durableId="231505829">
    <w:abstractNumId w:val="3"/>
  </w:num>
  <w:num w:numId="14" w16cid:durableId="1840997009">
    <w:abstractNumId w:val="10"/>
  </w:num>
  <w:num w:numId="15" w16cid:durableId="2116635330">
    <w:abstractNumId w:val="1"/>
  </w:num>
  <w:num w:numId="16" w16cid:durableId="1361589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7F"/>
    <w:rsid w:val="0000202B"/>
    <w:rsid w:val="00014F72"/>
    <w:rsid w:val="00021257"/>
    <w:rsid w:val="00022129"/>
    <w:rsid w:val="0002232B"/>
    <w:rsid w:val="00024F8D"/>
    <w:rsid w:val="00033F48"/>
    <w:rsid w:val="00043422"/>
    <w:rsid w:val="0007170C"/>
    <w:rsid w:val="000839CD"/>
    <w:rsid w:val="00084746"/>
    <w:rsid w:val="0008500C"/>
    <w:rsid w:val="00085BFA"/>
    <w:rsid w:val="000B197B"/>
    <w:rsid w:val="000B3F0C"/>
    <w:rsid w:val="000D0846"/>
    <w:rsid w:val="000D36E7"/>
    <w:rsid w:val="000D3D4F"/>
    <w:rsid w:val="000E172F"/>
    <w:rsid w:val="000E34A0"/>
    <w:rsid w:val="000E442D"/>
    <w:rsid w:val="000E44BA"/>
    <w:rsid w:val="000F02E9"/>
    <w:rsid w:val="000F0AD7"/>
    <w:rsid w:val="00116DC0"/>
    <w:rsid w:val="001278FC"/>
    <w:rsid w:val="00137F9B"/>
    <w:rsid w:val="00144A80"/>
    <w:rsid w:val="00151728"/>
    <w:rsid w:val="001522DD"/>
    <w:rsid w:val="00167C41"/>
    <w:rsid w:val="001709BA"/>
    <w:rsid w:val="00175ED4"/>
    <w:rsid w:val="00180E27"/>
    <w:rsid w:val="00192B5D"/>
    <w:rsid w:val="001A43DE"/>
    <w:rsid w:val="001A54CF"/>
    <w:rsid w:val="001A6501"/>
    <w:rsid w:val="001A7A8B"/>
    <w:rsid w:val="001B0859"/>
    <w:rsid w:val="001C0D90"/>
    <w:rsid w:val="001C0FA4"/>
    <w:rsid w:val="001C5782"/>
    <w:rsid w:val="001C7945"/>
    <w:rsid w:val="001D4AA5"/>
    <w:rsid w:val="001E1A54"/>
    <w:rsid w:val="001E37B3"/>
    <w:rsid w:val="001E58DD"/>
    <w:rsid w:val="001E6A07"/>
    <w:rsid w:val="001F18AC"/>
    <w:rsid w:val="001F30BB"/>
    <w:rsid w:val="001F5654"/>
    <w:rsid w:val="0021334C"/>
    <w:rsid w:val="00224D23"/>
    <w:rsid w:val="0022550B"/>
    <w:rsid w:val="00231C73"/>
    <w:rsid w:val="00235308"/>
    <w:rsid w:val="0024649F"/>
    <w:rsid w:val="0026695F"/>
    <w:rsid w:val="002726D1"/>
    <w:rsid w:val="00276C2C"/>
    <w:rsid w:val="00284494"/>
    <w:rsid w:val="00290111"/>
    <w:rsid w:val="0029096F"/>
    <w:rsid w:val="00294BF8"/>
    <w:rsid w:val="002A0D1B"/>
    <w:rsid w:val="002B2AEB"/>
    <w:rsid w:val="002B40E9"/>
    <w:rsid w:val="002B78E9"/>
    <w:rsid w:val="002C3833"/>
    <w:rsid w:val="002D1692"/>
    <w:rsid w:val="002D3789"/>
    <w:rsid w:val="002E22D3"/>
    <w:rsid w:val="002E258B"/>
    <w:rsid w:val="002E4074"/>
    <w:rsid w:val="002F3D60"/>
    <w:rsid w:val="002F496F"/>
    <w:rsid w:val="00301143"/>
    <w:rsid w:val="00305282"/>
    <w:rsid w:val="00306BDD"/>
    <w:rsid w:val="00337B4E"/>
    <w:rsid w:val="003403FD"/>
    <w:rsid w:val="00343A6C"/>
    <w:rsid w:val="0034572F"/>
    <w:rsid w:val="00346F6C"/>
    <w:rsid w:val="00355AA7"/>
    <w:rsid w:val="00357599"/>
    <w:rsid w:val="00362229"/>
    <w:rsid w:val="003676DC"/>
    <w:rsid w:val="00371C85"/>
    <w:rsid w:val="00371F8F"/>
    <w:rsid w:val="0037249F"/>
    <w:rsid w:val="003823C2"/>
    <w:rsid w:val="00383225"/>
    <w:rsid w:val="003911E3"/>
    <w:rsid w:val="00395BB0"/>
    <w:rsid w:val="003A1A5C"/>
    <w:rsid w:val="003A3816"/>
    <w:rsid w:val="003B47C7"/>
    <w:rsid w:val="003C0EDA"/>
    <w:rsid w:val="003C512D"/>
    <w:rsid w:val="003D32C8"/>
    <w:rsid w:val="003E30F2"/>
    <w:rsid w:val="003E39D8"/>
    <w:rsid w:val="003F0AD6"/>
    <w:rsid w:val="003F4032"/>
    <w:rsid w:val="00402A76"/>
    <w:rsid w:val="00403195"/>
    <w:rsid w:val="0041406E"/>
    <w:rsid w:val="00415FED"/>
    <w:rsid w:val="00424400"/>
    <w:rsid w:val="004269B2"/>
    <w:rsid w:val="00427236"/>
    <w:rsid w:val="00432355"/>
    <w:rsid w:val="00432B78"/>
    <w:rsid w:val="00440CD2"/>
    <w:rsid w:val="004447B9"/>
    <w:rsid w:val="004518DC"/>
    <w:rsid w:val="0045371E"/>
    <w:rsid w:val="0045567B"/>
    <w:rsid w:val="00462B40"/>
    <w:rsid w:val="004655BA"/>
    <w:rsid w:val="00467EF5"/>
    <w:rsid w:val="0047156C"/>
    <w:rsid w:val="00474467"/>
    <w:rsid w:val="0047638E"/>
    <w:rsid w:val="0048167F"/>
    <w:rsid w:val="004834B6"/>
    <w:rsid w:val="00487676"/>
    <w:rsid w:val="0049023A"/>
    <w:rsid w:val="00494F6B"/>
    <w:rsid w:val="004A2E41"/>
    <w:rsid w:val="004B4009"/>
    <w:rsid w:val="004B6608"/>
    <w:rsid w:val="004B684B"/>
    <w:rsid w:val="004B7BA4"/>
    <w:rsid w:val="004C25C3"/>
    <w:rsid w:val="004C63DB"/>
    <w:rsid w:val="004C64F4"/>
    <w:rsid w:val="004C65B2"/>
    <w:rsid w:val="004D2BDD"/>
    <w:rsid w:val="004D54D0"/>
    <w:rsid w:val="004D6622"/>
    <w:rsid w:val="004E10C8"/>
    <w:rsid w:val="004E5F79"/>
    <w:rsid w:val="00504576"/>
    <w:rsid w:val="0050589D"/>
    <w:rsid w:val="00510FB7"/>
    <w:rsid w:val="00522FDC"/>
    <w:rsid w:val="005308E3"/>
    <w:rsid w:val="005335B7"/>
    <w:rsid w:val="00535332"/>
    <w:rsid w:val="0054635B"/>
    <w:rsid w:val="00547CC6"/>
    <w:rsid w:val="00553059"/>
    <w:rsid w:val="0055738B"/>
    <w:rsid w:val="00560C57"/>
    <w:rsid w:val="00590098"/>
    <w:rsid w:val="005B5163"/>
    <w:rsid w:val="005C56E1"/>
    <w:rsid w:val="005D015B"/>
    <w:rsid w:val="005D43BA"/>
    <w:rsid w:val="005D627A"/>
    <w:rsid w:val="005E03A1"/>
    <w:rsid w:val="005F5731"/>
    <w:rsid w:val="0060054B"/>
    <w:rsid w:val="00600AD0"/>
    <w:rsid w:val="0060760A"/>
    <w:rsid w:val="0060787E"/>
    <w:rsid w:val="00610EA4"/>
    <w:rsid w:val="006158F6"/>
    <w:rsid w:val="0061714F"/>
    <w:rsid w:val="006247C5"/>
    <w:rsid w:val="006443FB"/>
    <w:rsid w:val="00670034"/>
    <w:rsid w:val="00673B44"/>
    <w:rsid w:val="0067574C"/>
    <w:rsid w:val="006824D5"/>
    <w:rsid w:val="00682A57"/>
    <w:rsid w:val="00686816"/>
    <w:rsid w:val="00691E6D"/>
    <w:rsid w:val="00697BE9"/>
    <w:rsid w:val="006C687B"/>
    <w:rsid w:val="006D1215"/>
    <w:rsid w:val="006D5677"/>
    <w:rsid w:val="006E0BD6"/>
    <w:rsid w:val="006F3EEA"/>
    <w:rsid w:val="006F522D"/>
    <w:rsid w:val="006F609D"/>
    <w:rsid w:val="00700A32"/>
    <w:rsid w:val="00707788"/>
    <w:rsid w:val="00715A23"/>
    <w:rsid w:val="00721691"/>
    <w:rsid w:val="00723363"/>
    <w:rsid w:val="0073537B"/>
    <w:rsid w:val="0075415A"/>
    <w:rsid w:val="00760718"/>
    <w:rsid w:val="0078091E"/>
    <w:rsid w:val="00790C3E"/>
    <w:rsid w:val="007934A9"/>
    <w:rsid w:val="007A1547"/>
    <w:rsid w:val="007A5C70"/>
    <w:rsid w:val="007B56DA"/>
    <w:rsid w:val="007C05B2"/>
    <w:rsid w:val="007C4734"/>
    <w:rsid w:val="007D08B7"/>
    <w:rsid w:val="007D2F76"/>
    <w:rsid w:val="007E609C"/>
    <w:rsid w:val="00815083"/>
    <w:rsid w:val="008220CD"/>
    <w:rsid w:val="00822363"/>
    <w:rsid w:val="00827F8E"/>
    <w:rsid w:val="0084127C"/>
    <w:rsid w:val="00842ADC"/>
    <w:rsid w:val="00843852"/>
    <w:rsid w:val="00844B74"/>
    <w:rsid w:val="00847387"/>
    <w:rsid w:val="008531D8"/>
    <w:rsid w:val="0085405A"/>
    <w:rsid w:val="00871265"/>
    <w:rsid w:val="0087397B"/>
    <w:rsid w:val="008804E0"/>
    <w:rsid w:val="008859DE"/>
    <w:rsid w:val="0089047B"/>
    <w:rsid w:val="00893081"/>
    <w:rsid w:val="008A0F5C"/>
    <w:rsid w:val="008A318D"/>
    <w:rsid w:val="008A324F"/>
    <w:rsid w:val="008A5B2D"/>
    <w:rsid w:val="008C387C"/>
    <w:rsid w:val="008C3B70"/>
    <w:rsid w:val="008D2F80"/>
    <w:rsid w:val="008D4DC0"/>
    <w:rsid w:val="008E600E"/>
    <w:rsid w:val="008F694E"/>
    <w:rsid w:val="008F6F2E"/>
    <w:rsid w:val="00900F00"/>
    <w:rsid w:val="009032F0"/>
    <w:rsid w:val="009111AB"/>
    <w:rsid w:val="0091467A"/>
    <w:rsid w:val="00924C22"/>
    <w:rsid w:val="00931D68"/>
    <w:rsid w:val="009359CA"/>
    <w:rsid w:val="00941E36"/>
    <w:rsid w:val="00954EF7"/>
    <w:rsid w:val="0095530F"/>
    <w:rsid w:val="00962D23"/>
    <w:rsid w:val="009641BA"/>
    <w:rsid w:val="0096461C"/>
    <w:rsid w:val="00966AFE"/>
    <w:rsid w:val="009742B6"/>
    <w:rsid w:val="0097701F"/>
    <w:rsid w:val="009810BB"/>
    <w:rsid w:val="00990723"/>
    <w:rsid w:val="009914B0"/>
    <w:rsid w:val="009A0688"/>
    <w:rsid w:val="009A0C4B"/>
    <w:rsid w:val="009A537F"/>
    <w:rsid w:val="009B7B06"/>
    <w:rsid w:val="009C6AC7"/>
    <w:rsid w:val="009D2E03"/>
    <w:rsid w:val="009D7D40"/>
    <w:rsid w:val="009E0D7E"/>
    <w:rsid w:val="009E6E61"/>
    <w:rsid w:val="009F0D2D"/>
    <w:rsid w:val="00A0702C"/>
    <w:rsid w:val="00A10ACB"/>
    <w:rsid w:val="00A22975"/>
    <w:rsid w:val="00A3260C"/>
    <w:rsid w:val="00A40B30"/>
    <w:rsid w:val="00A438F4"/>
    <w:rsid w:val="00A50937"/>
    <w:rsid w:val="00A63EE9"/>
    <w:rsid w:val="00A71DC6"/>
    <w:rsid w:val="00A83B9B"/>
    <w:rsid w:val="00A93631"/>
    <w:rsid w:val="00A95BA7"/>
    <w:rsid w:val="00AB55E6"/>
    <w:rsid w:val="00AC278B"/>
    <w:rsid w:val="00AC460B"/>
    <w:rsid w:val="00AC71E6"/>
    <w:rsid w:val="00AD0A03"/>
    <w:rsid w:val="00AD5CEA"/>
    <w:rsid w:val="00AD5FDD"/>
    <w:rsid w:val="00AF5FA8"/>
    <w:rsid w:val="00B006C2"/>
    <w:rsid w:val="00B06CB5"/>
    <w:rsid w:val="00B105BF"/>
    <w:rsid w:val="00B24D07"/>
    <w:rsid w:val="00B3135F"/>
    <w:rsid w:val="00B3563E"/>
    <w:rsid w:val="00B42066"/>
    <w:rsid w:val="00B47CEC"/>
    <w:rsid w:val="00B52039"/>
    <w:rsid w:val="00B520D0"/>
    <w:rsid w:val="00B53F40"/>
    <w:rsid w:val="00B57707"/>
    <w:rsid w:val="00B67437"/>
    <w:rsid w:val="00B75421"/>
    <w:rsid w:val="00BA3586"/>
    <w:rsid w:val="00BA3E3B"/>
    <w:rsid w:val="00BB0C3E"/>
    <w:rsid w:val="00BB1594"/>
    <w:rsid w:val="00BC4B84"/>
    <w:rsid w:val="00BD0333"/>
    <w:rsid w:val="00BE4932"/>
    <w:rsid w:val="00BF0635"/>
    <w:rsid w:val="00BF48E6"/>
    <w:rsid w:val="00BF5914"/>
    <w:rsid w:val="00BF7D9B"/>
    <w:rsid w:val="00BF7DB5"/>
    <w:rsid w:val="00C0067B"/>
    <w:rsid w:val="00C0511E"/>
    <w:rsid w:val="00C06183"/>
    <w:rsid w:val="00C07BF4"/>
    <w:rsid w:val="00C32CFD"/>
    <w:rsid w:val="00C3433B"/>
    <w:rsid w:val="00C352D7"/>
    <w:rsid w:val="00C420D4"/>
    <w:rsid w:val="00C557E6"/>
    <w:rsid w:val="00C56502"/>
    <w:rsid w:val="00C5679F"/>
    <w:rsid w:val="00C607A8"/>
    <w:rsid w:val="00C65DF1"/>
    <w:rsid w:val="00C8244D"/>
    <w:rsid w:val="00C848EB"/>
    <w:rsid w:val="00C93F6B"/>
    <w:rsid w:val="00C96F7A"/>
    <w:rsid w:val="00CA4B64"/>
    <w:rsid w:val="00CB3F0F"/>
    <w:rsid w:val="00CC0FDD"/>
    <w:rsid w:val="00CC28AF"/>
    <w:rsid w:val="00CC4FB7"/>
    <w:rsid w:val="00CC5600"/>
    <w:rsid w:val="00CD15CE"/>
    <w:rsid w:val="00CE1909"/>
    <w:rsid w:val="00CE1D9E"/>
    <w:rsid w:val="00CF4D06"/>
    <w:rsid w:val="00D0402E"/>
    <w:rsid w:val="00D1128B"/>
    <w:rsid w:val="00D24688"/>
    <w:rsid w:val="00D246D9"/>
    <w:rsid w:val="00D25EA5"/>
    <w:rsid w:val="00D34EF9"/>
    <w:rsid w:val="00D714F3"/>
    <w:rsid w:val="00D81284"/>
    <w:rsid w:val="00D81B31"/>
    <w:rsid w:val="00D82F5E"/>
    <w:rsid w:val="00D87346"/>
    <w:rsid w:val="00D87BB6"/>
    <w:rsid w:val="00D92DDF"/>
    <w:rsid w:val="00D96D1C"/>
    <w:rsid w:val="00DA0E72"/>
    <w:rsid w:val="00DA1782"/>
    <w:rsid w:val="00DB106D"/>
    <w:rsid w:val="00DB5CF4"/>
    <w:rsid w:val="00DC5AC4"/>
    <w:rsid w:val="00DD16FA"/>
    <w:rsid w:val="00DE2367"/>
    <w:rsid w:val="00DF25E0"/>
    <w:rsid w:val="00DF6719"/>
    <w:rsid w:val="00E02D3D"/>
    <w:rsid w:val="00E26DE5"/>
    <w:rsid w:val="00E34AB4"/>
    <w:rsid w:val="00E459D9"/>
    <w:rsid w:val="00E46E94"/>
    <w:rsid w:val="00E47903"/>
    <w:rsid w:val="00E5693C"/>
    <w:rsid w:val="00E57377"/>
    <w:rsid w:val="00E665BC"/>
    <w:rsid w:val="00E6727D"/>
    <w:rsid w:val="00E71F0B"/>
    <w:rsid w:val="00E77714"/>
    <w:rsid w:val="00E81069"/>
    <w:rsid w:val="00E8386F"/>
    <w:rsid w:val="00E847A8"/>
    <w:rsid w:val="00EA02B4"/>
    <w:rsid w:val="00EA2998"/>
    <w:rsid w:val="00EB427C"/>
    <w:rsid w:val="00ED3443"/>
    <w:rsid w:val="00ED3CD9"/>
    <w:rsid w:val="00EE038B"/>
    <w:rsid w:val="00EE74E2"/>
    <w:rsid w:val="00EF7575"/>
    <w:rsid w:val="00EF773E"/>
    <w:rsid w:val="00F00A6C"/>
    <w:rsid w:val="00F07EB1"/>
    <w:rsid w:val="00F230AB"/>
    <w:rsid w:val="00F25F69"/>
    <w:rsid w:val="00F31A3A"/>
    <w:rsid w:val="00F46CA0"/>
    <w:rsid w:val="00F479C8"/>
    <w:rsid w:val="00F6091C"/>
    <w:rsid w:val="00F61219"/>
    <w:rsid w:val="00F62111"/>
    <w:rsid w:val="00F7038B"/>
    <w:rsid w:val="00F75663"/>
    <w:rsid w:val="00F76F68"/>
    <w:rsid w:val="00F90331"/>
    <w:rsid w:val="00F95EDB"/>
    <w:rsid w:val="00F97AA0"/>
    <w:rsid w:val="00FA51B0"/>
    <w:rsid w:val="00FA5477"/>
    <w:rsid w:val="00FB25D0"/>
    <w:rsid w:val="00FC1EF6"/>
    <w:rsid w:val="00FC2DCF"/>
    <w:rsid w:val="00FC4FC3"/>
    <w:rsid w:val="00FD544A"/>
    <w:rsid w:val="00FD7228"/>
    <w:rsid w:val="00FE3465"/>
    <w:rsid w:val="00FE3622"/>
    <w:rsid w:val="00FE42D0"/>
    <w:rsid w:val="00FF26EE"/>
    <w:rsid w:val="00FF671C"/>
    <w:rsid w:val="00FF6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2235B"/>
  <w15:chartTrackingRefBased/>
  <w15:docId w15:val="{F1606DBF-E2B7-47A6-BAF6-A365A3F2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35B"/>
    <w:rPr>
      <w:kern w:val="0"/>
      <w14:ligatures w14:val="none"/>
    </w:rPr>
  </w:style>
  <w:style w:type="paragraph" w:styleId="Heading1">
    <w:name w:val="heading 1"/>
    <w:basedOn w:val="Normal"/>
    <w:next w:val="Normal"/>
    <w:link w:val="Heading1Char"/>
    <w:uiPriority w:val="9"/>
    <w:qFormat/>
    <w:rsid w:val="00721691"/>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21691"/>
    <w:pPr>
      <w:keepNext/>
      <w:keepLines/>
      <w:spacing w:before="40" w:after="0" w:line="256" w:lineRule="auto"/>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721691"/>
    <w:pPr>
      <w:keepNext/>
      <w:keepLines/>
      <w:spacing w:before="40" w:after="0"/>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unhideWhenUsed/>
    <w:qFormat/>
    <w:rsid w:val="00721691"/>
    <w:pPr>
      <w:keepNext/>
      <w:keepLines/>
      <w:spacing w:before="40" w:after="0"/>
      <w:outlineLvl w:val="3"/>
    </w:pPr>
    <w:rPr>
      <w:rFonts w:ascii="Arial" w:eastAsiaTheme="majorEastAsia" w:hAnsi="Arial"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46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35B"/>
    <w:rPr>
      <w:kern w:val="0"/>
      <w14:ligatures w14:val="none"/>
    </w:rPr>
  </w:style>
  <w:style w:type="paragraph" w:styleId="Header">
    <w:name w:val="header"/>
    <w:basedOn w:val="Normal"/>
    <w:link w:val="HeaderChar"/>
    <w:uiPriority w:val="99"/>
    <w:unhideWhenUsed/>
    <w:rsid w:val="00C061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183"/>
    <w:rPr>
      <w:kern w:val="0"/>
      <w14:ligatures w14:val="none"/>
    </w:rPr>
  </w:style>
  <w:style w:type="paragraph" w:customStyle="1" w:styleId="History">
    <w:name w:val="History"/>
    <w:basedOn w:val="Normal"/>
    <w:rsid w:val="00C06183"/>
    <w:pPr>
      <w:spacing w:before="230" w:after="460" w:line="180" w:lineRule="exact"/>
      <w:jc w:val="right"/>
    </w:pPr>
    <w:rPr>
      <w:rFonts w:ascii="Arial" w:eastAsia="MS Mincho" w:hAnsi="Arial" w:cs="Times New Roman"/>
      <w:sz w:val="14"/>
      <w:szCs w:val="16"/>
      <w:lang w:val="de-DE" w:eastAsia="ja-JP"/>
    </w:rPr>
  </w:style>
  <w:style w:type="paragraph" w:customStyle="1" w:styleId="References">
    <w:name w:val="References"/>
    <w:basedOn w:val="Normal"/>
    <w:rsid w:val="00C06183"/>
    <w:pPr>
      <w:spacing w:after="0" w:line="200" w:lineRule="exact"/>
      <w:ind w:left="425" w:hanging="425"/>
      <w:jc w:val="both"/>
    </w:pPr>
    <w:rPr>
      <w:rFonts w:ascii="Times New Roman" w:eastAsia="MS Mincho" w:hAnsi="Times New Roman" w:cs="Times New Roman"/>
      <w:sz w:val="15"/>
      <w:szCs w:val="14"/>
      <w:lang w:val="en-GB" w:eastAsia="ja-JP"/>
    </w:rPr>
  </w:style>
  <w:style w:type="paragraph" w:customStyle="1" w:styleId="HExperimentalSection">
    <w:name w:val="HExperimental_Section"/>
    <w:basedOn w:val="Normal"/>
    <w:rsid w:val="00C06183"/>
    <w:pPr>
      <w:spacing w:before="460" w:after="230" w:line="230" w:lineRule="atLeast"/>
    </w:pPr>
    <w:rPr>
      <w:rFonts w:ascii="Times New Roman" w:eastAsia="MS Mincho" w:hAnsi="Times New Roman" w:cs="Times New Roman"/>
      <w:i/>
      <w:sz w:val="24"/>
      <w:szCs w:val="20"/>
      <w:lang w:val="de-DE" w:eastAsia="ja-JP"/>
    </w:rPr>
  </w:style>
  <w:style w:type="paragraph" w:customStyle="1" w:styleId="ExperimentalSection">
    <w:name w:val="ExperimentalSection"/>
    <w:basedOn w:val="Normal"/>
    <w:rsid w:val="00C06183"/>
    <w:pPr>
      <w:spacing w:after="240" w:line="200" w:lineRule="exact"/>
      <w:ind w:firstLine="170"/>
      <w:jc w:val="both"/>
    </w:pPr>
    <w:rPr>
      <w:rFonts w:ascii="Times New Roman" w:eastAsia="MS Mincho" w:hAnsi="Times New Roman" w:cs="Times New Roman"/>
      <w:sz w:val="16"/>
      <w:szCs w:val="14"/>
      <w:lang w:val="en-GB" w:eastAsia="ja-JP"/>
    </w:rPr>
  </w:style>
  <w:style w:type="paragraph" w:customStyle="1" w:styleId="FNB">
    <w:name w:val="FNB"/>
    <w:basedOn w:val="Normal"/>
    <w:link w:val="FNBChar"/>
    <w:rsid w:val="00C06183"/>
    <w:pPr>
      <w:widowControl w:val="0"/>
      <w:spacing w:after="40" w:line="160" w:lineRule="exact"/>
      <w:ind w:left="567" w:right="4434" w:hanging="567"/>
      <w:jc w:val="both"/>
    </w:pPr>
    <w:rPr>
      <w:rFonts w:ascii="Times" w:eastAsia="MS Mincho" w:hAnsi="Times" w:cs="Times New Roman"/>
      <w:sz w:val="14"/>
      <w:szCs w:val="3276"/>
      <w:lang w:val="en-GB" w:eastAsia="de-DE"/>
    </w:rPr>
  </w:style>
  <w:style w:type="character" w:customStyle="1" w:styleId="FNBChar">
    <w:name w:val="FNB Char"/>
    <w:link w:val="FNB"/>
    <w:rsid w:val="00C06183"/>
    <w:rPr>
      <w:rFonts w:ascii="Times" w:eastAsia="MS Mincho" w:hAnsi="Times" w:cs="Times New Roman"/>
      <w:kern w:val="0"/>
      <w:sz w:val="14"/>
      <w:szCs w:val="3276"/>
      <w:lang w:val="en-GB" w:eastAsia="de-DE"/>
      <w14:ligatures w14:val="none"/>
    </w:rPr>
  </w:style>
  <w:style w:type="paragraph" w:customStyle="1" w:styleId="Ack">
    <w:name w:val="Ack"/>
    <w:basedOn w:val="Normal"/>
    <w:rsid w:val="00C06183"/>
    <w:pPr>
      <w:spacing w:after="0" w:line="240" w:lineRule="auto"/>
    </w:pPr>
    <w:rPr>
      <w:rFonts w:ascii="Times New Roman" w:eastAsia="MS Mincho" w:hAnsi="Times New Roman" w:cs="Times New Roman"/>
      <w:sz w:val="24"/>
      <w:szCs w:val="24"/>
      <w:lang w:val="de-DE" w:eastAsia="ja-JP"/>
    </w:rPr>
  </w:style>
  <w:style w:type="paragraph" w:customStyle="1" w:styleId="TableCaption">
    <w:name w:val="TableCaption"/>
    <w:basedOn w:val="Normal"/>
    <w:rsid w:val="00C06183"/>
    <w:pPr>
      <w:spacing w:after="120" w:line="190" w:lineRule="exact"/>
      <w:jc w:val="both"/>
    </w:pPr>
    <w:rPr>
      <w:rFonts w:ascii="Arial" w:eastAsia="MS Mincho" w:hAnsi="Arial" w:cs="Times New Roman"/>
      <w:sz w:val="16"/>
      <w:szCs w:val="14"/>
      <w:lang w:val="en-GB" w:eastAsia="ja-JP"/>
    </w:rPr>
  </w:style>
  <w:style w:type="paragraph" w:customStyle="1" w:styleId="TableHead">
    <w:name w:val="TableHead"/>
    <w:basedOn w:val="TableCaption"/>
    <w:rsid w:val="00C06183"/>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C06183"/>
  </w:style>
  <w:style w:type="paragraph" w:customStyle="1" w:styleId="TableFoot">
    <w:name w:val="TableFoot"/>
    <w:basedOn w:val="TableBody"/>
    <w:rsid w:val="00C06183"/>
    <w:pPr>
      <w:spacing w:before="60" w:after="60"/>
    </w:pPr>
  </w:style>
  <w:style w:type="paragraph" w:customStyle="1" w:styleId="SchemeCaption">
    <w:name w:val="SchemeCaption"/>
    <w:basedOn w:val="Normal"/>
    <w:rsid w:val="00C06183"/>
    <w:pPr>
      <w:spacing w:before="230" w:after="460" w:line="190" w:lineRule="exact"/>
      <w:jc w:val="both"/>
    </w:pPr>
    <w:rPr>
      <w:rFonts w:ascii="Arial" w:eastAsia="MS Mincho" w:hAnsi="Arial" w:cs="Times New Roman"/>
      <w:sz w:val="16"/>
      <w:szCs w:val="14"/>
      <w:lang w:val="en-GB" w:eastAsia="ja-JP"/>
    </w:rPr>
  </w:style>
  <w:style w:type="paragraph" w:styleId="FootnoteText">
    <w:name w:val="footnote text"/>
    <w:basedOn w:val="Normal"/>
    <w:link w:val="FootnoteTextChar"/>
    <w:uiPriority w:val="99"/>
    <w:semiHidden/>
    <w:rsid w:val="00C06183"/>
    <w:pPr>
      <w:keepLines/>
      <w:widowControl w:val="0"/>
      <w:spacing w:after="0" w:line="240" w:lineRule="auto"/>
      <w:jc w:val="both"/>
    </w:pPr>
    <w:rPr>
      <w:rFonts w:ascii="Times New Roman" w:eastAsia="Times New Roman" w:hAnsi="Times New Roman" w:cs="Times New Roman"/>
      <w:sz w:val="20"/>
      <w:szCs w:val="20"/>
      <w:lang w:val="en-GB" w:eastAsia="ro-RO"/>
    </w:rPr>
  </w:style>
  <w:style w:type="character" w:customStyle="1" w:styleId="FootnoteTextChar">
    <w:name w:val="Footnote Text Char"/>
    <w:basedOn w:val="DefaultParagraphFont"/>
    <w:link w:val="FootnoteText"/>
    <w:uiPriority w:val="99"/>
    <w:semiHidden/>
    <w:rsid w:val="00C06183"/>
    <w:rPr>
      <w:rFonts w:ascii="Times New Roman" w:eastAsia="Times New Roman" w:hAnsi="Times New Roman" w:cs="Times New Roman"/>
      <w:kern w:val="0"/>
      <w:sz w:val="20"/>
      <w:szCs w:val="20"/>
      <w:lang w:val="en-GB" w:eastAsia="ro-RO"/>
      <w14:ligatures w14:val="none"/>
    </w:rPr>
  </w:style>
  <w:style w:type="paragraph" w:customStyle="1" w:styleId="STOE">
    <w:name w:val="STOE"/>
    <w:basedOn w:val="Normal"/>
    <w:link w:val="STOEChar1"/>
    <w:rsid w:val="00C06183"/>
    <w:pPr>
      <w:widowControl w:val="0"/>
      <w:spacing w:after="0" w:line="236" w:lineRule="exact"/>
      <w:ind w:right="4434"/>
      <w:jc w:val="both"/>
    </w:pPr>
    <w:rPr>
      <w:rFonts w:ascii="Times" w:eastAsia="MS Mincho" w:hAnsi="Times" w:cs="Times New Roman"/>
      <w:sz w:val="18"/>
      <w:szCs w:val="3276"/>
      <w:lang w:val="en-GB" w:eastAsia="de-DE"/>
    </w:rPr>
  </w:style>
  <w:style w:type="character" w:customStyle="1" w:styleId="STOEChar1">
    <w:name w:val="STOE Char1"/>
    <w:link w:val="STOE"/>
    <w:rsid w:val="00C06183"/>
    <w:rPr>
      <w:rFonts w:ascii="Times" w:eastAsia="MS Mincho" w:hAnsi="Times" w:cs="Times New Roman"/>
      <w:kern w:val="0"/>
      <w:sz w:val="18"/>
      <w:szCs w:val="3276"/>
      <w:lang w:val="en-GB" w:eastAsia="de-DE"/>
      <w14:ligatures w14:val="none"/>
    </w:rPr>
  </w:style>
  <w:style w:type="paragraph" w:styleId="BalloonText">
    <w:name w:val="Balloon Text"/>
    <w:basedOn w:val="Normal"/>
    <w:link w:val="BalloonTextChar"/>
    <w:uiPriority w:val="99"/>
    <w:semiHidden/>
    <w:rsid w:val="00C06183"/>
    <w:pPr>
      <w:spacing w:after="0" w:line="240" w:lineRule="auto"/>
    </w:pPr>
    <w:rPr>
      <w:rFonts w:ascii="Tahoma" w:eastAsia="MS Mincho" w:hAnsi="Tahoma" w:cs="Tahoma"/>
      <w:sz w:val="16"/>
      <w:szCs w:val="16"/>
      <w:lang w:val="de-DE" w:eastAsia="ja-JP"/>
    </w:rPr>
  </w:style>
  <w:style w:type="character" w:customStyle="1" w:styleId="BalloonTextChar">
    <w:name w:val="Balloon Text Char"/>
    <w:basedOn w:val="DefaultParagraphFont"/>
    <w:link w:val="BalloonText"/>
    <w:uiPriority w:val="99"/>
    <w:semiHidden/>
    <w:rsid w:val="00C06183"/>
    <w:rPr>
      <w:rFonts w:ascii="Tahoma" w:eastAsia="MS Mincho" w:hAnsi="Tahoma" w:cs="Tahoma"/>
      <w:kern w:val="0"/>
      <w:sz w:val="16"/>
      <w:szCs w:val="16"/>
      <w:lang w:val="de-DE" w:eastAsia="ja-JP"/>
      <w14:ligatures w14:val="none"/>
    </w:rPr>
  </w:style>
  <w:style w:type="paragraph" w:customStyle="1" w:styleId="Title1">
    <w:name w:val="Title1"/>
    <w:basedOn w:val="Normal"/>
    <w:rsid w:val="00C06183"/>
    <w:pPr>
      <w:spacing w:after="0" w:line="240" w:lineRule="auto"/>
    </w:pPr>
    <w:rPr>
      <w:rFonts w:ascii="Times New Roman" w:eastAsia="MS Mincho" w:hAnsi="Times New Roman" w:cs="Times New Roman"/>
      <w:b/>
      <w:sz w:val="24"/>
      <w:szCs w:val="24"/>
      <w:lang w:eastAsia="ja-JP"/>
    </w:rPr>
  </w:style>
  <w:style w:type="paragraph" w:customStyle="1" w:styleId="AuthorsFull">
    <w:name w:val="Authors Full"/>
    <w:basedOn w:val="Normal"/>
    <w:rsid w:val="00C06183"/>
    <w:pPr>
      <w:spacing w:after="0" w:line="240" w:lineRule="auto"/>
    </w:pPr>
    <w:rPr>
      <w:rFonts w:ascii="Times New Roman" w:eastAsia="MS Mincho" w:hAnsi="Times New Roman" w:cs="Times New Roman"/>
      <w:i/>
      <w:sz w:val="24"/>
      <w:szCs w:val="24"/>
      <w:lang w:eastAsia="ja-JP"/>
    </w:rPr>
  </w:style>
  <w:style w:type="paragraph" w:customStyle="1" w:styleId="dedication">
    <w:name w:val="dedication"/>
    <w:basedOn w:val="Normal"/>
    <w:rsid w:val="00C06183"/>
    <w:pPr>
      <w:spacing w:after="0" w:line="240" w:lineRule="auto"/>
    </w:pPr>
    <w:rPr>
      <w:rFonts w:ascii="Times New Roman" w:eastAsia="MS Mincho" w:hAnsi="Times New Roman" w:cs="Times New Roman"/>
      <w:i/>
      <w:sz w:val="24"/>
      <w:szCs w:val="24"/>
      <w:lang w:eastAsia="ja-JP"/>
    </w:rPr>
  </w:style>
  <w:style w:type="paragraph" w:customStyle="1" w:styleId="Addresses">
    <w:name w:val="Addresses"/>
    <w:basedOn w:val="Normal"/>
    <w:rsid w:val="00C06183"/>
    <w:pPr>
      <w:spacing w:after="0" w:line="240" w:lineRule="auto"/>
    </w:pPr>
    <w:rPr>
      <w:rFonts w:ascii="Times New Roman" w:eastAsia="MS Mincho" w:hAnsi="Times New Roman" w:cs="Times New Roman"/>
      <w:sz w:val="24"/>
      <w:szCs w:val="24"/>
      <w:lang w:eastAsia="ja-JP"/>
    </w:rPr>
  </w:style>
  <w:style w:type="paragraph" w:customStyle="1" w:styleId="Acknowledgements">
    <w:name w:val="Acknowledgements"/>
    <w:basedOn w:val="Normal"/>
    <w:rsid w:val="00C06183"/>
    <w:pPr>
      <w:spacing w:after="0" w:line="240" w:lineRule="auto"/>
    </w:pPr>
    <w:rPr>
      <w:rFonts w:ascii="Times New Roman" w:eastAsia="MS Mincho" w:hAnsi="Times New Roman" w:cs="Times New Roman"/>
      <w:sz w:val="24"/>
      <w:szCs w:val="24"/>
      <w:lang w:eastAsia="ja-JP"/>
    </w:rPr>
  </w:style>
  <w:style w:type="paragraph" w:customStyle="1" w:styleId="Abstract">
    <w:name w:val="Abstract"/>
    <w:basedOn w:val="Normal"/>
    <w:autoRedefine/>
    <w:rsid w:val="00C06183"/>
    <w:pPr>
      <w:spacing w:after="0" w:line="480" w:lineRule="auto"/>
    </w:pPr>
    <w:rPr>
      <w:rFonts w:ascii="Times New Roman" w:eastAsia="MS Mincho" w:hAnsi="Times New Roman" w:cs="Times New Roman"/>
      <w:sz w:val="24"/>
      <w:szCs w:val="24"/>
      <w:lang w:eastAsia="ja-JP"/>
    </w:rPr>
  </w:style>
  <w:style w:type="paragraph" w:customStyle="1" w:styleId="Head1">
    <w:name w:val="Head 1"/>
    <w:basedOn w:val="Normal"/>
    <w:autoRedefine/>
    <w:rsid w:val="00C06183"/>
    <w:pPr>
      <w:spacing w:after="0" w:line="360" w:lineRule="auto"/>
    </w:pPr>
    <w:rPr>
      <w:rFonts w:ascii="Times New Roman" w:eastAsia="MS Mincho" w:hAnsi="Times New Roman" w:cs="Times New Roman"/>
      <w:b/>
      <w:sz w:val="24"/>
      <w:szCs w:val="24"/>
      <w:lang w:eastAsia="ja-JP"/>
    </w:rPr>
  </w:style>
  <w:style w:type="paragraph" w:customStyle="1" w:styleId="Head2">
    <w:name w:val="Head 2"/>
    <w:basedOn w:val="Normal"/>
    <w:autoRedefine/>
    <w:rsid w:val="00C06183"/>
    <w:pPr>
      <w:spacing w:after="0" w:line="360" w:lineRule="auto"/>
    </w:pPr>
    <w:rPr>
      <w:rFonts w:ascii="Times New Roman" w:eastAsia="MS Mincho" w:hAnsi="Times New Roman" w:cs="Times New Roman"/>
      <w:i/>
      <w:sz w:val="24"/>
      <w:szCs w:val="24"/>
      <w:lang w:eastAsia="ja-JP"/>
    </w:rPr>
  </w:style>
  <w:style w:type="paragraph" w:customStyle="1" w:styleId="dates">
    <w:name w:val="dates"/>
    <w:basedOn w:val="Normal"/>
    <w:rsid w:val="00C06183"/>
    <w:pPr>
      <w:spacing w:after="0" w:line="240" w:lineRule="auto"/>
      <w:jc w:val="right"/>
    </w:pPr>
    <w:rPr>
      <w:rFonts w:ascii="Times New Roman" w:eastAsia="MS Mincho" w:hAnsi="Times New Roman" w:cs="Times New Roman"/>
      <w:sz w:val="24"/>
      <w:szCs w:val="24"/>
      <w:lang w:eastAsia="ja-JP"/>
    </w:rPr>
  </w:style>
  <w:style w:type="paragraph" w:customStyle="1" w:styleId="Literature">
    <w:name w:val="Literature"/>
    <w:basedOn w:val="Normal"/>
    <w:rsid w:val="00C06183"/>
    <w:pPr>
      <w:spacing w:after="0" w:line="480" w:lineRule="auto"/>
    </w:pPr>
    <w:rPr>
      <w:rFonts w:ascii="Times New Roman" w:eastAsia="MS Mincho" w:hAnsi="Times New Roman" w:cs="Times New Roman"/>
      <w:sz w:val="24"/>
      <w:szCs w:val="24"/>
      <w:lang w:val="de-DE" w:eastAsia="ja-JP"/>
    </w:rPr>
  </w:style>
  <w:style w:type="paragraph" w:customStyle="1" w:styleId="Legend">
    <w:name w:val="Legend"/>
    <w:basedOn w:val="Normal"/>
    <w:rsid w:val="00C06183"/>
    <w:pPr>
      <w:spacing w:after="0" w:line="240" w:lineRule="auto"/>
    </w:pPr>
    <w:rPr>
      <w:rFonts w:ascii="Times New Roman" w:eastAsia="MS Mincho" w:hAnsi="Times New Roman" w:cs="Times New Roman"/>
      <w:sz w:val="24"/>
      <w:szCs w:val="24"/>
      <w:lang w:eastAsia="ja-JP"/>
    </w:rPr>
  </w:style>
  <w:style w:type="paragraph" w:customStyle="1" w:styleId="MainText">
    <w:name w:val="Main Text"/>
    <w:basedOn w:val="Normal"/>
    <w:link w:val="MainTextChar"/>
    <w:rsid w:val="00C06183"/>
    <w:pPr>
      <w:spacing w:after="0" w:line="480" w:lineRule="auto"/>
    </w:pPr>
    <w:rPr>
      <w:rFonts w:ascii="Times New Roman" w:eastAsia="MS Mincho" w:hAnsi="Times New Roman" w:cs="Times New Roman"/>
      <w:sz w:val="24"/>
      <w:szCs w:val="24"/>
      <w:lang w:eastAsia="ja-JP"/>
    </w:rPr>
  </w:style>
  <w:style w:type="paragraph" w:customStyle="1" w:styleId="Tableofcontents">
    <w:name w:val="Table of contents"/>
    <w:basedOn w:val="Normal"/>
    <w:autoRedefine/>
    <w:rsid w:val="00C06183"/>
    <w:pPr>
      <w:spacing w:after="0" w:line="240" w:lineRule="auto"/>
    </w:pPr>
    <w:rPr>
      <w:rFonts w:ascii="Times New Roman" w:eastAsia="MS Mincho" w:hAnsi="Times New Roman" w:cs="Times New Roman"/>
      <w:sz w:val="24"/>
      <w:szCs w:val="24"/>
      <w:lang w:eastAsia="ja-JP"/>
    </w:rPr>
  </w:style>
  <w:style w:type="paragraph" w:customStyle="1" w:styleId="ExperimentalText">
    <w:name w:val="Experimental Text"/>
    <w:basedOn w:val="Normal"/>
    <w:link w:val="ExperimentalTextChar"/>
    <w:rsid w:val="00C06183"/>
    <w:pPr>
      <w:spacing w:after="0" w:line="480" w:lineRule="auto"/>
    </w:pPr>
    <w:rPr>
      <w:rFonts w:ascii="Times New Roman" w:eastAsia="MS Mincho" w:hAnsi="Times New Roman" w:cs="Times New Roman"/>
      <w:sz w:val="24"/>
      <w:szCs w:val="24"/>
      <w:lang w:eastAsia="ja-JP"/>
    </w:rPr>
  </w:style>
  <w:style w:type="character" w:customStyle="1" w:styleId="ExperimentalTextChar">
    <w:name w:val="Experimental Text Char"/>
    <w:link w:val="ExperimentalText"/>
    <w:rsid w:val="00C06183"/>
    <w:rPr>
      <w:rFonts w:ascii="Times New Roman" w:eastAsia="MS Mincho" w:hAnsi="Times New Roman" w:cs="Times New Roman"/>
      <w:kern w:val="0"/>
      <w:sz w:val="24"/>
      <w:szCs w:val="24"/>
      <w:lang w:eastAsia="ja-JP"/>
      <w14:ligatures w14:val="none"/>
    </w:rPr>
  </w:style>
  <w:style w:type="character" w:customStyle="1" w:styleId="MainTextChar">
    <w:name w:val="Main Text Char"/>
    <w:link w:val="MainText"/>
    <w:rsid w:val="00C06183"/>
    <w:rPr>
      <w:rFonts w:ascii="Times New Roman" w:eastAsia="MS Mincho" w:hAnsi="Times New Roman" w:cs="Times New Roman"/>
      <w:kern w:val="0"/>
      <w:sz w:val="24"/>
      <w:szCs w:val="24"/>
      <w:lang w:eastAsia="ja-JP"/>
      <w14:ligatures w14:val="none"/>
    </w:rPr>
  </w:style>
  <w:style w:type="paragraph" w:customStyle="1" w:styleId="Title2">
    <w:name w:val="Title2"/>
    <w:basedOn w:val="Normal"/>
    <w:rsid w:val="00C06183"/>
    <w:pPr>
      <w:spacing w:after="0" w:line="240" w:lineRule="auto"/>
    </w:pPr>
    <w:rPr>
      <w:rFonts w:ascii="Times New Roman" w:eastAsia="MS Mincho" w:hAnsi="Times New Roman" w:cs="Times New Roman"/>
      <w:b/>
      <w:sz w:val="24"/>
      <w:szCs w:val="24"/>
      <w:lang w:eastAsia="ja-JP"/>
    </w:rPr>
  </w:style>
  <w:style w:type="paragraph" w:customStyle="1" w:styleId="Dedication0">
    <w:name w:val="Dedication"/>
    <w:basedOn w:val="Normal"/>
    <w:autoRedefine/>
    <w:rsid w:val="00C06183"/>
    <w:pPr>
      <w:spacing w:after="0" w:line="240" w:lineRule="auto"/>
    </w:pPr>
    <w:rPr>
      <w:rFonts w:ascii="Times New Roman" w:eastAsia="MS Mincho" w:hAnsi="Times New Roman" w:cs="Times New Roman"/>
      <w:sz w:val="24"/>
      <w:szCs w:val="24"/>
      <w:lang w:eastAsia="ja-JP"/>
    </w:rPr>
  </w:style>
  <w:style w:type="paragraph" w:customStyle="1" w:styleId="Maintext0">
    <w:name w:val="Main text"/>
    <w:basedOn w:val="Normal"/>
    <w:link w:val="MaintextChar0"/>
    <w:autoRedefine/>
    <w:rsid w:val="00C06183"/>
    <w:pPr>
      <w:spacing w:after="0" w:line="480" w:lineRule="auto"/>
    </w:pPr>
    <w:rPr>
      <w:rFonts w:ascii="Times New Roman" w:eastAsia="MS Mincho" w:hAnsi="Times New Roman" w:cs="Times New Roman"/>
      <w:sz w:val="24"/>
      <w:szCs w:val="24"/>
      <w:lang w:eastAsia="ja-JP"/>
    </w:rPr>
  </w:style>
  <w:style w:type="character" w:customStyle="1" w:styleId="MaintextChar0">
    <w:name w:val="Main text Char"/>
    <w:link w:val="Maintext0"/>
    <w:rsid w:val="00C06183"/>
    <w:rPr>
      <w:rFonts w:ascii="Times New Roman" w:eastAsia="MS Mincho" w:hAnsi="Times New Roman" w:cs="Times New Roman"/>
      <w:kern w:val="0"/>
      <w:sz w:val="24"/>
      <w:szCs w:val="24"/>
      <w:lang w:eastAsia="ja-JP"/>
      <w14:ligatures w14:val="none"/>
    </w:rPr>
  </w:style>
  <w:style w:type="paragraph" w:customStyle="1" w:styleId="Biography">
    <w:name w:val="Biography"/>
    <w:basedOn w:val="Normal"/>
    <w:autoRedefine/>
    <w:rsid w:val="00C06183"/>
    <w:pPr>
      <w:spacing w:after="0" w:line="240" w:lineRule="auto"/>
    </w:pPr>
    <w:rPr>
      <w:rFonts w:ascii="Times New Roman" w:eastAsia="MS Mincho" w:hAnsi="Times New Roman" w:cs="Times New Roman"/>
      <w:i/>
      <w:sz w:val="24"/>
      <w:szCs w:val="24"/>
      <w:lang w:eastAsia="ja-JP"/>
    </w:rPr>
  </w:style>
  <w:style w:type="character" w:styleId="CommentReference">
    <w:name w:val="annotation reference"/>
    <w:uiPriority w:val="99"/>
    <w:semiHidden/>
    <w:unhideWhenUsed/>
    <w:rsid w:val="00C06183"/>
    <w:rPr>
      <w:sz w:val="16"/>
      <w:szCs w:val="16"/>
    </w:rPr>
  </w:style>
  <w:style w:type="paragraph" w:styleId="CommentText">
    <w:name w:val="annotation text"/>
    <w:basedOn w:val="Normal"/>
    <w:link w:val="CommentTextChar"/>
    <w:uiPriority w:val="99"/>
    <w:unhideWhenUsed/>
    <w:rsid w:val="00C06183"/>
    <w:pPr>
      <w:spacing w:after="0" w:line="240" w:lineRule="auto"/>
    </w:pPr>
    <w:rPr>
      <w:rFonts w:ascii="Times New Roman" w:eastAsia="MS Mincho" w:hAnsi="Times New Roman" w:cs="Times New Roman"/>
      <w:sz w:val="20"/>
      <w:szCs w:val="20"/>
      <w:lang w:val="x-none" w:eastAsia="ja-JP"/>
    </w:rPr>
  </w:style>
  <w:style w:type="character" w:customStyle="1" w:styleId="CommentTextChar">
    <w:name w:val="Comment Text Char"/>
    <w:basedOn w:val="DefaultParagraphFont"/>
    <w:link w:val="CommentText"/>
    <w:uiPriority w:val="99"/>
    <w:rsid w:val="00C06183"/>
    <w:rPr>
      <w:rFonts w:ascii="Times New Roman" w:eastAsia="MS Mincho" w:hAnsi="Times New Roman" w:cs="Times New Roman"/>
      <w:kern w:val="0"/>
      <w:sz w:val="20"/>
      <w:szCs w:val="20"/>
      <w:lang w:val="x-none" w:eastAsia="ja-JP"/>
      <w14:ligatures w14:val="none"/>
    </w:rPr>
  </w:style>
  <w:style w:type="paragraph" w:styleId="CommentSubject">
    <w:name w:val="annotation subject"/>
    <w:basedOn w:val="CommentText"/>
    <w:next w:val="CommentText"/>
    <w:link w:val="CommentSubjectChar"/>
    <w:uiPriority w:val="99"/>
    <w:semiHidden/>
    <w:unhideWhenUsed/>
    <w:rsid w:val="00C06183"/>
    <w:rPr>
      <w:b/>
      <w:bCs/>
    </w:rPr>
  </w:style>
  <w:style w:type="character" w:customStyle="1" w:styleId="CommentSubjectChar">
    <w:name w:val="Comment Subject Char"/>
    <w:basedOn w:val="CommentTextChar"/>
    <w:link w:val="CommentSubject"/>
    <w:uiPriority w:val="99"/>
    <w:semiHidden/>
    <w:rsid w:val="00C06183"/>
    <w:rPr>
      <w:rFonts w:ascii="Times New Roman" w:eastAsia="MS Mincho" w:hAnsi="Times New Roman" w:cs="Times New Roman"/>
      <w:b/>
      <w:bCs/>
      <w:kern w:val="0"/>
      <w:sz w:val="20"/>
      <w:szCs w:val="20"/>
      <w:lang w:val="x-none" w:eastAsia="ja-JP"/>
      <w14:ligatures w14:val="none"/>
    </w:rPr>
  </w:style>
  <w:style w:type="character" w:customStyle="1" w:styleId="normaltextrun">
    <w:name w:val="normaltextrun"/>
    <w:basedOn w:val="DefaultParagraphFont"/>
    <w:rsid w:val="00C06183"/>
  </w:style>
  <w:style w:type="character" w:customStyle="1" w:styleId="eop">
    <w:name w:val="eop"/>
    <w:basedOn w:val="DefaultParagraphFont"/>
    <w:rsid w:val="00C06183"/>
  </w:style>
  <w:style w:type="paragraph" w:styleId="ListParagraph">
    <w:name w:val="List Paragraph"/>
    <w:basedOn w:val="Normal"/>
    <w:uiPriority w:val="34"/>
    <w:qFormat/>
    <w:rsid w:val="00C06183"/>
    <w:pPr>
      <w:spacing w:after="0" w:line="240" w:lineRule="auto"/>
      <w:ind w:left="720"/>
      <w:contextualSpacing/>
    </w:pPr>
    <w:rPr>
      <w:rFonts w:eastAsiaTheme="minorEastAsia"/>
      <w:sz w:val="24"/>
      <w:szCs w:val="24"/>
      <w:lang w:eastAsia="zh-CN"/>
    </w:rPr>
  </w:style>
  <w:style w:type="table" w:styleId="TableGrid">
    <w:name w:val="Table Grid"/>
    <w:basedOn w:val="TableNormal"/>
    <w:uiPriority w:val="39"/>
    <w:rsid w:val="00C06183"/>
    <w:pPr>
      <w:spacing w:after="0" w:line="240" w:lineRule="auto"/>
    </w:pPr>
    <w:rPr>
      <w:rFonts w:eastAsiaTheme="minorEastAsia"/>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183"/>
    <w:rPr>
      <w:color w:val="0563C1" w:themeColor="hyperlink"/>
      <w:u w:val="single"/>
    </w:rPr>
  </w:style>
  <w:style w:type="paragraph" w:styleId="Bibliography">
    <w:name w:val="Bibliography"/>
    <w:basedOn w:val="Normal"/>
    <w:next w:val="Normal"/>
    <w:uiPriority w:val="37"/>
    <w:unhideWhenUsed/>
    <w:rsid w:val="00C06183"/>
    <w:pPr>
      <w:tabs>
        <w:tab w:val="left" w:pos="500"/>
      </w:tabs>
      <w:spacing w:after="0" w:line="480" w:lineRule="auto"/>
      <w:ind w:left="504" w:hanging="504"/>
    </w:pPr>
    <w:rPr>
      <w:rFonts w:eastAsiaTheme="minorEastAsia"/>
      <w:sz w:val="24"/>
      <w:szCs w:val="24"/>
      <w:lang w:eastAsia="zh-CN"/>
    </w:rPr>
  </w:style>
  <w:style w:type="character" w:styleId="Mention">
    <w:name w:val="Mention"/>
    <w:basedOn w:val="DefaultParagraphFont"/>
    <w:uiPriority w:val="99"/>
    <w:unhideWhenUsed/>
    <w:rsid w:val="00C06183"/>
    <w:rPr>
      <w:color w:val="2B579A"/>
      <w:shd w:val="clear" w:color="auto" w:fill="E6E6E6"/>
    </w:rPr>
  </w:style>
  <w:style w:type="paragraph" w:customStyle="1" w:styleId="paragraph">
    <w:name w:val="paragraph"/>
    <w:basedOn w:val="Normal"/>
    <w:rsid w:val="00C0618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PageNumber">
    <w:name w:val="page number"/>
    <w:basedOn w:val="DefaultParagraphFont"/>
    <w:uiPriority w:val="99"/>
    <w:semiHidden/>
    <w:unhideWhenUsed/>
    <w:rsid w:val="00C06183"/>
  </w:style>
  <w:style w:type="character" w:styleId="UnresolvedMention">
    <w:name w:val="Unresolved Mention"/>
    <w:basedOn w:val="DefaultParagraphFont"/>
    <w:uiPriority w:val="99"/>
    <w:unhideWhenUsed/>
    <w:rsid w:val="00C06183"/>
    <w:rPr>
      <w:color w:val="605E5C"/>
      <w:shd w:val="clear" w:color="auto" w:fill="E1DFDD"/>
    </w:rPr>
  </w:style>
  <w:style w:type="character" w:styleId="FollowedHyperlink">
    <w:name w:val="FollowedHyperlink"/>
    <w:basedOn w:val="DefaultParagraphFont"/>
    <w:uiPriority w:val="99"/>
    <w:semiHidden/>
    <w:unhideWhenUsed/>
    <w:rsid w:val="00C06183"/>
    <w:rPr>
      <w:color w:val="954F72" w:themeColor="followedHyperlink"/>
      <w:u w:val="single"/>
    </w:rPr>
  </w:style>
  <w:style w:type="character" w:styleId="LineNumber">
    <w:name w:val="line number"/>
    <w:basedOn w:val="DefaultParagraphFont"/>
    <w:uiPriority w:val="99"/>
    <w:semiHidden/>
    <w:unhideWhenUsed/>
    <w:rsid w:val="00C06183"/>
  </w:style>
  <w:style w:type="paragraph" w:styleId="NormalWeb">
    <w:name w:val="Normal (Web)"/>
    <w:basedOn w:val="Normal"/>
    <w:uiPriority w:val="99"/>
    <w:semiHidden/>
    <w:unhideWhenUsed/>
    <w:rsid w:val="00C06183"/>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C06183"/>
    <w:rPr>
      <w:vertAlign w:val="superscript"/>
    </w:rPr>
  </w:style>
  <w:style w:type="character" w:customStyle="1" w:styleId="scxw27505186">
    <w:name w:val="scxw27505186"/>
    <w:basedOn w:val="DefaultParagraphFont"/>
    <w:rsid w:val="00C06183"/>
  </w:style>
  <w:style w:type="character" w:customStyle="1" w:styleId="Heading1Char">
    <w:name w:val="Heading 1 Char"/>
    <w:basedOn w:val="DefaultParagraphFont"/>
    <w:link w:val="Heading1"/>
    <w:uiPriority w:val="9"/>
    <w:rsid w:val="00721691"/>
    <w:rPr>
      <w:rFonts w:ascii="Arial" w:eastAsiaTheme="majorEastAsia" w:hAnsi="Arial" w:cstheme="majorBidi"/>
      <w:b/>
      <w:kern w:val="0"/>
      <w:sz w:val="24"/>
      <w:szCs w:val="32"/>
      <w14:ligatures w14:val="none"/>
    </w:rPr>
  </w:style>
  <w:style w:type="character" w:customStyle="1" w:styleId="Heading2Char">
    <w:name w:val="Heading 2 Char"/>
    <w:basedOn w:val="DefaultParagraphFont"/>
    <w:link w:val="Heading2"/>
    <w:uiPriority w:val="9"/>
    <w:rsid w:val="00721691"/>
    <w:rPr>
      <w:rFonts w:ascii="Arial" w:eastAsiaTheme="majorEastAsia" w:hAnsi="Arial" w:cstheme="majorBidi"/>
      <w:b/>
      <w:kern w:val="0"/>
      <w:sz w:val="24"/>
      <w:szCs w:val="26"/>
      <w14:ligatures w14:val="none"/>
    </w:rPr>
  </w:style>
  <w:style w:type="character" w:styleId="PlaceholderText">
    <w:name w:val="Placeholder Text"/>
    <w:basedOn w:val="DefaultParagraphFont"/>
    <w:uiPriority w:val="99"/>
    <w:semiHidden/>
    <w:rsid w:val="000D3D4F"/>
    <w:rPr>
      <w:color w:val="808080"/>
    </w:rPr>
  </w:style>
  <w:style w:type="paragraph" w:customStyle="1" w:styleId="Default">
    <w:name w:val="Default"/>
    <w:rsid w:val="000D3D4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Revision">
    <w:name w:val="Revision"/>
    <w:hidden/>
    <w:uiPriority w:val="99"/>
    <w:semiHidden/>
    <w:rsid w:val="000D3D4F"/>
    <w:pPr>
      <w:spacing w:after="0" w:line="240" w:lineRule="auto"/>
    </w:pPr>
    <w:rPr>
      <w:kern w:val="0"/>
      <w14:ligatures w14:val="none"/>
    </w:rPr>
  </w:style>
  <w:style w:type="table" w:customStyle="1" w:styleId="TableGrid1">
    <w:name w:val="Table Grid1"/>
    <w:basedOn w:val="TableNormal"/>
    <w:next w:val="TableGrid"/>
    <w:uiPriority w:val="59"/>
    <w:rsid w:val="000D3D4F"/>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A2E41"/>
    <w:pPr>
      <w:spacing w:after="0" w:line="240" w:lineRule="auto"/>
    </w:pPr>
    <w:rPr>
      <w:kern w:val="0"/>
      <w14:ligatures w14:val="none"/>
    </w:rPr>
  </w:style>
  <w:style w:type="character" w:customStyle="1" w:styleId="Heading3Char">
    <w:name w:val="Heading 3 Char"/>
    <w:basedOn w:val="DefaultParagraphFont"/>
    <w:link w:val="Heading3"/>
    <w:uiPriority w:val="9"/>
    <w:rsid w:val="00721691"/>
    <w:rPr>
      <w:rFonts w:ascii="Arial" w:eastAsiaTheme="majorEastAsia" w:hAnsi="Arial" w:cstheme="majorBidi"/>
      <w:b/>
      <w:kern w:val="0"/>
      <w:sz w:val="24"/>
      <w:szCs w:val="24"/>
      <w14:ligatures w14:val="none"/>
    </w:rPr>
  </w:style>
  <w:style w:type="character" w:customStyle="1" w:styleId="Heading4Char">
    <w:name w:val="Heading 4 Char"/>
    <w:basedOn w:val="DefaultParagraphFont"/>
    <w:link w:val="Heading4"/>
    <w:uiPriority w:val="9"/>
    <w:rsid w:val="00721691"/>
    <w:rPr>
      <w:rFonts w:ascii="Arial" w:eastAsiaTheme="majorEastAsia" w:hAnsi="Arial" w:cstheme="majorBidi"/>
      <w:iCs/>
      <w:kern w:val="0"/>
      <w:sz w:val="24"/>
      <w14:ligatures w14:val="none"/>
    </w:rPr>
  </w:style>
  <w:style w:type="paragraph" w:styleId="TOCHeading">
    <w:name w:val="TOC Heading"/>
    <w:basedOn w:val="Heading1"/>
    <w:next w:val="Normal"/>
    <w:uiPriority w:val="39"/>
    <w:unhideWhenUsed/>
    <w:qFormat/>
    <w:rsid w:val="007D08B7"/>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4E10C8"/>
    <w:pPr>
      <w:tabs>
        <w:tab w:val="right" w:leader="dot" w:pos="9350"/>
      </w:tabs>
      <w:spacing w:after="100"/>
    </w:pPr>
  </w:style>
  <w:style w:type="paragraph" w:styleId="TOC2">
    <w:name w:val="toc 2"/>
    <w:basedOn w:val="Normal"/>
    <w:next w:val="Normal"/>
    <w:autoRedefine/>
    <w:uiPriority w:val="39"/>
    <w:unhideWhenUsed/>
    <w:rsid w:val="007D08B7"/>
    <w:pPr>
      <w:spacing w:after="100"/>
      <w:ind w:left="220"/>
    </w:pPr>
  </w:style>
  <w:style w:type="paragraph" w:styleId="TOC3">
    <w:name w:val="toc 3"/>
    <w:basedOn w:val="Normal"/>
    <w:next w:val="Normal"/>
    <w:autoRedefine/>
    <w:uiPriority w:val="39"/>
    <w:unhideWhenUsed/>
    <w:rsid w:val="007D08B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77495">
      <w:bodyDiv w:val="1"/>
      <w:marLeft w:val="0"/>
      <w:marRight w:val="0"/>
      <w:marTop w:val="0"/>
      <w:marBottom w:val="0"/>
      <w:divBdr>
        <w:top w:val="none" w:sz="0" w:space="0" w:color="auto"/>
        <w:left w:val="none" w:sz="0" w:space="0" w:color="auto"/>
        <w:bottom w:val="none" w:sz="0" w:space="0" w:color="auto"/>
        <w:right w:val="none" w:sz="0" w:space="0" w:color="auto"/>
      </w:divBdr>
    </w:div>
    <w:div w:id="623772411">
      <w:bodyDiv w:val="1"/>
      <w:marLeft w:val="0"/>
      <w:marRight w:val="0"/>
      <w:marTop w:val="0"/>
      <w:marBottom w:val="0"/>
      <w:divBdr>
        <w:top w:val="none" w:sz="0" w:space="0" w:color="auto"/>
        <w:left w:val="none" w:sz="0" w:space="0" w:color="auto"/>
        <w:bottom w:val="none" w:sz="0" w:space="0" w:color="auto"/>
        <w:right w:val="none" w:sz="0" w:space="0" w:color="auto"/>
      </w:divBdr>
    </w:div>
    <w:div w:id="1365716512">
      <w:bodyDiv w:val="1"/>
      <w:marLeft w:val="0"/>
      <w:marRight w:val="0"/>
      <w:marTop w:val="0"/>
      <w:marBottom w:val="0"/>
      <w:divBdr>
        <w:top w:val="none" w:sz="0" w:space="0" w:color="auto"/>
        <w:left w:val="none" w:sz="0" w:space="0" w:color="auto"/>
        <w:bottom w:val="none" w:sz="0" w:space="0" w:color="auto"/>
        <w:right w:val="none" w:sz="0" w:space="0" w:color="auto"/>
      </w:divBdr>
    </w:div>
    <w:div w:id="1729262532">
      <w:bodyDiv w:val="1"/>
      <w:marLeft w:val="0"/>
      <w:marRight w:val="0"/>
      <w:marTop w:val="0"/>
      <w:marBottom w:val="0"/>
      <w:divBdr>
        <w:top w:val="none" w:sz="0" w:space="0" w:color="auto"/>
        <w:left w:val="none" w:sz="0" w:space="0" w:color="auto"/>
        <w:bottom w:val="none" w:sz="0" w:space="0" w:color="auto"/>
        <w:right w:val="none" w:sz="0" w:space="0" w:color="auto"/>
      </w:divBdr>
      <w:divsChild>
        <w:div w:id="1002778434">
          <w:marLeft w:val="0"/>
          <w:marRight w:val="0"/>
          <w:marTop w:val="0"/>
          <w:marBottom w:val="0"/>
          <w:divBdr>
            <w:top w:val="none" w:sz="0" w:space="0" w:color="auto"/>
            <w:left w:val="none" w:sz="0" w:space="0" w:color="auto"/>
            <w:bottom w:val="none" w:sz="0" w:space="0" w:color="auto"/>
            <w:right w:val="none" w:sz="0" w:space="0" w:color="auto"/>
          </w:divBdr>
        </w:div>
        <w:div w:id="1845782498">
          <w:marLeft w:val="0"/>
          <w:marRight w:val="0"/>
          <w:marTop w:val="0"/>
          <w:marBottom w:val="0"/>
          <w:divBdr>
            <w:top w:val="none" w:sz="0" w:space="0" w:color="auto"/>
            <w:left w:val="none" w:sz="0" w:space="0" w:color="auto"/>
            <w:bottom w:val="none" w:sz="0" w:space="0" w:color="auto"/>
            <w:right w:val="none" w:sz="0" w:space="0" w:color="auto"/>
          </w:divBdr>
          <w:divsChild>
            <w:div w:id="1385719695">
              <w:marLeft w:val="0"/>
              <w:marRight w:val="0"/>
              <w:marTop w:val="0"/>
              <w:marBottom w:val="0"/>
              <w:divBdr>
                <w:top w:val="none" w:sz="0" w:space="0" w:color="auto"/>
                <w:left w:val="none" w:sz="0" w:space="0" w:color="auto"/>
                <w:bottom w:val="none" w:sz="0" w:space="0" w:color="auto"/>
                <w:right w:val="none" w:sz="0" w:space="0" w:color="auto"/>
              </w:divBdr>
              <w:divsChild>
                <w:div w:id="11201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3833">
      <w:bodyDiv w:val="1"/>
      <w:marLeft w:val="0"/>
      <w:marRight w:val="0"/>
      <w:marTop w:val="0"/>
      <w:marBottom w:val="0"/>
      <w:divBdr>
        <w:top w:val="none" w:sz="0" w:space="0" w:color="auto"/>
        <w:left w:val="none" w:sz="0" w:space="0" w:color="auto"/>
        <w:bottom w:val="none" w:sz="0" w:space="0" w:color="auto"/>
        <w:right w:val="none" w:sz="0" w:space="0" w:color="auto"/>
      </w:divBdr>
    </w:div>
    <w:div w:id="2041588105">
      <w:bodyDiv w:val="1"/>
      <w:marLeft w:val="0"/>
      <w:marRight w:val="0"/>
      <w:marTop w:val="0"/>
      <w:marBottom w:val="0"/>
      <w:divBdr>
        <w:top w:val="none" w:sz="0" w:space="0" w:color="auto"/>
        <w:left w:val="none" w:sz="0" w:space="0" w:color="auto"/>
        <w:bottom w:val="none" w:sz="0" w:space="0" w:color="auto"/>
        <w:right w:val="none" w:sz="0" w:space="0" w:color="auto"/>
      </w:divBdr>
      <w:divsChild>
        <w:div w:id="625044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tiff"/><Relationship Id="rId26" Type="http://schemas.openxmlformats.org/officeDocument/2006/relationships/image" Target="media/image17.png"/><Relationship Id="rId39" Type="http://schemas.openxmlformats.org/officeDocument/2006/relationships/image" Target="media/image30.tiff"/><Relationship Id="rId21" Type="http://schemas.openxmlformats.org/officeDocument/2006/relationships/image" Target="media/image12.tiff"/><Relationship Id="rId34" Type="http://schemas.openxmlformats.org/officeDocument/2006/relationships/image" Target="media/image25.tiff"/><Relationship Id="rId42" Type="http://schemas.openxmlformats.org/officeDocument/2006/relationships/image" Target="media/image33.tiff"/><Relationship Id="rId47" Type="http://schemas.openxmlformats.org/officeDocument/2006/relationships/image" Target="media/image38.tiff"/><Relationship Id="rId50" Type="http://schemas.openxmlformats.org/officeDocument/2006/relationships/hyperlink" Target="https://pubs.acs.org/doi/10.1021/acsnano.2c1280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tiff"/><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image" Target="media/image31.tiff"/><Relationship Id="rId45" Type="http://schemas.openxmlformats.org/officeDocument/2006/relationships/image" Target="media/image36.tif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19" Type="http://schemas.openxmlformats.org/officeDocument/2006/relationships/image" Target="media/image10.tiff"/><Relationship Id="rId31" Type="http://schemas.openxmlformats.org/officeDocument/2006/relationships/image" Target="media/image22.tiff"/><Relationship Id="rId44" Type="http://schemas.openxmlformats.org/officeDocument/2006/relationships/image" Target="media/image35.tiff"/><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tiff"/><Relationship Id="rId30" Type="http://schemas.openxmlformats.org/officeDocument/2006/relationships/image" Target="media/image21.jpeg"/><Relationship Id="rId35" Type="http://schemas.openxmlformats.org/officeDocument/2006/relationships/image" Target="media/image26.tiff"/><Relationship Id="rId43" Type="http://schemas.openxmlformats.org/officeDocument/2006/relationships/image" Target="media/image34.tiff"/><Relationship Id="rId48"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hyperlink" Target="https://doi.org/10.1021/acsnano.2c12808"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tiff"/><Relationship Id="rId25" Type="http://schemas.openxmlformats.org/officeDocument/2006/relationships/image" Target="media/image16.png"/><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png"/><Relationship Id="rId20" Type="http://schemas.openxmlformats.org/officeDocument/2006/relationships/image" Target="media/image11.tiff"/><Relationship Id="rId41" Type="http://schemas.openxmlformats.org/officeDocument/2006/relationships/image" Target="media/image32.tif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49"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C3FFF-3663-4262-876B-29F06E90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18293</TotalTime>
  <Pages>219</Pages>
  <Words>235960</Words>
  <Characters>1344975</Characters>
  <Application>Microsoft Office Word</Application>
  <DocSecurity>0</DocSecurity>
  <Lines>11208</Lines>
  <Paragraphs>3155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1577780</CharactersWithSpaces>
  <SharedDoc>false</SharedDoc>
  <HLinks>
    <vt:vector size="372" baseType="variant">
      <vt:variant>
        <vt:i4>3997820</vt:i4>
      </vt:variant>
      <vt:variant>
        <vt:i4>1260</vt:i4>
      </vt:variant>
      <vt:variant>
        <vt:i4>0</vt:i4>
      </vt:variant>
      <vt:variant>
        <vt:i4>5</vt:i4>
      </vt:variant>
      <vt:variant>
        <vt:lpwstr>https://doi.org/10.1021/acsnano.2c12808</vt:lpwstr>
      </vt:variant>
      <vt:variant>
        <vt:lpwstr/>
      </vt:variant>
      <vt:variant>
        <vt:i4>1114167</vt:i4>
      </vt:variant>
      <vt:variant>
        <vt:i4>344</vt:i4>
      </vt:variant>
      <vt:variant>
        <vt:i4>0</vt:i4>
      </vt:variant>
      <vt:variant>
        <vt:i4>5</vt:i4>
      </vt:variant>
      <vt:variant>
        <vt:lpwstr/>
      </vt:variant>
      <vt:variant>
        <vt:lpwstr>_Toc147156458</vt:lpwstr>
      </vt:variant>
      <vt:variant>
        <vt:i4>1114167</vt:i4>
      </vt:variant>
      <vt:variant>
        <vt:i4>338</vt:i4>
      </vt:variant>
      <vt:variant>
        <vt:i4>0</vt:i4>
      </vt:variant>
      <vt:variant>
        <vt:i4>5</vt:i4>
      </vt:variant>
      <vt:variant>
        <vt:lpwstr/>
      </vt:variant>
      <vt:variant>
        <vt:lpwstr>_Toc147156457</vt:lpwstr>
      </vt:variant>
      <vt:variant>
        <vt:i4>1114167</vt:i4>
      </vt:variant>
      <vt:variant>
        <vt:i4>332</vt:i4>
      </vt:variant>
      <vt:variant>
        <vt:i4>0</vt:i4>
      </vt:variant>
      <vt:variant>
        <vt:i4>5</vt:i4>
      </vt:variant>
      <vt:variant>
        <vt:lpwstr/>
      </vt:variant>
      <vt:variant>
        <vt:lpwstr>_Toc147156456</vt:lpwstr>
      </vt:variant>
      <vt:variant>
        <vt:i4>1114167</vt:i4>
      </vt:variant>
      <vt:variant>
        <vt:i4>326</vt:i4>
      </vt:variant>
      <vt:variant>
        <vt:i4>0</vt:i4>
      </vt:variant>
      <vt:variant>
        <vt:i4>5</vt:i4>
      </vt:variant>
      <vt:variant>
        <vt:lpwstr/>
      </vt:variant>
      <vt:variant>
        <vt:lpwstr>_Toc147156455</vt:lpwstr>
      </vt:variant>
      <vt:variant>
        <vt:i4>1114167</vt:i4>
      </vt:variant>
      <vt:variant>
        <vt:i4>320</vt:i4>
      </vt:variant>
      <vt:variant>
        <vt:i4>0</vt:i4>
      </vt:variant>
      <vt:variant>
        <vt:i4>5</vt:i4>
      </vt:variant>
      <vt:variant>
        <vt:lpwstr/>
      </vt:variant>
      <vt:variant>
        <vt:lpwstr>_Toc147156454</vt:lpwstr>
      </vt:variant>
      <vt:variant>
        <vt:i4>1114167</vt:i4>
      </vt:variant>
      <vt:variant>
        <vt:i4>314</vt:i4>
      </vt:variant>
      <vt:variant>
        <vt:i4>0</vt:i4>
      </vt:variant>
      <vt:variant>
        <vt:i4>5</vt:i4>
      </vt:variant>
      <vt:variant>
        <vt:lpwstr/>
      </vt:variant>
      <vt:variant>
        <vt:lpwstr>_Toc147156453</vt:lpwstr>
      </vt:variant>
      <vt:variant>
        <vt:i4>1114167</vt:i4>
      </vt:variant>
      <vt:variant>
        <vt:i4>308</vt:i4>
      </vt:variant>
      <vt:variant>
        <vt:i4>0</vt:i4>
      </vt:variant>
      <vt:variant>
        <vt:i4>5</vt:i4>
      </vt:variant>
      <vt:variant>
        <vt:lpwstr/>
      </vt:variant>
      <vt:variant>
        <vt:lpwstr>_Toc147156452</vt:lpwstr>
      </vt:variant>
      <vt:variant>
        <vt:i4>1114167</vt:i4>
      </vt:variant>
      <vt:variant>
        <vt:i4>302</vt:i4>
      </vt:variant>
      <vt:variant>
        <vt:i4>0</vt:i4>
      </vt:variant>
      <vt:variant>
        <vt:i4>5</vt:i4>
      </vt:variant>
      <vt:variant>
        <vt:lpwstr/>
      </vt:variant>
      <vt:variant>
        <vt:lpwstr>_Toc147156451</vt:lpwstr>
      </vt:variant>
      <vt:variant>
        <vt:i4>1114167</vt:i4>
      </vt:variant>
      <vt:variant>
        <vt:i4>296</vt:i4>
      </vt:variant>
      <vt:variant>
        <vt:i4>0</vt:i4>
      </vt:variant>
      <vt:variant>
        <vt:i4>5</vt:i4>
      </vt:variant>
      <vt:variant>
        <vt:lpwstr/>
      </vt:variant>
      <vt:variant>
        <vt:lpwstr>_Toc147156450</vt:lpwstr>
      </vt:variant>
      <vt:variant>
        <vt:i4>1048631</vt:i4>
      </vt:variant>
      <vt:variant>
        <vt:i4>290</vt:i4>
      </vt:variant>
      <vt:variant>
        <vt:i4>0</vt:i4>
      </vt:variant>
      <vt:variant>
        <vt:i4>5</vt:i4>
      </vt:variant>
      <vt:variant>
        <vt:lpwstr/>
      </vt:variant>
      <vt:variant>
        <vt:lpwstr>_Toc147156449</vt:lpwstr>
      </vt:variant>
      <vt:variant>
        <vt:i4>1048631</vt:i4>
      </vt:variant>
      <vt:variant>
        <vt:i4>284</vt:i4>
      </vt:variant>
      <vt:variant>
        <vt:i4>0</vt:i4>
      </vt:variant>
      <vt:variant>
        <vt:i4>5</vt:i4>
      </vt:variant>
      <vt:variant>
        <vt:lpwstr/>
      </vt:variant>
      <vt:variant>
        <vt:lpwstr>_Toc147156448</vt:lpwstr>
      </vt:variant>
      <vt:variant>
        <vt:i4>1048631</vt:i4>
      </vt:variant>
      <vt:variant>
        <vt:i4>278</vt:i4>
      </vt:variant>
      <vt:variant>
        <vt:i4>0</vt:i4>
      </vt:variant>
      <vt:variant>
        <vt:i4>5</vt:i4>
      </vt:variant>
      <vt:variant>
        <vt:lpwstr/>
      </vt:variant>
      <vt:variant>
        <vt:lpwstr>_Toc147156447</vt:lpwstr>
      </vt:variant>
      <vt:variant>
        <vt:i4>1048631</vt:i4>
      </vt:variant>
      <vt:variant>
        <vt:i4>272</vt:i4>
      </vt:variant>
      <vt:variant>
        <vt:i4>0</vt:i4>
      </vt:variant>
      <vt:variant>
        <vt:i4>5</vt:i4>
      </vt:variant>
      <vt:variant>
        <vt:lpwstr/>
      </vt:variant>
      <vt:variant>
        <vt:lpwstr>_Toc147156446</vt:lpwstr>
      </vt:variant>
      <vt:variant>
        <vt:i4>1048631</vt:i4>
      </vt:variant>
      <vt:variant>
        <vt:i4>266</vt:i4>
      </vt:variant>
      <vt:variant>
        <vt:i4>0</vt:i4>
      </vt:variant>
      <vt:variant>
        <vt:i4>5</vt:i4>
      </vt:variant>
      <vt:variant>
        <vt:lpwstr/>
      </vt:variant>
      <vt:variant>
        <vt:lpwstr>_Toc147156445</vt:lpwstr>
      </vt:variant>
      <vt:variant>
        <vt:i4>1048631</vt:i4>
      </vt:variant>
      <vt:variant>
        <vt:i4>260</vt:i4>
      </vt:variant>
      <vt:variant>
        <vt:i4>0</vt:i4>
      </vt:variant>
      <vt:variant>
        <vt:i4>5</vt:i4>
      </vt:variant>
      <vt:variant>
        <vt:lpwstr/>
      </vt:variant>
      <vt:variant>
        <vt:lpwstr>_Toc147156444</vt:lpwstr>
      </vt:variant>
      <vt:variant>
        <vt:i4>1048631</vt:i4>
      </vt:variant>
      <vt:variant>
        <vt:i4>254</vt:i4>
      </vt:variant>
      <vt:variant>
        <vt:i4>0</vt:i4>
      </vt:variant>
      <vt:variant>
        <vt:i4>5</vt:i4>
      </vt:variant>
      <vt:variant>
        <vt:lpwstr/>
      </vt:variant>
      <vt:variant>
        <vt:lpwstr>_Toc147156443</vt:lpwstr>
      </vt:variant>
      <vt:variant>
        <vt:i4>1048631</vt:i4>
      </vt:variant>
      <vt:variant>
        <vt:i4>248</vt:i4>
      </vt:variant>
      <vt:variant>
        <vt:i4>0</vt:i4>
      </vt:variant>
      <vt:variant>
        <vt:i4>5</vt:i4>
      </vt:variant>
      <vt:variant>
        <vt:lpwstr/>
      </vt:variant>
      <vt:variant>
        <vt:lpwstr>_Toc147156442</vt:lpwstr>
      </vt:variant>
      <vt:variant>
        <vt:i4>1048631</vt:i4>
      </vt:variant>
      <vt:variant>
        <vt:i4>242</vt:i4>
      </vt:variant>
      <vt:variant>
        <vt:i4>0</vt:i4>
      </vt:variant>
      <vt:variant>
        <vt:i4>5</vt:i4>
      </vt:variant>
      <vt:variant>
        <vt:lpwstr/>
      </vt:variant>
      <vt:variant>
        <vt:lpwstr>_Toc147156441</vt:lpwstr>
      </vt:variant>
      <vt:variant>
        <vt:i4>1048631</vt:i4>
      </vt:variant>
      <vt:variant>
        <vt:i4>236</vt:i4>
      </vt:variant>
      <vt:variant>
        <vt:i4>0</vt:i4>
      </vt:variant>
      <vt:variant>
        <vt:i4>5</vt:i4>
      </vt:variant>
      <vt:variant>
        <vt:lpwstr/>
      </vt:variant>
      <vt:variant>
        <vt:lpwstr>_Toc147156440</vt:lpwstr>
      </vt:variant>
      <vt:variant>
        <vt:i4>1507383</vt:i4>
      </vt:variant>
      <vt:variant>
        <vt:i4>230</vt:i4>
      </vt:variant>
      <vt:variant>
        <vt:i4>0</vt:i4>
      </vt:variant>
      <vt:variant>
        <vt:i4>5</vt:i4>
      </vt:variant>
      <vt:variant>
        <vt:lpwstr/>
      </vt:variant>
      <vt:variant>
        <vt:lpwstr>_Toc147156439</vt:lpwstr>
      </vt:variant>
      <vt:variant>
        <vt:i4>1507383</vt:i4>
      </vt:variant>
      <vt:variant>
        <vt:i4>224</vt:i4>
      </vt:variant>
      <vt:variant>
        <vt:i4>0</vt:i4>
      </vt:variant>
      <vt:variant>
        <vt:i4>5</vt:i4>
      </vt:variant>
      <vt:variant>
        <vt:lpwstr/>
      </vt:variant>
      <vt:variant>
        <vt:lpwstr>_Toc147156438</vt:lpwstr>
      </vt:variant>
      <vt:variant>
        <vt:i4>1507383</vt:i4>
      </vt:variant>
      <vt:variant>
        <vt:i4>218</vt:i4>
      </vt:variant>
      <vt:variant>
        <vt:i4>0</vt:i4>
      </vt:variant>
      <vt:variant>
        <vt:i4>5</vt:i4>
      </vt:variant>
      <vt:variant>
        <vt:lpwstr/>
      </vt:variant>
      <vt:variant>
        <vt:lpwstr>_Toc147156437</vt:lpwstr>
      </vt:variant>
      <vt:variant>
        <vt:i4>1507383</vt:i4>
      </vt:variant>
      <vt:variant>
        <vt:i4>212</vt:i4>
      </vt:variant>
      <vt:variant>
        <vt:i4>0</vt:i4>
      </vt:variant>
      <vt:variant>
        <vt:i4>5</vt:i4>
      </vt:variant>
      <vt:variant>
        <vt:lpwstr/>
      </vt:variant>
      <vt:variant>
        <vt:lpwstr>_Toc147156436</vt:lpwstr>
      </vt:variant>
      <vt:variant>
        <vt:i4>1507383</vt:i4>
      </vt:variant>
      <vt:variant>
        <vt:i4>206</vt:i4>
      </vt:variant>
      <vt:variant>
        <vt:i4>0</vt:i4>
      </vt:variant>
      <vt:variant>
        <vt:i4>5</vt:i4>
      </vt:variant>
      <vt:variant>
        <vt:lpwstr/>
      </vt:variant>
      <vt:variant>
        <vt:lpwstr>_Toc147156435</vt:lpwstr>
      </vt:variant>
      <vt:variant>
        <vt:i4>1507383</vt:i4>
      </vt:variant>
      <vt:variant>
        <vt:i4>200</vt:i4>
      </vt:variant>
      <vt:variant>
        <vt:i4>0</vt:i4>
      </vt:variant>
      <vt:variant>
        <vt:i4>5</vt:i4>
      </vt:variant>
      <vt:variant>
        <vt:lpwstr/>
      </vt:variant>
      <vt:variant>
        <vt:lpwstr>_Toc147156434</vt:lpwstr>
      </vt:variant>
      <vt:variant>
        <vt:i4>1507383</vt:i4>
      </vt:variant>
      <vt:variant>
        <vt:i4>194</vt:i4>
      </vt:variant>
      <vt:variant>
        <vt:i4>0</vt:i4>
      </vt:variant>
      <vt:variant>
        <vt:i4>5</vt:i4>
      </vt:variant>
      <vt:variant>
        <vt:lpwstr/>
      </vt:variant>
      <vt:variant>
        <vt:lpwstr>_Toc147156433</vt:lpwstr>
      </vt:variant>
      <vt:variant>
        <vt:i4>1507383</vt:i4>
      </vt:variant>
      <vt:variant>
        <vt:i4>188</vt:i4>
      </vt:variant>
      <vt:variant>
        <vt:i4>0</vt:i4>
      </vt:variant>
      <vt:variant>
        <vt:i4>5</vt:i4>
      </vt:variant>
      <vt:variant>
        <vt:lpwstr/>
      </vt:variant>
      <vt:variant>
        <vt:lpwstr>_Toc147156432</vt:lpwstr>
      </vt:variant>
      <vt:variant>
        <vt:i4>1507383</vt:i4>
      </vt:variant>
      <vt:variant>
        <vt:i4>182</vt:i4>
      </vt:variant>
      <vt:variant>
        <vt:i4>0</vt:i4>
      </vt:variant>
      <vt:variant>
        <vt:i4>5</vt:i4>
      </vt:variant>
      <vt:variant>
        <vt:lpwstr/>
      </vt:variant>
      <vt:variant>
        <vt:lpwstr>_Toc147156431</vt:lpwstr>
      </vt:variant>
      <vt:variant>
        <vt:i4>1507383</vt:i4>
      </vt:variant>
      <vt:variant>
        <vt:i4>176</vt:i4>
      </vt:variant>
      <vt:variant>
        <vt:i4>0</vt:i4>
      </vt:variant>
      <vt:variant>
        <vt:i4>5</vt:i4>
      </vt:variant>
      <vt:variant>
        <vt:lpwstr/>
      </vt:variant>
      <vt:variant>
        <vt:lpwstr>_Toc147156430</vt:lpwstr>
      </vt:variant>
      <vt:variant>
        <vt:i4>1441847</vt:i4>
      </vt:variant>
      <vt:variant>
        <vt:i4>170</vt:i4>
      </vt:variant>
      <vt:variant>
        <vt:i4>0</vt:i4>
      </vt:variant>
      <vt:variant>
        <vt:i4>5</vt:i4>
      </vt:variant>
      <vt:variant>
        <vt:lpwstr/>
      </vt:variant>
      <vt:variant>
        <vt:lpwstr>_Toc147156429</vt:lpwstr>
      </vt:variant>
      <vt:variant>
        <vt:i4>1441847</vt:i4>
      </vt:variant>
      <vt:variant>
        <vt:i4>164</vt:i4>
      </vt:variant>
      <vt:variant>
        <vt:i4>0</vt:i4>
      </vt:variant>
      <vt:variant>
        <vt:i4>5</vt:i4>
      </vt:variant>
      <vt:variant>
        <vt:lpwstr/>
      </vt:variant>
      <vt:variant>
        <vt:lpwstr>_Toc147156428</vt:lpwstr>
      </vt:variant>
      <vt:variant>
        <vt:i4>1441847</vt:i4>
      </vt:variant>
      <vt:variant>
        <vt:i4>158</vt:i4>
      </vt:variant>
      <vt:variant>
        <vt:i4>0</vt:i4>
      </vt:variant>
      <vt:variant>
        <vt:i4>5</vt:i4>
      </vt:variant>
      <vt:variant>
        <vt:lpwstr/>
      </vt:variant>
      <vt:variant>
        <vt:lpwstr>_Toc147156427</vt:lpwstr>
      </vt:variant>
      <vt:variant>
        <vt:i4>1441847</vt:i4>
      </vt:variant>
      <vt:variant>
        <vt:i4>152</vt:i4>
      </vt:variant>
      <vt:variant>
        <vt:i4>0</vt:i4>
      </vt:variant>
      <vt:variant>
        <vt:i4>5</vt:i4>
      </vt:variant>
      <vt:variant>
        <vt:lpwstr/>
      </vt:variant>
      <vt:variant>
        <vt:lpwstr>_Toc147156426</vt:lpwstr>
      </vt:variant>
      <vt:variant>
        <vt:i4>1441847</vt:i4>
      </vt:variant>
      <vt:variant>
        <vt:i4>146</vt:i4>
      </vt:variant>
      <vt:variant>
        <vt:i4>0</vt:i4>
      </vt:variant>
      <vt:variant>
        <vt:i4>5</vt:i4>
      </vt:variant>
      <vt:variant>
        <vt:lpwstr/>
      </vt:variant>
      <vt:variant>
        <vt:lpwstr>_Toc147156425</vt:lpwstr>
      </vt:variant>
      <vt:variant>
        <vt:i4>1441847</vt:i4>
      </vt:variant>
      <vt:variant>
        <vt:i4>140</vt:i4>
      </vt:variant>
      <vt:variant>
        <vt:i4>0</vt:i4>
      </vt:variant>
      <vt:variant>
        <vt:i4>5</vt:i4>
      </vt:variant>
      <vt:variant>
        <vt:lpwstr/>
      </vt:variant>
      <vt:variant>
        <vt:lpwstr>_Toc147156424</vt:lpwstr>
      </vt:variant>
      <vt:variant>
        <vt:i4>1441847</vt:i4>
      </vt:variant>
      <vt:variant>
        <vt:i4>134</vt:i4>
      </vt:variant>
      <vt:variant>
        <vt:i4>0</vt:i4>
      </vt:variant>
      <vt:variant>
        <vt:i4>5</vt:i4>
      </vt:variant>
      <vt:variant>
        <vt:lpwstr/>
      </vt:variant>
      <vt:variant>
        <vt:lpwstr>_Toc147156423</vt:lpwstr>
      </vt:variant>
      <vt:variant>
        <vt:i4>1441847</vt:i4>
      </vt:variant>
      <vt:variant>
        <vt:i4>128</vt:i4>
      </vt:variant>
      <vt:variant>
        <vt:i4>0</vt:i4>
      </vt:variant>
      <vt:variant>
        <vt:i4>5</vt:i4>
      </vt:variant>
      <vt:variant>
        <vt:lpwstr/>
      </vt:variant>
      <vt:variant>
        <vt:lpwstr>_Toc147156422</vt:lpwstr>
      </vt:variant>
      <vt:variant>
        <vt:i4>1441847</vt:i4>
      </vt:variant>
      <vt:variant>
        <vt:i4>122</vt:i4>
      </vt:variant>
      <vt:variant>
        <vt:i4>0</vt:i4>
      </vt:variant>
      <vt:variant>
        <vt:i4>5</vt:i4>
      </vt:variant>
      <vt:variant>
        <vt:lpwstr/>
      </vt:variant>
      <vt:variant>
        <vt:lpwstr>_Toc147156421</vt:lpwstr>
      </vt:variant>
      <vt:variant>
        <vt:i4>1441847</vt:i4>
      </vt:variant>
      <vt:variant>
        <vt:i4>116</vt:i4>
      </vt:variant>
      <vt:variant>
        <vt:i4>0</vt:i4>
      </vt:variant>
      <vt:variant>
        <vt:i4>5</vt:i4>
      </vt:variant>
      <vt:variant>
        <vt:lpwstr/>
      </vt:variant>
      <vt:variant>
        <vt:lpwstr>_Toc147156420</vt:lpwstr>
      </vt:variant>
      <vt:variant>
        <vt:i4>1376311</vt:i4>
      </vt:variant>
      <vt:variant>
        <vt:i4>110</vt:i4>
      </vt:variant>
      <vt:variant>
        <vt:i4>0</vt:i4>
      </vt:variant>
      <vt:variant>
        <vt:i4>5</vt:i4>
      </vt:variant>
      <vt:variant>
        <vt:lpwstr/>
      </vt:variant>
      <vt:variant>
        <vt:lpwstr>_Toc147156419</vt:lpwstr>
      </vt:variant>
      <vt:variant>
        <vt:i4>1376311</vt:i4>
      </vt:variant>
      <vt:variant>
        <vt:i4>104</vt:i4>
      </vt:variant>
      <vt:variant>
        <vt:i4>0</vt:i4>
      </vt:variant>
      <vt:variant>
        <vt:i4>5</vt:i4>
      </vt:variant>
      <vt:variant>
        <vt:lpwstr/>
      </vt:variant>
      <vt:variant>
        <vt:lpwstr>_Toc147156418</vt:lpwstr>
      </vt:variant>
      <vt:variant>
        <vt:i4>1376311</vt:i4>
      </vt:variant>
      <vt:variant>
        <vt:i4>98</vt:i4>
      </vt:variant>
      <vt:variant>
        <vt:i4>0</vt:i4>
      </vt:variant>
      <vt:variant>
        <vt:i4>5</vt:i4>
      </vt:variant>
      <vt:variant>
        <vt:lpwstr/>
      </vt:variant>
      <vt:variant>
        <vt:lpwstr>_Toc147156417</vt:lpwstr>
      </vt:variant>
      <vt:variant>
        <vt:i4>1376311</vt:i4>
      </vt:variant>
      <vt:variant>
        <vt:i4>92</vt:i4>
      </vt:variant>
      <vt:variant>
        <vt:i4>0</vt:i4>
      </vt:variant>
      <vt:variant>
        <vt:i4>5</vt:i4>
      </vt:variant>
      <vt:variant>
        <vt:lpwstr/>
      </vt:variant>
      <vt:variant>
        <vt:lpwstr>_Toc147156416</vt:lpwstr>
      </vt:variant>
      <vt:variant>
        <vt:i4>1376311</vt:i4>
      </vt:variant>
      <vt:variant>
        <vt:i4>86</vt:i4>
      </vt:variant>
      <vt:variant>
        <vt:i4>0</vt:i4>
      </vt:variant>
      <vt:variant>
        <vt:i4>5</vt:i4>
      </vt:variant>
      <vt:variant>
        <vt:lpwstr/>
      </vt:variant>
      <vt:variant>
        <vt:lpwstr>_Toc147156415</vt:lpwstr>
      </vt:variant>
      <vt:variant>
        <vt:i4>1376311</vt:i4>
      </vt:variant>
      <vt:variant>
        <vt:i4>80</vt:i4>
      </vt:variant>
      <vt:variant>
        <vt:i4>0</vt:i4>
      </vt:variant>
      <vt:variant>
        <vt:i4>5</vt:i4>
      </vt:variant>
      <vt:variant>
        <vt:lpwstr/>
      </vt:variant>
      <vt:variant>
        <vt:lpwstr>_Toc147156414</vt:lpwstr>
      </vt:variant>
      <vt:variant>
        <vt:i4>1376311</vt:i4>
      </vt:variant>
      <vt:variant>
        <vt:i4>74</vt:i4>
      </vt:variant>
      <vt:variant>
        <vt:i4>0</vt:i4>
      </vt:variant>
      <vt:variant>
        <vt:i4>5</vt:i4>
      </vt:variant>
      <vt:variant>
        <vt:lpwstr/>
      </vt:variant>
      <vt:variant>
        <vt:lpwstr>_Toc147156413</vt:lpwstr>
      </vt:variant>
      <vt:variant>
        <vt:i4>1376311</vt:i4>
      </vt:variant>
      <vt:variant>
        <vt:i4>68</vt:i4>
      </vt:variant>
      <vt:variant>
        <vt:i4>0</vt:i4>
      </vt:variant>
      <vt:variant>
        <vt:i4>5</vt:i4>
      </vt:variant>
      <vt:variant>
        <vt:lpwstr/>
      </vt:variant>
      <vt:variant>
        <vt:lpwstr>_Toc147156412</vt:lpwstr>
      </vt:variant>
      <vt:variant>
        <vt:i4>1376311</vt:i4>
      </vt:variant>
      <vt:variant>
        <vt:i4>62</vt:i4>
      </vt:variant>
      <vt:variant>
        <vt:i4>0</vt:i4>
      </vt:variant>
      <vt:variant>
        <vt:i4>5</vt:i4>
      </vt:variant>
      <vt:variant>
        <vt:lpwstr/>
      </vt:variant>
      <vt:variant>
        <vt:lpwstr>_Toc147156411</vt:lpwstr>
      </vt:variant>
      <vt:variant>
        <vt:i4>1376311</vt:i4>
      </vt:variant>
      <vt:variant>
        <vt:i4>56</vt:i4>
      </vt:variant>
      <vt:variant>
        <vt:i4>0</vt:i4>
      </vt:variant>
      <vt:variant>
        <vt:i4>5</vt:i4>
      </vt:variant>
      <vt:variant>
        <vt:lpwstr/>
      </vt:variant>
      <vt:variant>
        <vt:lpwstr>_Toc147156410</vt:lpwstr>
      </vt:variant>
      <vt:variant>
        <vt:i4>1310775</vt:i4>
      </vt:variant>
      <vt:variant>
        <vt:i4>50</vt:i4>
      </vt:variant>
      <vt:variant>
        <vt:i4>0</vt:i4>
      </vt:variant>
      <vt:variant>
        <vt:i4>5</vt:i4>
      </vt:variant>
      <vt:variant>
        <vt:lpwstr/>
      </vt:variant>
      <vt:variant>
        <vt:lpwstr>_Toc147156409</vt:lpwstr>
      </vt:variant>
      <vt:variant>
        <vt:i4>1310775</vt:i4>
      </vt:variant>
      <vt:variant>
        <vt:i4>44</vt:i4>
      </vt:variant>
      <vt:variant>
        <vt:i4>0</vt:i4>
      </vt:variant>
      <vt:variant>
        <vt:i4>5</vt:i4>
      </vt:variant>
      <vt:variant>
        <vt:lpwstr/>
      </vt:variant>
      <vt:variant>
        <vt:lpwstr>_Toc147156408</vt:lpwstr>
      </vt:variant>
      <vt:variant>
        <vt:i4>1310775</vt:i4>
      </vt:variant>
      <vt:variant>
        <vt:i4>38</vt:i4>
      </vt:variant>
      <vt:variant>
        <vt:i4>0</vt:i4>
      </vt:variant>
      <vt:variant>
        <vt:i4>5</vt:i4>
      </vt:variant>
      <vt:variant>
        <vt:lpwstr/>
      </vt:variant>
      <vt:variant>
        <vt:lpwstr>_Toc147156407</vt:lpwstr>
      </vt:variant>
      <vt:variant>
        <vt:i4>1310775</vt:i4>
      </vt:variant>
      <vt:variant>
        <vt:i4>32</vt:i4>
      </vt:variant>
      <vt:variant>
        <vt:i4>0</vt:i4>
      </vt:variant>
      <vt:variant>
        <vt:i4>5</vt:i4>
      </vt:variant>
      <vt:variant>
        <vt:lpwstr/>
      </vt:variant>
      <vt:variant>
        <vt:lpwstr>_Toc147156406</vt:lpwstr>
      </vt:variant>
      <vt:variant>
        <vt:i4>1310775</vt:i4>
      </vt:variant>
      <vt:variant>
        <vt:i4>26</vt:i4>
      </vt:variant>
      <vt:variant>
        <vt:i4>0</vt:i4>
      </vt:variant>
      <vt:variant>
        <vt:i4>5</vt:i4>
      </vt:variant>
      <vt:variant>
        <vt:lpwstr/>
      </vt:variant>
      <vt:variant>
        <vt:lpwstr>_Toc147156405</vt:lpwstr>
      </vt:variant>
      <vt:variant>
        <vt:i4>1310775</vt:i4>
      </vt:variant>
      <vt:variant>
        <vt:i4>20</vt:i4>
      </vt:variant>
      <vt:variant>
        <vt:i4>0</vt:i4>
      </vt:variant>
      <vt:variant>
        <vt:i4>5</vt:i4>
      </vt:variant>
      <vt:variant>
        <vt:lpwstr/>
      </vt:variant>
      <vt:variant>
        <vt:lpwstr>_Toc147156404</vt:lpwstr>
      </vt:variant>
      <vt:variant>
        <vt:i4>1310775</vt:i4>
      </vt:variant>
      <vt:variant>
        <vt:i4>14</vt:i4>
      </vt:variant>
      <vt:variant>
        <vt:i4>0</vt:i4>
      </vt:variant>
      <vt:variant>
        <vt:i4>5</vt:i4>
      </vt:variant>
      <vt:variant>
        <vt:lpwstr/>
      </vt:variant>
      <vt:variant>
        <vt:lpwstr>_Toc147156403</vt:lpwstr>
      </vt:variant>
      <vt:variant>
        <vt:i4>1310775</vt:i4>
      </vt:variant>
      <vt:variant>
        <vt:i4>8</vt:i4>
      </vt:variant>
      <vt:variant>
        <vt:i4>0</vt:i4>
      </vt:variant>
      <vt:variant>
        <vt:i4>5</vt:i4>
      </vt:variant>
      <vt:variant>
        <vt:lpwstr/>
      </vt:variant>
      <vt:variant>
        <vt:lpwstr>_Toc147156402</vt:lpwstr>
      </vt:variant>
      <vt:variant>
        <vt:i4>1310775</vt:i4>
      </vt:variant>
      <vt:variant>
        <vt:i4>2</vt:i4>
      </vt:variant>
      <vt:variant>
        <vt:i4>0</vt:i4>
      </vt:variant>
      <vt:variant>
        <vt:i4>5</vt:i4>
      </vt:variant>
      <vt:variant>
        <vt:lpwstr/>
      </vt:variant>
      <vt:variant>
        <vt:lpwstr>_Toc147156401</vt:lpwstr>
      </vt:variant>
      <vt:variant>
        <vt:i4>5570600</vt:i4>
      </vt:variant>
      <vt:variant>
        <vt:i4>6</vt:i4>
      </vt:variant>
      <vt:variant>
        <vt:i4>0</vt:i4>
      </vt:variant>
      <vt:variant>
        <vt:i4>5</vt:i4>
      </vt:variant>
      <vt:variant>
        <vt:lpwstr>mailto:vinit.sheth@ou.edu</vt:lpwstr>
      </vt:variant>
      <vt:variant>
        <vt:lpwstr/>
      </vt:variant>
      <vt:variant>
        <vt:i4>5570600</vt:i4>
      </vt:variant>
      <vt:variant>
        <vt:i4>3</vt:i4>
      </vt:variant>
      <vt:variant>
        <vt:i4>0</vt:i4>
      </vt:variant>
      <vt:variant>
        <vt:i4>5</vt:i4>
      </vt:variant>
      <vt:variant>
        <vt:lpwstr>mailto:vinit.sheth@ou.edu</vt:lpwstr>
      </vt:variant>
      <vt:variant>
        <vt:lpwstr/>
      </vt:variant>
      <vt:variant>
        <vt:i4>5570600</vt:i4>
      </vt:variant>
      <vt:variant>
        <vt:i4>0</vt:i4>
      </vt:variant>
      <vt:variant>
        <vt:i4>0</vt:i4>
      </vt:variant>
      <vt:variant>
        <vt:i4>5</vt:i4>
      </vt:variant>
      <vt:variant>
        <vt:lpwstr>mailto:vinit.sheth@ou.edu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Sheth, Vinit M.</dc:creator>
  <cp:keywords/>
  <dc:description/>
  <cp:lastModifiedBy>Sheth, Vinit M.</cp:lastModifiedBy>
  <cp:revision>165</cp:revision>
  <cp:lastPrinted>2023-11-17T18:55:00Z</cp:lastPrinted>
  <dcterms:created xsi:type="dcterms:W3CDTF">2023-09-07T17:32:00Z</dcterms:created>
  <dcterms:modified xsi:type="dcterms:W3CDTF">2023-11-17T18:56:00Z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1afa2a71-0e51-3526-82c3-60132046c082</vt:lpwstr>
  </property>
  <property fmtid="{D5CDD505-2E9C-101B-9397-08002B2CF9AE}" pid="4" name="Mendeley Citation Style_1">
    <vt:lpwstr>http://www.zotero.org/styles/acs-nano</vt:lpwstr>
  </property>
  <property fmtid="{D5CDD505-2E9C-101B-9397-08002B2CF9AE}" pid="5" name="Mendeley Recent Style Id 0_1">
    <vt:lpwstr>http://www.zotero.org/styles/acs-nano</vt:lpwstr>
  </property>
  <property fmtid="{D5CDD505-2E9C-101B-9397-08002B2CF9AE}" pid="6" name="Mendeley Recent Style Name 0_1">
    <vt:lpwstr>ACS Nano</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86f3d0d62ee90fe62187b3f687d2fde01dfe4c589d6a99e975f00fa80dd8336c</vt:lpwstr>
  </property>
</Properties>
</file>