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p" w:displacedByCustomXml="next"/>
    <w:bookmarkEnd w:id="0" w:displacedByCustomXml="next"/>
    <w:sdt>
      <w:sdtPr>
        <w:rPr>
          <w:rFonts w:asciiTheme="minorHAnsi" w:hAnsiTheme="minorHAnsi"/>
          <w:caps/>
        </w:rPr>
        <w:id w:val="6232685"/>
        <w:lock w:val="contentLocked"/>
        <w:placeholder>
          <w:docPart w:val="DefaultPlaceholder_22675703"/>
        </w:placeholder>
        <w:group/>
      </w:sdtPr>
      <w:sdtEndPr/>
      <w:sdtContent>
        <w:p w14:paraId="4F285828" w14:textId="77777777" w:rsidR="00410044" w:rsidRPr="000A6765" w:rsidRDefault="00410044" w:rsidP="00410044">
          <w:pPr>
            <w:jc w:val="center"/>
            <w:rPr>
              <w:rFonts w:asciiTheme="minorHAnsi" w:hAnsiTheme="minorHAnsi"/>
              <w:caps/>
            </w:rPr>
          </w:pPr>
          <w:r w:rsidRPr="000A6765">
            <w:rPr>
              <w:rFonts w:asciiTheme="minorHAnsi" w:hAnsiTheme="minorHAnsi"/>
              <w:caps/>
            </w:rPr>
            <w:t>University of Oklahoma</w:t>
          </w:r>
        </w:p>
        <w:p w14:paraId="59CAD397" w14:textId="77777777" w:rsidR="00410044" w:rsidRPr="000A6765" w:rsidRDefault="00410044" w:rsidP="00410044">
          <w:pPr>
            <w:jc w:val="center"/>
            <w:rPr>
              <w:rFonts w:asciiTheme="minorHAnsi" w:hAnsiTheme="minorHAnsi"/>
              <w:caps/>
            </w:rPr>
          </w:pPr>
        </w:p>
        <w:p w14:paraId="5524389F" w14:textId="77777777" w:rsidR="00410044" w:rsidRPr="000A6765" w:rsidRDefault="00410044" w:rsidP="00410044">
          <w:pPr>
            <w:jc w:val="center"/>
            <w:rPr>
              <w:rFonts w:asciiTheme="minorHAnsi" w:hAnsiTheme="minorHAnsi"/>
              <w:caps/>
            </w:rPr>
          </w:pPr>
          <w:r w:rsidRPr="000A6765">
            <w:rPr>
              <w:rFonts w:asciiTheme="minorHAnsi" w:hAnsiTheme="minorHAnsi"/>
              <w:caps/>
            </w:rPr>
            <w:t>Graduate College</w:t>
          </w:r>
        </w:p>
      </w:sdtContent>
    </w:sdt>
    <w:p w14:paraId="699D13C3" w14:textId="77777777" w:rsidR="00410044" w:rsidRPr="000A6765" w:rsidRDefault="00410044" w:rsidP="00410044">
      <w:pPr>
        <w:jc w:val="center"/>
        <w:rPr>
          <w:rFonts w:asciiTheme="minorHAnsi" w:hAnsiTheme="minorHAnsi"/>
          <w:caps/>
        </w:rPr>
      </w:pPr>
    </w:p>
    <w:p w14:paraId="4A0BFE2D" w14:textId="77777777" w:rsidR="00410044" w:rsidRPr="000A6765" w:rsidRDefault="00410044" w:rsidP="00410044">
      <w:pPr>
        <w:jc w:val="center"/>
        <w:rPr>
          <w:rFonts w:asciiTheme="minorHAnsi" w:hAnsiTheme="minorHAnsi"/>
          <w:caps/>
        </w:rPr>
      </w:pPr>
    </w:p>
    <w:p w14:paraId="4922D21F" w14:textId="77777777" w:rsidR="00410044" w:rsidRPr="000A6765" w:rsidRDefault="00410044" w:rsidP="00410044">
      <w:pPr>
        <w:jc w:val="center"/>
        <w:rPr>
          <w:rFonts w:asciiTheme="minorHAnsi" w:hAnsiTheme="minorHAnsi"/>
          <w:caps/>
        </w:rPr>
      </w:pPr>
    </w:p>
    <w:p w14:paraId="57E3DDEE" w14:textId="77777777" w:rsidR="00410044" w:rsidRPr="000A6765" w:rsidRDefault="00410044" w:rsidP="00410044">
      <w:pPr>
        <w:jc w:val="center"/>
        <w:rPr>
          <w:rFonts w:asciiTheme="minorHAnsi" w:hAnsiTheme="minorHAnsi"/>
          <w:caps/>
        </w:rPr>
      </w:pPr>
    </w:p>
    <w:p w14:paraId="5BC5D82A" w14:textId="77777777" w:rsidR="00410044" w:rsidRPr="000A6765" w:rsidRDefault="00410044" w:rsidP="00410044">
      <w:pPr>
        <w:jc w:val="center"/>
        <w:rPr>
          <w:rFonts w:asciiTheme="minorHAnsi" w:hAnsiTheme="minorHAnsi"/>
          <w:caps/>
        </w:rPr>
      </w:pPr>
    </w:p>
    <w:sdt>
      <w:sdtPr>
        <w:rPr>
          <w:rFonts w:asciiTheme="minorHAnsi" w:hAnsiTheme="minorHAnsi"/>
          <w:caps/>
        </w:rPr>
        <w:alias w:val="Click to enter thesis title"/>
        <w:tag w:val="Click to enter thesis title"/>
        <w:id w:val="28311864"/>
        <w:lock w:val="sdtLocked"/>
        <w:placeholder>
          <w:docPart w:val="DefaultPlaceholder_22675703"/>
        </w:placeholder>
      </w:sdtPr>
      <w:sdtEndPr/>
      <w:sdtContent>
        <w:sdt>
          <w:sdtPr>
            <w:rPr>
              <w:rFonts w:asciiTheme="minorHAnsi" w:hAnsiTheme="minorHAnsi"/>
              <w:caps/>
            </w:rPr>
            <w:alias w:val="Click to enter thesis title"/>
            <w:tag w:val="Click to enter thesis title"/>
            <w:id w:val="1045722457"/>
            <w:placeholder>
              <w:docPart w:val="DC6AEC1D832EAB4DB7FA8D390826E588"/>
            </w:placeholder>
          </w:sdtPr>
          <w:sdtEndPr/>
          <w:sdtContent>
            <w:sdt>
              <w:sdtPr>
                <w:rPr>
                  <w:caps/>
                </w:rPr>
                <w:alias w:val="Click to enter thesis title"/>
                <w:tag w:val="Click to enter thesis title"/>
                <w:id w:val="2113774938"/>
                <w:placeholder>
                  <w:docPart w:val="30683963A8A636448C0DDF10065C23BA"/>
                </w:placeholder>
              </w:sdtPr>
              <w:sdtEndPr/>
              <w:sdtContent>
                <w:p w14:paraId="1C5FD9F2" w14:textId="77777777" w:rsidR="009804E4" w:rsidRDefault="009804E4" w:rsidP="009804E4">
                  <w:pPr>
                    <w:spacing w:line="480" w:lineRule="auto"/>
                    <w:jc w:val="center"/>
                    <w:rPr>
                      <w:caps/>
                    </w:rPr>
                  </w:pPr>
                  <w:r w:rsidRPr="003038CF">
                    <w:rPr>
                      <w:caps/>
                    </w:rPr>
                    <w:t>EXAMINING THE RELATIONSHIP AMONG WEIGHT STATUS, PHYSICAL ACTIVITY, AND PAIN</w:t>
                  </w:r>
                  <w:r>
                    <w:rPr>
                      <w:caps/>
                    </w:rPr>
                    <w:t xml:space="preserve"> affecting activity</w:t>
                  </w:r>
                  <w:r w:rsidRPr="003038CF">
                    <w:rPr>
                      <w:caps/>
                    </w:rPr>
                    <w:t xml:space="preserve"> IN A NATIONALLY REPRESENTATIVE SAMPLE</w:t>
                  </w:r>
                </w:p>
              </w:sdtContent>
            </w:sdt>
            <w:p w14:paraId="2438D6A8" w14:textId="77777777" w:rsidR="009804E4" w:rsidRDefault="0014490B" w:rsidP="009804E4">
              <w:pPr>
                <w:spacing w:line="480" w:lineRule="auto"/>
                <w:jc w:val="center"/>
                <w:rPr>
                  <w:rFonts w:asciiTheme="minorHAnsi" w:hAnsiTheme="minorHAnsi"/>
                  <w:caps/>
                </w:rPr>
              </w:pPr>
            </w:p>
          </w:sdtContent>
        </w:sdt>
        <w:p w14:paraId="5002A1E4" w14:textId="338FB849" w:rsidR="00410044" w:rsidRPr="000A6765" w:rsidRDefault="0014490B" w:rsidP="00410044">
          <w:pPr>
            <w:spacing w:line="480" w:lineRule="auto"/>
            <w:jc w:val="center"/>
            <w:rPr>
              <w:rFonts w:asciiTheme="minorHAnsi" w:hAnsiTheme="minorHAnsi"/>
              <w:caps/>
            </w:rPr>
          </w:pPr>
        </w:p>
      </w:sdtContent>
    </w:sdt>
    <w:p w14:paraId="1009917B" w14:textId="77777777" w:rsidR="00410044" w:rsidRPr="000A6765" w:rsidRDefault="00410044" w:rsidP="00410044">
      <w:pPr>
        <w:jc w:val="center"/>
        <w:rPr>
          <w:rFonts w:asciiTheme="minorHAnsi" w:hAnsiTheme="minorHAnsi"/>
          <w:caps/>
        </w:rPr>
      </w:pPr>
    </w:p>
    <w:p w14:paraId="5A1ED381" w14:textId="77777777" w:rsidR="00410044" w:rsidRPr="000A6765" w:rsidRDefault="00410044" w:rsidP="00410044">
      <w:pPr>
        <w:jc w:val="center"/>
        <w:rPr>
          <w:rFonts w:asciiTheme="minorHAnsi" w:hAnsiTheme="minorHAnsi"/>
          <w:caps/>
        </w:rPr>
      </w:pPr>
    </w:p>
    <w:p w14:paraId="6BA4E210" w14:textId="77777777" w:rsidR="00410044" w:rsidRPr="000A6765" w:rsidRDefault="00410044" w:rsidP="00410044">
      <w:pPr>
        <w:jc w:val="center"/>
        <w:rPr>
          <w:rFonts w:asciiTheme="minorHAnsi" w:hAnsiTheme="minorHAnsi"/>
          <w:caps/>
        </w:rPr>
      </w:pPr>
    </w:p>
    <w:p w14:paraId="2F8176BA" w14:textId="77777777" w:rsidR="00410044" w:rsidRPr="000A6765" w:rsidRDefault="00410044" w:rsidP="00410044">
      <w:pPr>
        <w:jc w:val="center"/>
        <w:rPr>
          <w:rFonts w:asciiTheme="minorHAnsi" w:hAnsiTheme="minorHAnsi"/>
          <w:caps/>
        </w:rPr>
      </w:pPr>
    </w:p>
    <w:p w14:paraId="14B47B3D" w14:textId="77777777" w:rsidR="00410044" w:rsidRPr="000A6765" w:rsidRDefault="00410044" w:rsidP="00410044">
      <w:pPr>
        <w:jc w:val="center"/>
        <w:rPr>
          <w:rFonts w:asciiTheme="minorHAnsi" w:hAnsiTheme="minorHAnsi"/>
          <w:caps/>
        </w:rPr>
      </w:pPr>
    </w:p>
    <w:p w14:paraId="6AE89971" w14:textId="77777777" w:rsidR="00410044" w:rsidRPr="000A6765" w:rsidRDefault="00410044" w:rsidP="00410044">
      <w:pPr>
        <w:jc w:val="center"/>
        <w:rPr>
          <w:rFonts w:asciiTheme="minorHAnsi" w:hAnsiTheme="minorHAnsi"/>
          <w:caps/>
        </w:rPr>
      </w:pPr>
    </w:p>
    <w:p w14:paraId="78536C6C" w14:textId="77777777" w:rsidR="00410044" w:rsidRPr="000A6765" w:rsidRDefault="00410044" w:rsidP="00410044">
      <w:pPr>
        <w:jc w:val="center"/>
        <w:rPr>
          <w:rFonts w:asciiTheme="minorHAnsi" w:hAnsiTheme="minorHAnsi"/>
          <w:caps/>
        </w:rPr>
      </w:pPr>
    </w:p>
    <w:sdt>
      <w:sdtPr>
        <w:rPr>
          <w:rFonts w:asciiTheme="minorHAnsi" w:hAnsiTheme="minorHAnsi"/>
          <w:caps/>
        </w:rPr>
        <w:id w:val="6232686"/>
        <w:lock w:val="contentLocked"/>
        <w:placeholder>
          <w:docPart w:val="DefaultPlaceholder_22675703"/>
        </w:placeholder>
        <w:group/>
      </w:sdtPr>
      <w:sdtEndPr>
        <w:rPr>
          <w:caps w:val="0"/>
        </w:rPr>
      </w:sdtEndPr>
      <w:sdtContent>
        <w:p w14:paraId="33736C7D" w14:textId="77777777" w:rsidR="00410044" w:rsidRPr="000A6765" w:rsidRDefault="00410044" w:rsidP="00410044">
          <w:pPr>
            <w:jc w:val="center"/>
            <w:rPr>
              <w:rFonts w:asciiTheme="minorHAnsi" w:hAnsiTheme="minorHAnsi"/>
              <w:caps/>
            </w:rPr>
          </w:pPr>
          <w:r w:rsidRPr="000A6765">
            <w:rPr>
              <w:rFonts w:asciiTheme="minorHAnsi" w:hAnsiTheme="minorHAnsi"/>
              <w:caps/>
            </w:rPr>
            <w:t>A thesis</w:t>
          </w:r>
        </w:p>
        <w:p w14:paraId="6E15B79F" w14:textId="77777777" w:rsidR="00410044" w:rsidRPr="000A6765" w:rsidRDefault="00410044" w:rsidP="00410044">
          <w:pPr>
            <w:jc w:val="center"/>
            <w:rPr>
              <w:rFonts w:asciiTheme="minorHAnsi" w:hAnsiTheme="minorHAnsi"/>
              <w:caps/>
            </w:rPr>
          </w:pPr>
        </w:p>
        <w:p w14:paraId="52324227" w14:textId="77777777" w:rsidR="00410044" w:rsidRPr="000A6765" w:rsidRDefault="00410044" w:rsidP="00410044">
          <w:pPr>
            <w:jc w:val="center"/>
            <w:rPr>
              <w:rFonts w:asciiTheme="minorHAnsi" w:hAnsiTheme="minorHAnsi"/>
              <w:caps/>
            </w:rPr>
          </w:pPr>
          <w:r w:rsidRPr="000A6765">
            <w:rPr>
              <w:rFonts w:asciiTheme="minorHAnsi" w:hAnsiTheme="minorHAnsi"/>
              <w:caps/>
            </w:rPr>
            <w:t>submitted to the graduate faculty</w:t>
          </w:r>
        </w:p>
        <w:p w14:paraId="6D20A184" w14:textId="77777777" w:rsidR="00410044" w:rsidRPr="000A6765" w:rsidRDefault="00410044" w:rsidP="00410044">
          <w:pPr>
            <w:jc w:val="center"/>
            <w:rPr>
              <w:rFonts w:asciiTheme="minorHAnsi" w:hAnsiTheme="minorHAnsi"/>
            </w:rPr>
          </w:pPr>
        </w:p>
        <w:p w14:paraId="17E12C82" w14:textId="77777777" w:rsidR="00410044" w:rsidRPr="000A6765" w:rsidRDefault="00410044" w:rsidP="00410044">
          <w:pPr>
            <w:jc w:val="center"/>
            <w:rPr>
              <w:rFonts w:asciiTheme="minorHAnsi" w:hAnsiTheme="minorHAnsi"/>
            </w:rPr>
          </w:pPr>
          <w:r w:rsidRPr="000A6765">
            <w:rPr>
              <w:rFonts w:asciiTheme="minorHAnsi" w:hAnsiTheme="minorHAnsi"/>
            </w:rPr>
            <w:t>in partial fulfillment of the requirements for the</w:t>
          </w:r>
        </w:p>
        <w:p w14:paraId="34752BE7" w14:textId="77777777" w:rsidR="00410044" w:rsidRPr="000A6765" w:rsidRDefault="00410044" w:rsidP="00410044">
          <w:pPr>
            <w:jc w:val="center"/>
            <w:rPr>
              <w:rFonts w:asciiTheme="minorHAnsi" w:hAnsiTheme="minorHAnsi"/>
            </w:rPr>
          </w:pPr>
        </w:p>
        <w:p w14:paraId="0E220AFF" w14:textId="77777777" w:rsidR="00410044" w:rsidRPr="000A6765" w:rsidRDefault="00410044" w:rsidP="00410044">
          <w:pPr>
            <w:jc w:val="center"/>
            <w:rPr>
              <w:rFonts w:asciiTheme="minorHAnsi" w:hAnsiTheme="minorHAnsi"/>
            </w:rPr>
          </w:pPr>
          <w:r w:rsidRPr="000A6765">
            <w:rPr>
              <w:rFonts w:asciiTheme="minorHAnsi" w:hAnsiTheme="minorHAnsi"/>
            </w:rPr>
            <w:t>Degree of</w:t>
          </w:r>
        </w:p>
        <w:p w14:paraId="4B0C9674" w14:textId="77777777" w:rsidR="00410044" w:rsidRPr="000A6765" w:rsidRDefault="0014490B" w:rsidP="00410044">
          <w:pPr>
            <w:jc w:val="center"/>
            <w:rPr>
              <w:rFonts w:asciiTheme="minorHAnsi" w:hAnsiTheme="minorHAnsi"/>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CF4B45C" w14:textId="77777777" w:rsidR="00BA2F37" w:rsidRPr="000A6765" w:rsidRDefault="007E760F" w:rsidP="00BA2F37">
          <w:pPr>
            <w:pStyle w:val="NoSpacing"/>
            <w:spacing w:line="480" w:lineRule="auto"/>
            <w:jc w:val="center"/>
            <w:rPr>
              <w:caps/>
            </w:rPr>
          </w:pPr>
          <w:r>
            <w:rPr>
              <w:caps/>
            </w:rPr>
            <w:t>Master of Science</w:t>
          </w:r>
        </w:p>
      </w:sdtContent>
    </w:sdt>
    <w:p w14:paraId="12B80D8F" w14:textId="77777777" w:rsidR="00410044" w:rsidRPr="000A6765" w:rsidRDefault="00410044" w:rsidP="00410044">
      <w:pPr>
        <w:jc w:val="center"/>
        <w:rPr>
          <w:rFonts w:asciiTheme="minorHAnsi" w:hAnsiTheme="minorHAnsi"/>
          <w:caps/>
        </w:rPr>
      </w:pPr>
    </w:p>
    <w:p w14:paraId="39ECDC26" w14:textId="77777777" w:rsidR="00410044" w:rsidRPr="000A6765" w:rsidRDefault="00410044" w:rsidP="00410044">
      <w:pPr>
        <w:jc w:val="center"/>
        <w:rPr>
          <w:rFonts w:asciiTheme="minorHAnsi" w:hAnsiTheme="minorHAnsi"/>
          <w:caps/>
        </w:rPr>
      </w:pPr>
    </w:p>
    <w:p w14:paraId="4EC6764B" w14:textId="77777777" w:rsidR="00410044" w:rsidRPr="000A6765" w:rsidRDefault="00410044" w:rsidP="00410044">
      <w:pPr>
        <w:jc w:val="center"/>
        <w:rPr>
          <w:rFonts w:asciiTheme="minorHAnsi" w:hAnsiTheme="minorHAnsi"/>
          <w:caps/>
        </w:rPr>
      </w:pPr>
    </w:p>
    <w:p w14:paraId="2EB508F1" w14:textId="77777777" w:rsidR="00410044" w:rsidRPr="000A6765" w:rsidRDefault="00410044" w:rsidP="00410044">
      <w:pPr>
        <w:jc w:val="center"/>
        <w:rPr>
          <w:rFonts w:asciiTheme="minorHAnsi" w:hAnsiTheme="minorHAnsi"/>
          <w:caps/>
        </w:rPr>
      </w:pPr>
    </w:p>
    <w:p w14:paraId="7224DC64" w14:textId="77777777" w:rsidR="00410044" w:rsidRPr="000A6765" w:rsidRDefault="00410044" w:rsidP="00410044">
      <w:pPr>
        <w:jc w:val="center"/>
        <w:rPr>
          <w:rFonts w:asciiTheme="minorHAnsi" w:hAnsiTheme="minorHAnsi"/>
          <w:caps/>
        </w:rPr>
      </w:pPr>
    </w:p>
    <w:p w14:paraId="783B185B" w14:textId="77777777" w:rsidR="00410044" w:rsidRPr="000A6765" w:rsidRDefault="00410044" w:rsidP="009804E4">
      <w:pPr>
        <w:rPr>
          <w:rFonts w:asciiTheme="minorHAnsi" w:hAnsiTheme="minorHAnsi"/>
          <w:caps/>
        </w:rPr>
      </w:pPr>
    </w:p>
    <w:sdt>
      <w:sdtPr>
        <w:rPr>
          <w:rFonts w:asciiTheme="minorHAnsi" w:hAnsiTheme="minorHAnsi"/>
        </w:rPr>
        <w:id w:val="6232687"/>
        <w:lock w:val="contentLocked"/>
        <w:placeholder>
          <w:docPart w:val="DefaultPlaceholder_22675703"/>
        </w:placeholder>
        <w:group/>
      </w:sdtPr>
      <w:sdtEndPr/>
      <w:sdtContent>
        <w:p w14:paraId="0E2260BC" w14:textId="77777777" w:rsidR="00410044" w:rsidRPr="000A6765" w:rsidRDefault="00410044" w:rsidP="00410044">
          <w:pPr>
            <w:jc w:val="center"/>
            <w:rPr>
              <w:rFonts w:asciiTheme="minorHAnsi" w:hAnsiTheme="minorHAnsi"/>
            </w:rPr>
          </w:pPr>
          <w:r w:rsidRPr="000A6765">
            <w:rPr>
              <w:rFonts w:asciiTheme="minorHAnsi" w:hAnsiTheme="minorHAnsi"/>
            </w:rPr>
            <w:t>By</w:t>
          </w:r>
        </w:p>
      </w:sdtContent>
    </w:sdt>
    <w:p w14:paraId="57E5C192" w14:textId="77777777" w:rsidR="00410044" w:rsidRPr="000A6765" w:rsidRDefault="00410044" w:rsidP="00410044">
      <w:pPr>
        <w:jc w:val="center"/>
        <w:rPr>
          <w:rFonts w:asciiTheme="minorHAnsi" w:hAnsiTheme="minorHAnsi"/>
          <w:caps/>
        </w:rPr>
      </w:pPr>
    </w:p>
    <w:sdt>
      <w:sdtPr>
        <w:rPr>
          <w:rFonts w:asciiTheme="minorHAnsi" w:hAnsi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243FDD80" w14:textId="3B4E3C8E" w:rsidR="00410044" w:rsidRPr="000A6765" w:rsidRDefault="009804E4" w:rsidP="00410044">
          <w:pPr>
            <w:jc w:val="center"/>
            <w:rPr>
              <w:rFonts w:asciiTheme="minorHAnsi" w:hAnsiTheme="minorHAnsi"/>
              <w:caps/>
            </w:rPr>
          </w:pPr>
          <w:r>
            <w:rPr>
              <w:rFonts w:asciiTheme="minorHAnsi" w:hAnsiTheme="minorHAnsi"/>
              <w:caps/>
            </w:rPr>
            <w:t>Ashley Venturini</w:t>
          </w:r>
        </w:p>
      </w:sdtContent>
    </w:sdt>
    <w:sdt>
      <w:sdtPr>
        <w:rPr>
          <w:rFonts w:asciiTheme="minorHAnsi" w:hAnsiTheme="minorHAnsi"/>
        </w:rPr>
        <w:id w:val="6232688"/>
        <w:lock w:val="contentLocked"/>
        <w:placeholder>
          <w:docPart w:val="DefaultPlaceholder_22675703"/>
        </w:placeholder>
        <w:group/>
      </w:sdtPr>
      <w:sdtEndPr/>
      <w:sdtContent>
        <w:p w14:paraId="41213AB6" w14:textId="77777777" w:rsidR="00410044" w:rsidRPr="000A6765" w:rsidRDefault="00410044" w:rsidP="00410044">
          <w:pPr>
            <w:jc w:val="center"/>
            <w:rPr>
              <w:rFonts w:asciiTheme="minorHAnsi" w:hAnsiTheme="minorHAnsi"/>
            </w:rPr>
          </w:pPr>
          <w:r w:rsidRPr="000A6765">
            <w:rPr>
              <w:rFonts w:asciiTheme="minorHAnsi" w:hAnsiTheme="minorHAnsi"/>
            </w:rPr>
            <w:t>Norman, Oklahoma</w:t>
          </w:r>
        </w:p>
      </w:sdtContent>
    </w:sdt>
    <w:sdt>
      <w:sdtPr>
        <w:rPr>
          <w:rFonts w:asciiTheme="minorHAnsi" w:hAnsiTheme="minorHAnsi"/>
        </w:rPr>
        <w:alias w:val="Click to enter the year you are depositing the thesis"/>
        <w:tag w:val="Click to enter the year you are depositing the thesis"/>
        <w:id w:val="28311870"/>
        <w:placeholder>
          <w:docPart w:val="DefaultPlaceholder_22675703"/>
        </w:placeholder>
      </w:sdtPr>
      <w:sdtEndPr/>
      <w:sdtContent>
        <w:p w14:paraId="32D62F56" w14:textId="6275ABF6" w:rsidR="00410044" w:rsidRPr="000A6765" w:rsidRDefault="007E760F" w:rsidP="00410044">
          <w:pPr>
            <w:jc w:val="center"/>
            <w:rPr>
              <w:rFonts w:asciiTheme="minorHAnsi" w:hAnsiTheme="minorHAnsi"/>
            </w:rPr>
          </w:pPr>
          <w:r>
            <w:rPr>
              <w:rFonts w:asciiTheme="minorHAnsi" w:hAnsiTheme="minorHAnsi"/>
            </w:rPr>
            <w:t>20</w:t>
          </w:r>
          <w:r w:rsidR="009804E4">
            <w:rPr>
              <w:rFonts w:asciiTheme="minorHAnsi" w:hAnsiTheme="minorHAnsi"/>
            </w:rPr>
            <w:t>21</w:t>
          </w:r>
        </w:p>
      </w:sdtContent>
    </w:sdt>
    <w:p w14:paraId="13483D59" w14:textId="253CDDE0" w:rsidR="00410044" w:rsidRPr="00425F88" w:rsidRDefault="00410044" w:rsidP="00425F88">
      <w:pPr>
        <w:rPr>
          <w:rFonts w:asciiTheme="minorHAnsi" w:hAnsiTheme="minorHAnsi"/>
        </w:rPr>
      </w:pPr>
    </w:p>
    <w:sdt>
      <w:sdtPr>
        <w:rPr>
          <w:rFonts w:asciiTheme="minorHAnsi" w:hAnsiTheme="minorHAnsi"/>
          <w:caps/>
        </w:rPr>
        <w:alias w:val="Click to enter thesis title"/>
        <w:tag w:val="Click to enter thesis title"/>
        <w:id w:val="28311875"/>
        <w:lock w:val="sdtLocked"/>
        <w:placeholder>
          <w:docPart w:val="DefaultPlaceholder_22675703"/>
        </w:placeholder>
      </w:sdtPr>
      <w:sdtEndPr/>
      <w:sdtContent>
        <w:sdt>
          <w:sdtPr>
            <w:rPr>
              <w:rFonts w:asciiTheme="minorHAnsi" w:hAnsiTheme="minorHAnsi"/>
              <w:caps/>
            </w:rPr>
            <w:alias w:val="Click to enter thesis title"/>
            <w:tag w:val="Click to enter thesis title"/>
            <w:id w:val="-1656216227"/>
            <w:placeholder>
              <w:docPart w:val="99C954A4AF328B44A9885F68DCB00E94"/>
            </w:placeholder>
          </w:sdtPr>
          <w:sdtEndPr/>
          <w:sdtContent>
            <w:sdt>
              <w:sdtPr>
                <w:rPr>
                  <w:caps/>
                </w:rPr>
                <w:alias w:val="Click to enter thesis title"/>
                <w:tag w:val="Click to enter thesis title"/>
                <w:id w:val="285393160"/>
                <w:placeholder>
                  <w:docPart w:val="C662BE5CF706374EB60CCA7285B8E02D"/>
                </w:placeholder>
              </w:sdtPr>
              <w:sdtEndPr/>
              <w:sdtContent>
                <w:p w14:paraId="50D7DA11" w14:textId="77777777" w:rsidR="009804E4" w:rsidRDefault="009804E4" w:rsidP="009804E4">
                  <w:pPr>
                    <w:jc w:val="center"/>
                    <w:rPr>
                      <w:caps/>
                    </w:rPr>
                  </w:pPr>
                  <w:r w:rsidRPr="003038CF">
                    <w:rPr>
                      <w:caps/>
                    </w:rPr>
                    <w:t>EXAMINING THE RELATIONSHIP AMONG WEIGHT STATUS, PHYSICAL ACTIVITY, AND PAIN</w:t>
                  </w:r>
                  <w:r>
                    <w:rPr>
                      <w:caps/>
                    </w:rPr>
                    <w:t xml:space="preserve"> affecting activity</w:t>
                  </w:r>
                  <w:r w:rsidRPr="003038CF">
                    <w:rPr>
                      <w:caps/>
                    </w:rPr>
                    <w:t xml:space="preserve"> IN A NATIONALLY REPRESENTATIVE SAMPLE</w:t>
                  </w:r>
                </w:p>
              </w:sdtContent>
            </w:sdt>
            <w:p w14:paraId="03D58E21" w14:textId="77777777" w:rsidR="009804E4" w:rsidRDefault="0014490B" w:rsidP="009804E4">
              <w:pPr>
                <w:jc w:val="center"/>
                <w:rPr>
                  <w:rFonts w:asciiTheme="minorHAnsi" w:hAnsiTheme="minorHAnsi"/>
                  <w:caps/>
                </w:rPr>
              </w:pPr>
            </w:p>
          </w:sdtContent>
        </w:sdt>
        <w:p w14:paraId="55663C53" w14:textId="32BA3432" w:rsidR="00410044" w:rsidRPr="000A6765" w:rsidRDefault="0014490B" w:rsidP="00410044">
          <w:pPr>
            <w:jc w:val="center"/>
            <w:rPr>
              <w:rFonts w:asciiTheme="minorHAnsi" w:hAnsiTheme="minorHAnsi"/>
              <w:caps/>
            </w:rPr>
          </w:pPr>
        </w:p>
      </w:sdtContent>
    </w:sdt>
    <w:p w14:paraId="7EF4CC83" w14:textId="77777777" w:rsidR="00410044" w:rsidRPr="000A6765" w:rsidRDefault="00410044" w:rsidP="009804E4">
      <w:pPr>
        <w:rPr>
          <w:rFonts w:asciiTheme="minorHAnsi" w:hAnsiTheme="minorHAnsi"/>
          <w:caps/>
        </w:rPr>
      </w:pPr>
    </w:p>
    <w:sdt>
      <w:sdtPr>
        <w:rPr>
          <w:rFonts w:asciiTheme="minorHAnsi" w:hAnsiTheme="minorHAnsi"/>
          <w:caps/>
        </w:rPr>
        <w:id w:val="6232689"/>
        <w:lock w:val="contentLocked"/>
        <w:placeholder>
          <w:docPart w:val="DefaultPlaceholder_22675703"/>
        </w:placeholder>
        <w:group/>
      </w:sdtPr>
      <w:sdtEndPr/>
      <w:sdtContent>
        <w:p w14:paraId="1056BB66" w14:textId="77777777" w:rsidR="00345F8B" w:rsidRPr="000A6765" w:rsidRDefault="00410044" w:rsidP="00345F8B">
          <w:pPr>
            <w:jc w:val="center"/>
            <w:rPr>
              <w:rFonts w:asciiTheme="minorHAnsi" w:hAnsiTheme="minorHAnsi"/>
              <w:caps/>
            </w:rPr>
          </w:pPr>
          <w:r w:rsidRPr="000A6765">
            <w:rPr>
              <w:rFonts w:asciiTheme="minorHAnsi" w:hAnsiTheme="minorHAnsi"/>
              <w:caps/>
            </w:rPr>
            <w:t>A thesis approved for the</w:t>
          </w:r>
        </w:p>
      </w:sdtContent>
    </w:sdt>
    <w:sdt>
      <w:sdtPr>
        <w:rPr>
          <w:rFonts w:asciiTheme="minorHAnsi" w:hAnsiTheme="minorHAnsi"/>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A5FEAA1" w14:textId="77777777" w:rsidR="00345F8B" w:rsidRPr="000A6765" w:rsidRDefault="007E760F" w:rsidP="00345F8B">
          <w:pPr>
            <w:jc w:val="center"/>
            <w:rPr>
              <w:rFonts w:asciiTheme="minorHAnsi" w:hAnsiTheme="minorHAnsi"/>
              <w:caps/>
            </w:rPr>
          </w:pPr>
          <w:r>
            <w:rPr>
              <w:rFonts w:asciiTheme="minorHAnsi" w:hAnsiTheme="minorHAnsi"/>
              <w:caps/>
            </w:rPr>
            <w:t>Department of Health and Exercise Science</w:t>
          </w:r>
        </w:p>
      </w:sdtContent>
    </w:sdt>
    <w:p w14:paraId="7CB913A0" w14:textId="77777777" w:rsidR="00410044" w:rsidRPr="000A6765" w:rsidRDefault="00410044" w:rsidP="00410044">
      <w:pPr>
        <w:jc w:val="center"/>
        <w:rPr>
          <w:rFonts w:asciiTheme="minorHAnsi" w:hAnsiTheme="minorHAnsi"/>
          <w:caps/>
        </w:rPr>
      </w:pPr>
    </w:p>
    <w:p w14:paraId="6332EBF7" w14:textId="77777777" w:rsidR="00410044" w:rsidRPr="000A6765" w:rsidRDefault="00410044" w:rsidP="00410044">
      <w:pPr>
        <w:jc w:val="center"/>
        <w:rPr>
          <w:rFonts w:asciiTheme="minorHAnsi" w:hAnsiTheme="minorHAnsi"/>
          <w:caps/>
        </w:rPr>
      </w:pPr>
    </w:p>
    <w:p w14:paraId="339352E6" w14:textId="77777777" w:rsidR="00410044" w:rsidRPr="000A6765" w:rsidRDefault="00410044" w:rsidP="00410044">
      <w:pPr>
        <w:jc w:val="center"/>
        <w:rPr>
          <w:rFonts w:asciiTheme="minorHAnsi" w:hAnsiTheme="minorHAnsi"/>
          <w:caps/>
        </w:rPr>
      </w:pPr>
    </w:p>
    <w:p w14:paraId="35E0182C" w14:textId="77777777" w:rsidR="00410044" w:rsidRPr="000A6765" w:rsidRDefault="00410044" w:rsidP="00410044">
      <w:pPr>
        <w:jc w:val="center"/>
        <w:rPr>
          <w:rFonts w:asciiTheme="minorHAnsi" w:hAnsiTheme="minorHAnsi"/>
          <w:caps/>
        </w:rPr>
      </w:pPr>
    </w:p>
    <w:p w14:paraId="710C28EC" w14:textId="77777777" w:rsidR="00410044" w:rsidRPr="000A6765" w:rsidRDefault="00410044" w:rsidP="00410044">
      <w:pPr>
        <w:jc w:val="center"/>
        <w:rPr>
          <w:rFonts w:asciiTheme="minorHAnsi" w:hAnsiTheme="minorHAnsi"/>
          <w:caps/>
        </w:rPr>
      </w:pPr>
    </w:p>
    <w:p w14:paraId="7A8AD6DF" w14:textId="77777777" w:rsidR="00410044" w:rsidRPr="000A6765" w:rsidRDefault="00410044" w:rsidP="00410044">
      <w:pPr>
        <w:jc w:val="center"/>
        <w:rPr>
          <w:rFonts w:asciiTheme="minorHAnsi" w:hAnsiTheme="minorHAnsi"/>
          <w:caps/>
        </w:rPr>
      </w:pPr>
    </w:p>
    <w:p w14:paraId="3B623401" w14:textId="6623BF32" w:rsidR="00410044" w:rsidRDefault="00410044" w:rsidP="00410044">
      <w:pPr>
        <w:jc w:val="center"/>
        <w:rPr>
          <w:rFonts w:asciiTheme="minorHAnsi" w:hAnsiTheme="minorHAnsi"/>
          <w:caps/>
        </w:rPr>
      </w:pPr>
    </w:p>
    <w:p w14:paraId="046ADD66" w14:textId="12BC4BAD" w:rsidR="00A63D52" w:rsidRDefault="00A63D52" w:rsidP="00410044">
      <w:pPr>
        <w:jc w:val="center"/>
        <w:rPr>
          <w:rFonts w:asciiTheme="minorHAnsi" w:hAnsiTheme="minorHAnsi"/>
          <w:caps/>
        </w:rPr>
      </w:pPr>
    </w:p>
    <w:p w14:paraId="5CAFF979" w14:textId="77777777" w:rsidR="00A63D52" w:rsidRPr="000A6765" w:rsidRDefault="00A63D52" w:rsidP="00410044">
      <w:pPr>
        <w:jc w:val="center"/>
        <w:rPr>
          <w:rFonts w:asciiTheme="minorHAnsi" w:hAnsiTheme="minorHAnsi"/>
          <w:caps/>
        </w:rPr>
      </w:pPr>
    </w:p>
    <w:p w14:paraId="4171E21B" w14:textId="4EEB43ED" w:rsidR="00410044" w:rsidRPr="000A6765" w:rsidRDefault="00E000DF" w:rsidP="00410044">
      <w:pPr>
        <w:jc w:val="center"/>
        <w:rPr>
          <w:rFonts w:asciiTheme="minorHAnsi" w:hAnsiTheme="minorHAnsi"/>
          <w:caps/>
        </w:rPr>
      </w:pPr>
      <w:r>
        <w:rPr>
          <w:rFonts w:asciiTheme="minorHAnsi" w:hAnsiTheme="minorHAnsi"/>
          <w:caps/>
        </w:rPr>
        <w:t>BY the committee consisting of</w:t>
      </w:r>
    </w:p>
    <w:p w14:paraId="48FBF42F" w14:textId="77777777" w:rsidR="00410044" w:rsidRPr="000A6765" w:rsidRDefault="00410044" w:rsidP="00410044">
      <w:pPr>
        <w:jc w:val="center"/>
        <w:rPr>
          <w:rFonts w:asciiTheme="minorHAnsi" w:hAnsiTheme="minorHAnsi"/>
          <w:caps/>
        </w:rPr>
      </w:pPr>
    </w:p>
    <w:p w14:paraId="04D388C4" w14:textId="77777777" w:rsidR="00410044" w:rsidRPr="000A6765" w:rsidRDefault="00410044" w:rsidP="00410044">
      <w:pPr>
        <w:jc w:val="center"/>
        <w:rPr>
          <w:rFonts w:asciiTheme="minorHAnsi" w:hAnsiTheme="minorHAnsi"/>
          <w:caps/>
        </w:rPr>
      </w:pPr>
    </w:p>
    <w:p w14:paraId="7B8B17C3" w14:textId="77777777" w:rsidR="00410044" w:rsidRPr="000A6765" w:rsidRDefault="0014490B" w:rsidP="00410044">
      <w:pPr>
        <w:jc w:val="right"/>
        <w:rPr>
          <w:rFonts w:asciiTheme="minorHAnsi" w:hAnsiTheme="minorHAnsi"/>
        </w:rPr>
      </w:pPr>
      <w:sdt>
        <w:sdtPr>
          <w:rPr>
            <w:rFonts w:asciiTheme="minorHAnsi" w:hAnsiTheme="minorHAnsi"/>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825684" w:rsidRPr="000A6765">
        <w:rPr>
          <w:rFonts w:asciiTheme="minorHAnsi" w:hAnsiTheme="minorHAnsi"/>
        </w:rPr>
        <w:t xml:space="preserve"> </w:t>
      </w:r>
      <w:sdt>
        <w:sdtPr>
          <w:rPr>
            <w:rFonts w:asciiTheme="minorHAnsi" w:hAnsiTheme="minorHAnsi"/>
          </w:rPr>
          <w:alias w:val="Click to enter committee chair name"/>
          <w:tag w:val="committee chair"/>
          <w:id w:val="28311840"/>
          <w:lock w:val="sdtLocked"/>
          <w:placeholder>
            <w:docPart w:val="DefaultPlaceholder_22675703"/>
          </w:placeholder>
        </w:sdtPr>
        <w:sdtEndPr/>
        <w:sdtContent>
          <w:r w:rsidR="007E760F">
            <w:rPr>
              <w:rFonts w:asciiTheme="minorHAnsi" w:hAnsiTheme="minorHAnsi"/>
            </w:rPr>
            <w:t>Christopher</w:t>
          </w:r>
          <w:r w:rsidR="006C519C">
            <w:rPr>
              <w:rFonts w:asciiTheme="minorHAnsi" w:hAnsiTheme="minorHAnsi"/>
            </w:rPr>
            <w:t xml:space="preserve"> D.</w:t>
          </w:r>
          <w:r w:rsidR="007E760F">
            <w:rPr>
              <w:rFonts w:asciiTheme="minorHAnsi" w:hAnsiTheme="minorHAnsi"/>
            </w:rPr>
            <w:t xml:space="preserve"> Black</w:t>
          </w:r>
        </w:sdtContent>
      </w:sdt>
      <w:sdt>
        <w:sdtPr>
          <w:rPr>
            <w:rFonts w:asciiTheme="minorHAnsi" w:hAnsiTheme="minorHAnsi"/>
          </w:rPr>
          <w:id w:val="8136015"/>
          <w:lock w:val="contentLocked"/>
          <w:placeholder>
            <w:docPart w:val="DefaultPlaceholder_22675703"/>
          </w:placeholder>
          <w:group/>
        </w:sdtPr>
        <w:sdtEndPr/>
        <w:sdtContent>
          <w:r w:rsidR="00410044" w:rsidRPr="000A6765">
            <w:rPr>
              <w:rFonts w:asciiTheme="minorHAnsi" w:hAnsiTheme="minorHAnsi"/>
            </w:rPr>
            <w:t>, Chair</w:t>
          </w:r>
        </w:sdtContent>
      </w:sdt>
    </w:p>
    <w:p w14:paraId="221B8D00" w14:textId="77777777" w:rsidR="00410044" w:rsidRPr="000A6765" w:rsidRDefault="00410044" w:rsidP="00410044">
      <w:pPr>
        <w:jc w:val="right"/>
        <w:rPr>
          <w:rFonts w:asciiTheme="minorHAnsi" w:hAnsiTheme="minorHAnsi"/>
        </w:rPr>
      </w:pPr>
    </w:p>
    <w:p w14:paraId="15FD07E7" w14:textId="77777777" w:rsidR="00410044" w:rsidRPr="000A6765" w:rsidRDefault="00410044" w:rsidP="00410044">
      <w:pPr>
        <w:jc w:val="right"/>
        <w:rPr>
          <w:rFonts w:asciiTheme="minorHAnsi" w:hAnsiTheme="minorHAnsi"/>
        </w:rPr>
      </w:pPr>
    </w:p>
    <w:p w14:paraId="4DB1AEA5" w14:textId="09B3BA7B" w:rsidR="00410044" w:rsidRPr="000A6765" w:rsidRDefault="0014490B" w:rsidP="00410044">
      <w:pPr>
        <w:jc w:val="right"/>
        <w:rPr>
          <w:rFonts w:asciiTheme="minorHAnsi" w:hAnsiTheme="minorHAnsi"/>
        </w:rPr>
      </w:pPr>
      <w:sdt>
        <w:sdtPr>
          <w:rPr>
            <w:rFonts w:asciiTheme="minorHAnsi" w:hAnsi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410044" w:rsidRPr="000A6765">
        <w:rPr>
          <w:rFonts w:asciiTheme="minorHAnsi" w:hAnsiTheme="minorHAnsi"/>
        </w:rPr>
        <w:t xml:space="preserve"> </w:t>
      </w:r>
      <w:sdt>
        <w:sdtPr>
          <w:rPr>
            <w:rFonts w:asciiTheme="minorHAnsi" w:hAnsiTheme="minorHAnsi"/>
          </w:rPr>
          <w:alias w:val="Click to enter 2nd member name"/>
          <w:tag w:val="2nd member"/>
          <w:id w:val="28311849"/>
          <w:lock w:val="sdtLocked"/>
          <w:placeholder>
            <w:docPart w:val="DefaultPlaceholder_22675703"/>
          </w:placeholder>
        </w:sdtPr>
        <w:sdtEndPr/>
        <w:sdtContent>
          <w:r w:rsidR="009804E4">
            <w:rPr>
              <w:rFonts w:asciiTheme="minorHAnsi" w:hAnsiTheme="minorHAnsi"/>
            </w:rPr>
            <w:t>Daniel Larson</w:t>
          </w:r>
        </w:sdtContent>
      </w:sdt>
    </w:p>
    <w:p w14:paraId="3485D432" w14:textId="77777777" w:rsidR="00825684" w:rsidRPr="000A6765" w:rsidRDefault="00825684" w:rsidP="00825684">
      <w:pPr>
        <w:jc w:val="right"/>
        <w:rPr>
          <w:rFonts w:asciiTheme="minorHAnsi" w:hAnsiTheme="minorHAnsi"/>
        </w:rPr>
      </w:pPr>
    </w:p>
    <w:p w14:paraId="0D2A5D5B" w14:textId="77777777" w:rsidR="00825684" w:rsidRPr="000A6765" w:rsidRDefault="00825684" w:rsidP="00825684">
      <w:pPr>
        <w:jc w:val="right"/>
        <w:rPr>
          <w:rFonts w:asciiTheme="minorHAnsi" w:hAnsiTheme="minorHAnsi"/>
        </w:rPr>
      </w:pPr>
    </w:p>
    <w:p w14:paraId="5CB5F8B1" w14:textId="77777777" w:rsidR="00825684" w:rsidRDefault="0014490B" w:rsidP="00825684">
      <w:pPr>
        <w:jc w:val="right"/>
        <w:rPr>
          <w:rFonts w:asciiTheme="minorHAnsi" w:hAnsiTheme="minorHAnsi"/>
        </w:rPr>
      </w:pPr>
      <w:sdt>
        <w:sdtPr>
          <w:rPr>
            <w:rFonts w:asciiTheme="minorHAnsi" w:hAnsiTheme="minorHAnsi"/>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825684" w:rsidRPr="000A6765">
        <w:rPr>
          <w:rFonts w:asciiTheme="minorHAnsi" w:hAnsiTheme="minorHAnsi"/>
        </w:rPr>
        <w:t xml:space="preserve"> </w:t>
      </w:r>
      <w:r w:rsidR="007E760F">
        <w:rPr>
          <w:rFonts w:asciiTheme="minorHAnsi" w:hAnsiTheme="minorHAnsi"/>
        </w:rPr>
        <w:t>Rebecca</w:t>
      </w:r>
      <w:r w:rsidR="006C519C">
        <w:rPr>
          <w:rFonts w:asciiTheme="minorHAnsi" w:hAnsiTheme="minorHAnsi"/>
        </w:rPr>
        <w:t xml:space="preserve"> D.</w:t>
      </w:r>
      <w:r w:rsidR="007E760F">
        <w:rPr>
          <w:rFonts w:asciiTheme="minorHAnsi" w:hAnsiTheme="minorHAnsi"/>
        </w:rPr>
        <w:t xml:space="preserve"> Larson</w:t>
      </w:r>
    </w:p>
    <w:p w14:paraId="4C127345" w14:textId="77777777" w:rsidR="006D4E41" w:rsidRDefault="006D4E41" w:rsidP="00825684">
      <w:pPr>
        <w:jc w:val="right"/>
        <w:rPr>
          <w:rFonts w:asciiTheme="minorHAnsi" w:hAnsiTheme="minorHAnsi"/>
        </w:rPr>
      </w:pPr>
    </w:p>
    <w:p w14:paraId="7ADCF727" w14:textId="77777777" w:rsidR="006D4E41" w:rsidRDefault="006D4E41" w:rsidP="00825684">
      <w:pPr>
        <w:jc w:val="right"/>
        <w:rPr>
          <w:rFonts w:asciiTheme="minorHAnsi" w:hAnsiTheme="minorHAnsi"/>
        </w:rPr>
      </w:pPr>
    </w:p>
    <w:p w14:paraId="7168311A" w14:textId="77777777" w:rsidR="006D4E41" w:rsidRDefault="006D4E41" w:rsidP="00825684">
      <w:pPr>
        <w:jc w:val="right"/>
        <w:rPr>
          <w:rFonts w:asciiTheme="minorHAnsi" w:hAnsiTheme="minorHAnsi"/>
        </w:rPr>
      </w:pPr>
    </w:p>
    <w:p w14:paraId="4530A16A" w14:textId="77777777" w:rsidR="006D4E41" w:rsidRPr="000A6765" w:rsidRDefault="006D4E41" w:rsidP="00825684">
      <w:pPr>
        <w:jc w:val="right"/>
        <w:rPr>
          <w:rFonts w:asciiTheme="minorHAnsi" w:hAnsiTheme="minorHAnsi"/>
        </w:rPr>
      </w:pPr>
    </w:p>
    <w:p w14:paraId="75AD39CB" w14:textId="77777777" w:rsidR="00825684" w:rsidRPr="000A6765" w:rsidRDefault="00825684" w:rsidP="00825684">
      <w:pPr>
        <w:jc w:val="right"/>
        <w:rPr>
          <w:rFonts w:asciiTheme="minorHAnsi" w:hAnsiTheme="minorHAnsi"/>
        </w:rPr>
      </w:pPr>
    </w:p>
    <w:p w14:paraId="118F1C3B" w14:textId="77777777" w:rsidR="00825684" w:rsidRPr="000A6765" w:rsidRDefault="00825684" w:rsidP="00825684">
      <w:pPr>
        <w:jc w:val="right"/>
        <w:rPr>
          <w:rFonts w:asciiTheme="minorHAnsi" w:hAnsiTheme="minorHAnsi"/>
        </w:rPr>
      </w:pPr>
    </w:p>
    <w:p w14:paraId="3A3AC419" w14:textId="77777777" w:rsidR="00410044" w:rsidRPr="000A6765" w:rsidRDefault="00410044" w:rsidP="00410044">
      <w:pPr>
        <w:jc w:val="right"/>
        <w:rPr>
          <w:rFonts w:asciiTheme="minorHAnsi" w:hAnsiTheme="minorHAnsi"/>
        </w:rPr>
      </w:pPr>
    </w:p>
    <w:p w14:paraId="7B81C38D" w14:textId="77777777" w:rsidR="00410044" w:rsidRPr="000A6765" w:rsidRDefault="00410044">
      <w:pPr>
        <w:rPr>
          <w:rFonts w:asciiTheme="minorHAnsi" w:hAnsiTheme="minorHAnsi"/>
        </w:rPr>
      </w:pPr>
      <w:r w:rsidRPr="000A6765">
        <w:rPr>
          <w:rFonts w:asciiTheme="minorHAnsi" w:hAnsiTheme="minorHAnsi"/>
        </w:rPr>
        <w:br w:type="page"/>
      </w:r>
    </w:p>
    <w:p w14:paraId="3C37FB93" w14:textId="77777777" w:rsidR="00410044" w:rsidRPr="000A6765" w:rsidRDefault="00410044" w:rsidP="00410044">
      <w:pPr>
        <w:jc w:val="center"/>
        <w:rPr>
          <w:rFonts w:asciiTheme="minorHAnsi" w:hAnsiTheme="minorHAnsi"/>
        </w:rPr>
      </w:pPr>
    </w:p>
    <w:p w14:paraId="4ABAF9EA" w14:textId="77777777" w:rsidR="00410044" w:rsidRPr="000A6765" w:rsidRDefault="00410044" w:rsidP="00410044">
      <w:pPr>
        <w:jc w:val="center"/>
        <w:rPr>
          <w:rFonts w:asciiTheme="minorHAnsi" w:hAnsiTheme="minorHAnsi"/>
        </w:rPr>
      </w:pPr>
    </w:p>
    <w:p w14:paraId="021252BD" w14:textId="77777777" w:rsidR="00410044" w:rsidRPr="000A6765" w:rsidRDefault="00410044" w:rsidP="00410044">
      <w:pPr>
        <w:jc w:val="center"/>
        <w:rPr>
          <w:rFonts w:asciiTheme="minorHAnsi" w:hAnsiTheme="minorHAnsi"/>
        </w:rPr>
      </w:pPr>
    </w:p>
    <w:p w14:paraId="13FCD024" w14:textId="77777777" w:rsidR="00410044" w:rsidRPr="000A6765" w:rsidRDefault="00410044" w:rsidP="00410044">
      <w:pPr>
        <w:jc w:val="center"/>
        <w:rPr>
          <w:rFonts w:asciiTheme="minorHAnsi" w:hAnsiTheme="minorHAnsi"/>
        </w:rPr>
      </w:pPr>
    </w:p>
    <w:p w14:paraId="64C9A063" w14:textId="77777777" w:rsidR="00410044" w:rsidRPr="000A6765" w:rsidRDefault="00410044" w:rsidP="00410044">
      <w:pPr>
        <w:jc w:val="center"/>
        <w:rPr>
          <w:rFonts w:asciiTheme="minorHAnsi" w:hAnsiTheme="minorHAnsi"/>
        </w:rPr>
      </w:pPr>
    </w:p>
    <w:p w14:paraId="261AE65C" w14:textId="77777777" w:rsidR="00410044" w:rsidRPr="000A6765" w:rsidRDefault="00410044" w:rsidP="00410044">
      <w:pPr>
        <w:jc w:val="center"/>
        <w:rPr>
          <w:rFonts w:asciiTheme="minorHAnsi" w:hAnsiTheme="minorHAnsi"/>
        </w:rPr>
      </w:pPr>
    </w:p>
    <w:p w14:paraId="71041C94" w14:textId="77777777" w:rsidR="00410044" w:rsidRPr="000A6765" w:rsidRDefault="00410044" w:rsidP="00410044">
      <w:pPr>
        <w:jc w:val="center"/>
        <w:rPr>
          <w:rFonts w:asciiTheme="minorHAnsi" w:hAnsiTheme="minorHAnsi"/>
        </w:rPr>
      </w:pPr>
    </w:p>
    <w:p w14:paraId="45C94CB5" w14:textId="77777777" w:rsidR="00410044" w:rsidRPr="000A6765" w:rsidRDefault="00410044" w:rsidP="00410044">
      <w:pPr>
        <w:jc w:val="center"/>
        <w:rPr>
          <w:rFonts w:asciiTheme="minorHAnsi" w:hAnsiTheme="minorHAnsi"/>
        </w:rPr>
      </w:pPr>
    </w:p>
    <w:p w14:paraId="569087CE" w14:textId="77777777" w:rsidR="00410044" w:rsidRPr="000A6765" w:rsidRDefault="00410044" w:rsidP="00410044">
      <w:pPr>
        <w:jc w:val="center"/>
        <w:rPr>
          <w:rFonts w:asciiTheme="minorHAnsi" w:hAnsiTheme="minorHAnsi"/>
        </w:rPr>
      </w:pPr>
    </w:p>
    <w:p w14:paraId="01B6D1B1" w14:textId="77777777" w:rsidR="00410044" w:rsidRPr="000A6765" w:rsidRDefault="00410044" w:rsidP="00410044">
      <w:pPr>
        <w:jc w:val="center"/>
        <w:rPr>
          <w:rFonts w:asciiTheme="minorHAnsi" w:hAnsiTheme="minorHAnsi"/>
        </w:rPr>
      </w:pPr>
    </w:p>
    <w:p w14:paraId="5D971D56" w14:textId="77777777" w:rsidR="00410044" w:rsidRPr="000A6765" w:rsidRDefault="00410044" w:rsidP="00410044">
      <w:pPr>
        <w:jc w:val="center"/>
        <w:rPr>
          <w:rFonts w:asciiTheme="minorHAnsi" w:hAnsiTheme="minorHAnsi"/>
        </w:rPr>
      </w:pPr>
    </w:p>
    <w:p w14:paraId="094D4244" w14:textId="77777777" w:rsidR="00410044" w:rsidRPr="000A6765" w:rsidRDefault="00410044" w:rsidP="00410044">
      <w:pPr>
        <w:jc w:val="center"/>
        <w:rPr>
          <w:rFonts w:asciiTheme="minorHAnsi" w:hAnsiTheme="minorHAnsi"/>
        </w:rPr>
      </w:pPr>
    </w:p>
    <w:p w14:paraId="73F3E2E6" w14:textId="77777777" w:rsidR="00410044" w:rsidRPr="000A6765" w:rsidRDefault="00410044" w:rsidP="00410044">
      <w:pPr>
        <w:jc w:val="center"/>
        <w:rPr>
          <w:rFonts w:asciiTheme="minorHAnsi" w:hAnsiTheme="minorHAnsi"/>
        </w:rPr>
      </w:pPr>
    </w:p>
    <w:p w14:paraId="6E54743C" w14:textId="77777777" w:rsidR="00410044" w:rsidRPr="000A6765" w:rsidRDefault="00410044" w:rsidP="00410044">
      <w:pPr>
        <w:jc w:val="center"/>
        <w:rPr>
          <w:rFonts w:asciiTheme="minorHAnsi" w:hAnsiTheme="minorHAnsi"/>
        </w:rPr>
      </w:pPr>
    </w:p>
    <w:p w14:paraId="38FC042E" w14:textId="77777777" w:rsidR="00410044" w:rsidRPr="000A6765" w:rsidRDefault="00410044" w:rsidP="00410044">
      <w:pPr>
        <w:jc w:val="center"/>
        <w:rPr>
          <w:rFonts w:asciiTheme="minorHAnsi" w:hAnsiTheme="minorHAnsi"/>
        </w:rPr>
      </w:pPr>
    </w:p>
    <w:p w14:paraId="37391F38" w14:textId="77777777" w:rsidR="00410044" w:rsidRPr="000A6765" w:rsidRDefault="00410044" w:rsidP="00410044">
      <w:pPr>
        <w:jc w:val="center"/>
        <w:rPr>
          <w:rFonts w:asciiTheme="minorHAnsi" w:hAnsiTheme="minorHAnsi"/>
        </w:rPr>
      </w:pPr>
    </w:p>
    <w:p w14:paraId="256F7E43" w14:textId="77777777" w:rsidR="00410044" w:rsidRPr="000A6765" w:rsidRDefault="00410044" w:rsidP="00410044">
      <w:pPr>
        <w:jc w:val="center"/>
        <w:rPr>
          <w:rFonts w:asciiTheme="minorHAnsi" w:hAnsiTheme="minorHAnsi"/>
        </w:rPr>
      </w:pPr>
    </w:p>
    <w:p w14:paraId="414B9ECA" w14:textId="77777777" w:rsidR="00410044" w:rsidRPr="000A6765" w:rsidRDefault="00410044" w:rsidP="00410044">
      <w:pPr>
        <w:jc w:val="center"/>
        <w:rPr>
          <w:rFonts w:asciiTheme="minorHAnsi" w:hAnsiTheme="minorHAnsi"/>
        </w:rPr>
      </w:pPr>
    </w:p>
    <w:p w14:paraId="0D178C0B" w14:textId="77777777" w:rsidR="00410044" w:rsidRPr="000A6765" w:rsidRDefault="00410044" w:rsidP="00410044">
      <w:pPr>
        <w:jc w:val="center"/>
        <w:rPr>
          <w:rFonts w:asciiTheme="minorHAnsi" w:hAnsiTheme="minorHAnsi"/>
        </w:rPr>
      </w:pPr>
    </w:p>
    <w:p w14:paraId="5B64419C" w14:textId="77777777" w:rsidR="00410044" w:rsidRPr="000A6765" w:rsidRDefault="00410044" w:rsidP="00410044">
      <w:pPr>
        <w:jc w:val="center"/>
        <w:rPr>
          <w:rFonts w:asciiTheme="minorHAnsi" w:hAnsiTheme="minorHAnsi"/>
        </w:rPr>
      </w:pPr>
    </w:p>
    <w:p w14:paraId="3035DFAE" w14:textId="77777777" w:rsidR="00410044" w:rsidRPr="000A6765" w:rsidRDefault="00410044" w:rsidP="00410044">
      <w:pPr>
        <w:jc w:val="center"/>
        <w:rPr>
          <w:rFonts w:asciiTheme="minorHAnsi" w:hAnsiTheme="minorHAnsi"/>
        </w:rPr>
      </w:pPr>
    </w:p>
    <w:p w14:paraId="1DD2E02B" w14:textId="77777777" w:rsidR="00410044" w:rsidRPr="000A6765" w:rsidRDefault="00410044" w:rsidP="00410044">
      <w:pPr>
        <w:jc w:val="center"/>
        <w:rPr>
          <w:rFonts w:asciiTheme="minorHAnsi" w:hAnsiTheme="minorHAnsi"/>
        </w:rPr>
      </w:pPr>
    </w:p>
    <w:p w14:paraId="3DEE8FD0" w14:textId="77777777" w:rsidR="00410044" w:rsidRPr="000A6765" w:rsidRDefault="00410044" w:rsidP="00410044">
      <w:pPr>
        <w:jc w:val="center"/>
        <w:rPr>
          <w:rFonts w:asciiTheme="minorHAnsi" w:hAnsiTheme="minorHAnsi"/>
        </w:rPr>
      </w:pPr>
    </w:p>
    <w:p w14:paraId="040FEF44" w14:textId="77777777" w:rsidR="00410044" w:rsidRPr="000A6765" w:rsidRDefault="00410044" w:rsidP="00410044">
      <w:pPr>
        <w:jc w:val="center"/>
        <w:rPr>
          <w:rFonts w:asciiTheme="minorHAnsi" w:hAnsiTheme="minorHAnsi"/>
        </w:rPr>
      </w:pPr>
    </w:p>
    <w:p w14:paraId="725AA8DD" w14:textId="77777777" w:rsidR="00410044" w:rsidRPr="000A6765" w:rsidRDefault="00410044" w:rsidP="00410044">
      <w:pPr>
        <w:jc w:val="center"/>
        <w:rPr>
          <w:rFonts w:asciiTheme="minorHAnsi" w:hAnsiTheme="minorHAnsi"/>
        </w:rPr>
      </w:pPr>
    </w:p>
    <w:p w14:paraId="1B0D2A16" w14:textId="77777777" w:rsidR="00410044" w:rsidRPr="000A6765" w:rsidRDefault="00410044" w:rsidP="00410044">
      <w:pPr>
        <w:jc w:val="center"/>
        <w:rPr>
          <w:rFonts w:asciiTheme="minorHAnsi" w:hAnsiTheme="minorHAnsi"/>
        </w:rPr>
      </w:pPr>
    </w:p>
    <w:p w14:paraId="631454F3" w14:textId="77777777" w:rsidR="00410044" w:rsidRPr="000A6765" w:rsidRDefault="00410044" w:rsidP="00410044">
      <w:pPr>
        <w:jc w:val="center"/>
        <w:rPr>
          <w:rFonts w:asciiTheme="minorHAnsi" w:hAnsiTheme="minorHAnsi"/>
        </w:rPr>
      </w:pPr>
    </w:p>
    <w:p w14:paraId="1E0BC8A5" w14:textId="77777777" w:rsidR="00410044" w:rsidRPr="000A6765" w:rsidRDefault="00410044" w:rsidP="00410044">
      <w:pPr>
        <w:jc w:val="center"/>
        <w:rPr>
          <w:rFonts w:asciiTheme="minorHAnsi" w:hAnsiTheme="minorHAnsi"/>
        </w:rPr>
      </w:pPr>
    </w:p>
    <w:p w14:paraId="451D17AA" w14:textId="77777777" w:rsidR="00410044" w:rsidRPr="000A6765" w:rsidRDefault="00410044" w:rsidP="00410044">
      <w:pPr>
        <w:jc w:val="center"/>
        <w:rPr>
          <w:rFonts w:asciiTheme="minorHAnsi" w:hAnsiTheme="minorHAnsi"/>
        </w:rPr>
      </w:pPr>
    </w:p>
    <w:p w14:paraId="0821B7AB" w14:textId="77777777" w:rsidR="00410044" w:rsidRPr="000A6765" w:rsidRDefault="00410044" w:rsidP="00410044">
      <w:pPr>
        <w:jc w:val="center"/>
        <w:rPr>
          <w:rFonts w:asciiTheme="minorHAnsi" w:hAnsiTheme="minorHAnsi"/>
        </w:rPr>
      </w:pPr>
    </w:p>
    <w:p w14:paraId="108FC59C" w14:textId="77777777" w:rsidR="00410044" w:rsidRPr="000A6765" w:rsidRDefault="00410044" w:rsidP="00410044">
      <w:pPr>
        <w:jc w:val="center"/>
        <w:rPr>
          <w:rFonts w:asciiTheme="minorHAnsi" w:hAnsiTheme="minorHAnsi"/>
        </w:rPr>
      </w:pPr>
    </w:p>
    <w:p w14:paraId="769CA4C5" w14:textId="77777777" w:rsidR="00410044" w:rsidRPr="000A6765" w:rsidRDefault="00410044" w:rsidP="00410044">
      <w:pPr>
        <w:jc w:val="center"/>
        <w:rPr>
          <w:rFonts w:asciiTheme="minorHAnsi" w:hAnsiTheme="minorHAnsi"/>
        </w:rPr>
      </w:pPr>
    </w:p>
    <w:p w14:paraId="726A151F" w14:textId="77777777" w:rsidR="00410044" w:rsidRPr="000A6765" w:rsidRDefault="00410044" w:rsidP="00410044">
      <w:pPr>
        <w:jc w:val="center"/>
        <w:rPr>
          <w:rFonts w:asciiTheme="minorHAnsi" w:hAnsiTheme="minorHAnsi"/>
        </w:rPr>
      </w:pPr>
    </w:p>
    <w:p w14:paraId="6AB93454" w14:textId="77777777" w:rsidR="00410044" w:rsidRPr="000A6765" w:rsidRDefault="00410044" w:rsidP="00410044">
      <w:pPr>
        <w:jc w:val="center"/>
        <w:rPr>
          <w:rFonts w:asciiTheme="minorHAnsi" w:hAnsiTheme="minorHAnsi"/>
        </w:rPr>
      </w:pPr>
    </w:p>
    <w:p w14:paraId="5E197446" w14:textId="77777777" w:rsidR="00410044" w:rsidRPr="000A6765" w:rsidRDefault="00410044" w:rsidP="00410044">
      <w:pPr>
        <w:jc w:val="center"/>
        <w:rPr>
          <w:rFonts w:asciiTheme="minorHAnsi" w:hAnsiTheme="minorHAnsi"/>
        </w:rPr>
      </w:pPr>
    </w:p>
    <w:p w14:paraId="118E81A4" w14:textId="77777777" w:rsidR="00410044" w:rsidRPr="000A6765" w:rsidRDefault="00410044" w:rsidP="00410044">
      <w:pPr>
        <w:jc w:val="center"/>
        <w:rPr>
          <w:rFonts w:asciiTheme="minorHAnsi" w:hAnsiTheme="minorHAnsi"/>
        </w:rPr>
      </w:pPr>
    </w:p>
    <w:p w14:paraId="23102CBF" w14:textId="77777777" w:rsidR="00410044" w:rsidRPr="000A6765" w:rsidRDefault="00410044" w:rsidP="00410044">
      <w:pPr>
        <w:jc w:val="center"/>
        <w:rPr>
          <w:rFonts w:asciiTheme="minorHAnsi" w:hAnsiTheme="minorHAnsi"/>
        </w:rPr>
      </w:pPr>
    </w:p>
    <w:p w14:paraId="3E916FC2" w14:textId="77777777" w:rsidR="00410044" w:rsidRPr="000A6765" w:rsidRDefault="00410044" w:rsidP="00410044">
      <w:pPr>
        <w:jc w:val="center"/>
        <w:rPr>
          <w:rFonts w:asciiTheme="minorHAnsi" w:hAnsiTheme="minorHAnsi"/>
        </w:rPr>
      </w:pPr>
    </w:p>
    <w:p w14:paraId="6C792D2E" w14:textId="77777777" w:rsidR="00410044" w:rsidRPr="000A6765" w:rsidRDefault="00410044" w:rsidP="00410044">
      <w:pPr>
        <w:jc w:val="center"/>
        <w:rPr>
          <w:rFonts w:asciiTheme="minorHAnsi" w:hAnsiTheme="minorHAnsi"/>
        </w:rPr>
      </w:pPr>
    </w:p>
    <w:p w14:paraId="7FC73764" w14:textId="77777777" w:rsidR="00410044" w:rsidRPr="000A6765" w:rsidRDefault="00410044" w:rsidP="00410044">
      <w:pPr>
        <w:jc w:val="center"/>
        <w:rPr>
          <w:rFonts w:asciiTheme="minorHAnsi" w:hAnsiTheme="minorHAnsi"/>
        </w:rPr>
      </w:pPr>
    </w:p>
    <w:p w14:paraId="18A4F6EF" w14:textId="660277B0" w:rsidR="00410044" w:rsidRDefault="00410044" w:rsidP="00410044">
      <w:pPr>
        <w:jc w:val="center"/>
        <w:rPr>
          <w:rFonts w:asciiTheme="minorHAnsi" w:hAnsiTheme="minorHAnsi"/>
        </w:rPr>
      </w:pPr>
    </w:p>
    <w:p w14:paraId="73E9A23C" w14:textId="6501DF31" w:rsidR="00A63D52" w:rsidRDefault="00A63D52" w:rsidP="00410044">
      <w:pPr>
        <w:jc w:val="center"/>
        <w:rPr>
          <w:rFonts w:asciiTheme="minorHAnsi" w:hAnsiTheme="minorHAnsi"/>
        </w:rPr>
      </w:pPr>
    </w:p>
    <w:p w14:paraId="13DC48E0" w14:textId="77777777" w:rsidR="00A63D52" w:rsidRPr="000A6765" w:rsidRDefault="00A63D52" w:rsidP="00410044">
      <w:pPr>
        <w:jc w:val="center"/>
        <w:rPr>
          <w:rFonts w:asciiTheme="minorHAnsi" w:hAnsiTheme="minorHAnsi"/>
        </w:rPr>
      </w:pPr>
    </w:p>
    <w:p w14:paraId="0BA1EF31" w14:textId="77777777" w:rsidR="00410044" w:rsidRPr="000A6765" w:rsidRDefault="00410044" w:rsidP="00410044">
      <w:pPr>
        <w:jc w:val="center"/>
        <w:rPr>
          <w:rFonts w:asciiTheme="minorHAnsi" w:hAnsiTheme="minorHAnsi"/>
        </w:rPr>
      </w:pPr>
    </w:p>
    <w:p w14:paraId="57FDB38C" w14:textId="77777777" w:rsidR="00A63D52" w:rsidRDefault="0014490B" w:rsidP="00A63D52">
      <w:pPr>
        <w:jc w:val="center"/>
        <w:rPr>
          <w:rFonts w:asciiTheme="minorHAnsi" w:hAnsiTheme="minorHAnsi"/>
        </w:rPr>
      </w:pPr>
      <w:sdt>
        <w:sdtPr>
          <w:rPr>
            <w:rFonts w:asciiTheme="minorHAnsi" w:hAnsiTheme="minorHAnsi"/>
          </w:rPr>
          <w:id w:val="6232691"/>
          <w:lock w:val="contentLocked"/>
          <w:placeholder>
            <w:docPart w:val="DefaultPlaceholder_22675703"/>
          </w:placeholder>
          <w:group/>
        </w:sdtPr>
        <w:sdtEndPr/>
        <w:sdtContent>
          <w:r w:rsidR="00410044" w:rsidRPr="000A6765">
            <w:rPr>
              <w:rFonts w:asciiTheme="minorHAnsi" w:hAnsiTheme="minorHAnsi"/>
            </w:rPr>
            <w:t>© Copyright by</w:t>
          </w:r>
        </w:sdtContent>
      </w:sdt>
      <w:r w:rsidR="00410044" w:rsidRPr="000A6765">
        <w:rPr>
          <w:rFonts w:asciiTheme="minorHAnsi" w:hAnsiTheme="minorHAnsi"/>
        </w:rPr>
        <w:t xml:space="preserve"> </w:t>
      </w:r>
      <w:sdt>
        <w:sdtPr>
          <w:rPr>
            <w:rFonts w:asciiTheme="minorHAnsi" w:hAnsi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425F88">
            <w:rPr>
              <w:rFonts w:asciiTheme="minorHAnsi" w:hAnsiTheme="minorHAnsi"/>
              <w:caps/>
            </w:rPr>
            <w:t>Ashley Venturini</w:t>
          </w:r>
        </w:sdtContent>
      </w:sdt>
      <w:r w:rsidR="00410044" w:rsidRPr="000A6765">
        <w:rPr>
          <w:rFonts w:asciiTheme="minorHAnsi" w:hAnsiTheme="minorHAnsi"/>
        </w:rPr>
        <w:t xml:space="preserve"> </w:t>
      </w:r>
      <w:sdt>
        <w:sdtPr>
          <w:rPr>
            <w:rFonts w:asciiTheme="minorHAnsi" w:hAnsiTheme="minorHAnsi"/>
          </w:rPr>
          <w:alias w:val="Click to enter the year you are depositing the thesis"/>
          <w:tag w:val="Click to enter the year you are depositing the thesis"/>
          <w:id w:val="28311882"/>
          <w:lock w:val="sdtLocked"/>
          <w:placeholder>
            <w:docPart w:val="DefaultPlaceholder_22675703"/>
          </w:placeholder>
        </w:sdtPr>
        <w:sdtEndPr/>
        <w:sdtContent>
          <w:r w:rsidR="007E760F">
            <w:rPr>
              <w:rFonts w:asciiTheme="minorHAnsi" w:hAnsiTheme="minorHAnsi"/>
            </w:rPr>
            <w:t>20</w:t>
          </w:r>
          <w:r w:rsidR="00425F88">
            <w:rPr>
              <w:rFonts w:asciiTheme="minorHAnsi" w:hAnsiTheme="minorHAnsi"/>
            </w:rPr>
            <w:t>21</w:t>
          </w:r>
        </w:sdtContent>
      </w:sdt>
    </w:p>
    <w:p w14:paraId="5DBBBE07" w14:textId="62EB1A1C" w:rsidR="00410044" w:rsidRPr="000A6765" w:rsidRDefault="00410044" w:rsidP="00A63D52">
      <w:pPr>
        <w:jc w:val="center"/>
        <w:rPr>
          <w:rFonts w:asciiTheme="minorHAnsi" w:hAnsiTheme="minorHAnsi"/>
        </w:rPr>
        <w:sectPr w:rsidR="00410044" w:rsidRPr="000A6765" w:rsidSect="00C008A4">
          <w:pgSz w:w="12240" w:h="15840"/>
          <w:pgMar w:top="1440" w:right="1440" w:bottom="1440" w:left="1440" w:header="720" w:footer="720" w:gutter="0"/>
          <w:cols w:space="720"/>
          <w:docGrid w:linePitch="360"/>
        </w:sectPr>
      </w:pPr>
      <w:r w:rsidRPr="000A6765">
        <w:rPr>
          <w:rFonts w:asciiTheme="minorHAnsi" w:hAnsiTheme="minorHAnsi"/>
        </w:rPr>
        <w:t>All Rights Reserved.</w:t>
      </w:r>
    </w:p>
    <w:p w14:paraId="7672CC54" w14:textId="2A47A418" w:rsidR="00862FED" w:rsidRDefault="004F1193" w:rsidP="00A63D52">
      <w:pPr>
        <w:spacing w:line="480" w:lineRule="auto"/>
        <w:jc w:val="center"/>
        <w:rPr>
          <w:rFonts w:asciiTheme="minorHAnsi" w:hAnsiTheme="minorHAnsi"/>
          <w:b/>
        </w:rPr>
      </w:pPr>
      <w:r w:rsidRPr="004F1193">
        <w:rPr>
          <w:rFonts w:asciiTheme="minorHAnsi" w:hAnsiTheme="minorHAnsi"/>
          <w:b/>
        </w:rPr>
        <w:lastRenderedPageBreak/>
        <w:t>ACKNOWLEDGEMENTS</w:t>
      </w:r>
    </w:p>
    <w:p w14:paraId="196EF6FA" w14:textId="0BDE6289" w:rsidR="004E4CEC" w:rsidRDefault="004E4CEC" w:rsidP="004E4CEC">
      <w:pPr>
        <w:spacing w:line="480" w:lineRule="auto"/>
        <w:jc w:val="both"/>
        <w:rPr>
          <w:rFonts w:asciiTheme="minorHAnsi" w:hAnsiTheme="minorHAnsi"/>
          <w:bCs/>
        </w:rPr>
      </w:pPr>
      <w:r w:rsidRPr="004E4CEC">
        <w:rPr>
          <w:rFonts w:asciiTheme="minorHAnsi" w:hAnsiTheme="minorHAnsi"/>
          <w:bCs/>
        </w:rPr>
        <w:t>Dr. Black</w:t>
      </w:r>
      <w:r>
        <w:rPr>
          <w:rFonts w:asciiTheme="minorHAnsi" w:hAnsiTheme="minorHAnsi"/>
          <w:bCs/>
        </w:rPr>
        <w:t>, thank you so much for accepting me into your lab and helping me navigate through the world of exercise physiology. I have learned so much from you these past two years and I am so grateful to have had the opportunity to work in your lab. Thank you for all of the extra time that you put in this year to help me finish my thesis in one year instead of two (thank you Covid). I would not be where I am now without your help and guidance. You have truly been a great mentor to me both academically and personally and I am so thankful for you.</w:t>
      </w:r>
    </w:p>
    <w:p w14:paraId="2D4587CD" w14:textId="56FD64AA" w:rsidR="004E4CEC" w:rsidRDefault="004E4CEC" w:rsidP="004E4CEC">
      <w:pPr>
        <w:spacing w:line="480" w:lineRule="auto"/>
        <w:jc w:val="both"/>
        <w:rPr>
          <w:rFonts w:asciiTheme="minorHAnsi" w:hAnsiTheme="minorHAnsi"/>
          <w:bCs/>
        </w:rPr>
      </w:pPr>
    </w:p>
    <w:p w14:paraId="520BC3C5" w14:textId="64EB7C86" w:rsidR="004E4CEC" w:rsidRDefault="004E4CEC" w:rsidP="004E4CEC">
      <w:pPr>
        <w:spacing w:line="480" w:lineRule="auto"/>
        <w:jc w:val="both"/>
        <w:rPr>
          <w:rFonts w:asciiTheme="minorHAnsi" w:hAnsiTheme="minorHAnsi"/>
          <w:bCs/>
        </w:rPr>
      </w:pPr>
      <w:r>
        <w:rPr>
          <w:rFonts w:asciiTheme="minorHAnsi" w:hAnsiTheme="minorHAnsi"/>
          <w:bCs/>
        </w:rPr>
        <w:t xml:space="preserve">Dr. Rebecca Larson and Dr. Dan Larson, thank you for your guidance and assistance with my thesis project. I know there were so many questions that we had along the way as we navigated an unfamiliar type data collection and analysis and you both have made a large impact on this project. </w:t>
      </w:r>
    </w:p>
    <w:p w14:paraId="7F20FA0F" w14:textId="2F25FBB3" w:rsidR="004E4CEC" w:rsidRDefault="004E4CEC" w:rsidP="004E4CEC">
      <w:pPr>
        <w:spacing w:line="480" w:lineRule="auto"/>
        <w:jc w:val="both"/>
        <w:rPr>
          <w:rFonts w:asciiTheme="minorHAnsi" w:hAnsiTheme="minorHAnsi"/>
          <w:bCs/>
        </w:rPr>
      </w:pPr>
    </w:p>
    <w:p w14:paraId="5F35CB61" w14:textId="74A82245" w:rsidR="004E4CEC" w:rsidRDefault="004E4CEC" w:rsidP="004E4CEC">
      <w:pPr>
        <w:spacing w:line="480" w:lineRule="auto"/>
        <w:jc w:val="both"/>
        <w:rPr>
          <w:rFonts w:asciiTheme="minorHAnsi" w:hAnsiTheme="minorHAnsi"/>
          <w:bCs/>
        </w:rPr>
      </w:pPr>
      <w:r>
        <w:rPr>
          <w:rFonts w:asciiTheme="minorHAnsi" w:hAnsiTheme="minorHAnsi"/>
          <w:bCs/>
        </w:rPr>
        <w:t>To my lab mates, thank you for being another source of knowledge for me and helping navigate what it means to be a grad student. I wish that we could have had more time to get to know each other before Covid. To Jess in particular, thank you for always being there when I needed to vent or needed a shoulder to lean on. Your constant encouragement always kept me in good spirits, and I am so thankful for that. I have truly found a lifelong friend in you.</w:t>
      </w:r>
    </w:p>
    <w:p w14:paraId="7137953E" w14:textId="7C65662D" w:rsidR="004E4CEC" w:rsidRDefault="004E4CEC" w:rsidP="004E4CEC">
      <w:pPr>
        <w:spacing w:line="480" w:lineRule="auto"/>
        <w:jc w:val="both"/>
        <w:rPr>
          <w:rFonts w:asciiTheme="minorHAnsi" w:hAnsiTheme="minorHAnsi"/>
          <w:bCs/>
        </w:rPr>
      </w:pPr>
    </w:p>
    <w:p w14:paraId="590DD9E3" w14:textId="201A15E8" w:rsidR="004E4CEC" w:rsidRDefault="004E4CEC" w:rsidP="004E4CEC">
      <w:pPr>
        <w:spacing w:line="480" w:lineRule="auto"/>
        <w:jc w:val="both"/>
        <w:rPr>
          <w:rFonts w:asciiTheme="minorHAnsi" w:hAnsiTheme="minorHAnsi"/>
          <w:bCs/>
        </w:rPr>
      </w:pPr>
      <w:r>
        <w:rPr>
          <w:rFonts w:asciiTheme="minorHAnsi" w:hAnsiTheme="minorHAnsi"/>
          <w:bCs/>
        </w:rPr>
        <w:t>To my family, thank you for always having my back no matter how stressful school or life got these past few years. I would not be where I am now without all of your support and love these past several years. To Jacob, I am so thankful that this program put you in my life. Thank you for always lifting me up, supporting, and challenging me. I love you!</w:t>
      </w:r>
    </w:p>
    <w:p w14:paraId="33FA7414" w14:textId="6D9C8FDB" w:rsidR="00410044" w:rsidRPr="003157D3" w:rsidRDefault="00410044" w:rsidP="004E4CEC">
      <w:pPr>
        <w:spacing w:line="480" w:lineRule="auto"/>
        <w:jc w:val="both"/>
        <w:rPr>
          <w:rFonts w:asciiTheme="minorHAnsi" w:hAnsiTheme="minorHAnsi"/>
          <w:bCs/>
        </w:rPr>
      </w:pPr>
      <w:r w:rsidRPr="000A6765">
        <w:rPr>
          <w:rFonts w:asciiTheme="minorHAnsi" w:hAnsiTheme="minorHAnsi"/>
        </w:rPr>
        <w:br w:type="page"/>
      </w:r>
    </w:p>
    <w:sdt>
      <w:sdtPr>
        <w:rPr>
          <w:rFonts w:ascii="Times New Roman" w:eastAsia="Times New Roman" w:hAnsi="Times New Roman" w:cs="Times New Roman"/>
          <w:b w:val="0"/>
          <w:bCs w:val="0"/>
          <w:color w:val="auto"/>
          <w:sz w:val="24"/>
          <w:szCs w:val="24"/>
        </w:rPr>
        <w:id w:val="-1472356658"/>
        <w:docPartObj>
          <w:docPartGallery w:val="Table of Contents"/>
          <w:docPartUnique/>
        </w:docPartObj>
      </w:sdtPr>
      <w:sdtEndPr>
        <w:rPr>
          <w:noProof/>
        </w:rPr>
      </w:sdtEndPr>
      <w:sdtContent>
        <w:p w14:paraId="43005130" w14:textId="77777777" w:rsidR="009804E4" w:rsidRPr="003A67CE" w:rsidRDefault="009804E4" w:rsidP="009804E4">
          <w:pPr>
            <w:pStyle w:val="TOCHeading"/>
            <w:spacing w:after="240"/>
            <w:jc w:val="center"/>
            <w:rPr>
              <w:rFonts w:ascii="Times New Roman" w:hAnsi="Times New Roman" w:cs="Times New Roman"/>
              <w:color w:val="000000" w:themeColor="text1"/>
              <w:sz w:val="24"/>
              <w:szCs w:val="24"/>
            </w:rPr>
          </w:pPr>
          <w:r w:rsidRPr="003A67CE">
            <w:rPr>
              <w:rFonts w:ascii="Times New Roman" w:hAnsi="Times New Roman" w:cs="Times New Roman"/>
              <w:color w:val="000000" w:themeColor="text1"/>
              <w:sz w:val="24"/>
              <w:szCs w:val="24"/>
            </w:rPr>
            <w:t>TABLE OF CONTENTS</w:t>
          </w:r>
        </w:p>
        <w:p w14:paraId="7E376D55" w14:textId="7D835024" w:rsidR="009804E4" w:rsidRPr="003A67CE" w:rsidRDefault="00373633" w:rsidP="00BF7C26">
          <w:pPr>
            <w:pStyle w:val="TOC1"/>
          </w:pPr>
          <w:r w:rsidRPr="003A67CE">
            <w:t xml:space="preserve">LIST OF TABLES </w:t>
          </w:r>
          <w:r w:rsidR="009804E4" w:rsidRPr="003A67CE">
            <w:ptab w:relativeTo="margin" w:alignment="right" w:leader="dot"/>
          </w:r>
          <w:r w:rsidR="0039125D" w:rsidRPr="003A67CE">
            <w:t>vii</w:t>
          </w:r>
        </w:p>
        <w:p w14:paraId="32A9085B" w14:textId="4C621444" w:rsidR="00373633" w:rsidRPr="003A67CE" w:rsidRDefault="00373633" w:rsidP="00373633">
          <w:pPr>
            <w:pStyle w:val="TOC1"/>
          </w:pPr>
          <w:r w:rsidRPr="003A67CE">
            <w:t>ABSTRACT</w:t>
          </w:r>
          <w:r w:rsidRPr="003A67CE">
            <w:ptab w:relativeTo="margin" w:alignment="right" w:leader="dot"/>
          </w:r>
          <w:r w:rsidRPr="003A67CE">
            <w:t>vii</w:t>
          </w:r>
          <w:r w:rsidR="003019A9" w:rsidRPr="003A67CE">
            <w:t>i</w:t>
          </w:r>
        </w:p>
        <w:p w14:paraId="2F6A6059" w14:textId="77777777" w:rsidR="009804E4" w:rsidRPr="003A67CE" w:rsidRDefault="009804E4" w:rsidP="00BF7C26">
          <w:pPr>
            <w:pStyle w:val="TOC1"/>
          </w:pPr>
          <w:r w:rsidRPr="003A67CE">
            <w:t>CHAPTER 1- Introduction</w:t>
          </w:r>
          <w:r w:rsidRPr="003A67CE">
            <w:ptab w:relativeTo="margin" w:alignment="right" w:leader="dot"/>
          </w:r>
          <w:r w:rsidRPr="003A67CE">
            <w:t>1</w:t>
          </w:r>
        </w:p>
        <w:p w14:paraId="1EFF0396" w14:textId="1B363611"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Introduction</w:t>
          </w:r>
          <w:r w:rsidRPr="003A67CE">
            <w:rPr>
              <w:rFonts w:ascii="Times New Roman" w:hAnsi="Times New Roman" w:cs="Times New Roman"/>
              <w:b w:val="0"/>
              <w:bCs w:val="0"/>
              <w:sz w:val="24"/>
              <w:szCs w:val="24"/>
            </w:rPr>
            <w:ptab w:relativeTo="margin" w:alignment="right" w:leader="dot"/>
          </w:r>
          <w:r w:rsidR="00C008A4" w:rsidRPr="003A67CE">
            <w:rPr>
              <w:rFonts w:ascii="Times New Roman" w:hAnsi="Times New Roman" w:cs="Times New Roman"/>
              <w:b w:val="0"/>
              <w:bCs w:val="0"/>
              <w:sz w:val="24"/>
              <w:szCs w:val="24"/>
            </w:rPr>
            <w:t>1</w:t>
          </w:r>
        </w:p>
        <w:p w14:paraId="38394F62" w14:textId="5842FA75"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Purpose</w:t>
          </w:r>
          <w:r w:rsidRPr="003A67CE">
            <w:rPr>
              <w:rFonts w:ascii="Times New Roman" w:hAnsi="Times New Roman" w:cs="Times New Roman"/>
              <w:b w:val="0"/>
              <w:bCs w:val="0"/>
              <w:sz w:val="24"/>
              <w:szCs w:val="24"/>
            </w:rPr>
            <w:ptab w:relativeTo="margin" w:alignment="right" w:leader="dot"/>
          </w:r>
          <w:r w:rsidR="0039125D" w:rsidRPr="003A67CE">
            <w:rPr>
              <w:rFonts w:ascii="Times New Roman" w:hAnsi="Times New Roman" w:cs="Times New Roman"/>
              <w:b w:val="0"/>
              <w:bCs w:val="0"/>
              <w:sz w:val="24"/>
              <w:szCs w:val="24"/>
            </w:rPr>
            <w:t>4</w:t>
          </w:r>
        </w:p>
        <w:p w14:paraId="09A73DCB" w14:textId="4E1051F9"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Research Questions</w:t>
          </w:r>
          <w:r w:rsidRPr="003A67CE">
            <w:rPr>
              <w:rFonts w:ascii="Times New Roman" w:hAnsi="Times New Roman" w:cs="Times New Roman"/>
              <w:b w:val="0"/>
              <w:bCs w:val="0"/>
              <w:sz w:val="24"/>
              <w:szCs w:val="24"/>
            </w:rPr>
            <w:ptab w:relativeTo="margin" w:alignment="right" w:leader="dot"/>
          </w:r>
          <w:r w:rsidR="00C008A4" w:rsidRPr="003A67CE">
            <w:rPr>
              <w:rFonts w:ascii="Times New Roman" w:hAnsi="Times New Roman" w:cs="Times New Roman"/>
              <w:b w:val="0"/>
              <w:bCs w:val="0"/>
              <w:sz w:val="24"/>
              <w:szCs w:val="24"/>
            </w:rPr>
            <w:t>4</w:t>
          </w:r>
        </w:p>
        <w:p w14:paraId="6FFA4A64" w14:textId="77777777"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Research Hypotheses</w:t>
          </w:r>
          <w:r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5</w:t>
          </w:r>
        </w:p>
        <w:p w14:paraId="7004E0A0" w14:textId="3E9E1135"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Significance</w:t>
          </w:r>
          <w:r w:rsidRPr="003A67CE">
            <w:rPr>
              <w:rFonts w:ascii="Times New Roman" w:hAnsi="Times New Roman" w:cs="Times New Roman"/>
              <w:b w:val="0"/>
              <w:bCs w:val="0"/>
              <w:sz w:val="24"/>
              <w:szCs w:val="24"/>
            </w:rPr>
            <w:ptab w:relativeTo="margin" w:alignment="right" w:leader="dot"/>
          </w:r>
          <w:r w:rsidR="0039125D" w:rsidRPr="003A67CE">
            <w:rPr>
              <w:rFonts w:ascii="Times New Roman" w:hAnsi="Times New Roman" w:cs="Times New Roman"/>
              <w:b w:val="0"/>
              <w:bCs w:val="0"/>
              <w:sz w:val="24"/>
              <w:szCs w:val="24"/>
            </w:rPr>
            <w:t>6</w:t>
          </w:r>
        </w:p>
        <w:p w14:paraId="062A5589" w14:textId="618EF4CB"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Limitations</w:t>
          </w:r>
          <w:r w:rsidRPr="003A67CE">
            <w:rPr>
              <w:rFonts w:ascii="Times New Roman" w:hAnsi="Times New Roman" w:cs="Times New Roman"/>
              <w:b w:val="0"/>
              <w:bCs w:val="0"/>
              <w:sz w:val="24"/>
              <w:szCs w:val="24"/>
            </w:rPr>
            <w:ptab w:relativeTo="margin" w:alignment="right" w:leader="dot"/>
          </w:r>
          <w:r w:rsidR="00C008A4" w:rsidRPr="003A67CE">
            <w:rPr>
              <w:rFonts w:ascii="Times New Roman" w:hAnsi="Times New Roman" w:cs="Times New Roman"/>
              <w:b w:val="0"/>
              <w:bCs w:val="0"/>
              <w:sz w:val="24"/>
              <w:szCs w:val="24"/>
            </w:rPr>
            <w:t>6</w:t>
          </w:r>
        </w:p>
        <w:p w14:paraId="2120228B" w14:textId="18BF6B88"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Delimitations</w:t>
          </w:r>
          <w:r w:rsidRPr="003A67CE">
            <w:rPr>
              <w:rFonts w:ascii="Times New Roman" w:hAnsi="Times New Roman" w:cs="Times New Roman"/>
              <w:b w:val="0"/>
              <w:bCs w:val="0"/>
              <w:sz w:val="24"/>
              <w:szCs w:val="24"/>
            </w:rPr>
            <w:ptab w:relativeTo="margin" w:alignment="right" w:leader="dot"/>
          </w:r>
          <w:r w:rsidR="00C008A4" w:rsidRPr="003A67CE">
            <w:rPr>
              <w:rFonts w:ascii="Times New Roman" w:hAnsi="Times New Roman" w:cs="Times New Roman"/>
              <w:b w:val="0"/>
              <w:bCs w:val="0"/>
              <w:sz w:val="24"/>
              <w:szCs w:val="24"/>
            </w:rPr>
            <w:t>6</w:t>
          </w:r>
        </w:p>
        <w:p w14:paraId="68D9E3B1" w14:textId="37EE408A" w:rsidR="009804E4" w:rsidRPr="003A67CE" w:rsidRDefault="009804E4"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Assumptions</w:t>
          </w:r>
          <w:r w:rsidRPr="003A67CE">
            <w:rPr>
              <w:rFonts w:ascii="Times New Roman" w:hAnsi="Times New Roman" w:cs="Times New Roman"/>
              <w:b w:val="0"/>
              <w:bCs w:val="0"/>
              <w:sz w:val="24"/>
              <w:szCs w:val="24"/>
            </w:rPr>
            <w:ptab w:relativeTo="margin" w:alignment="right" w:leader="dot"/>
          </w:r>
          <w:r w:rsidR="00AD19DF" w:rsidRPr="003A67CE">
            <w:rPr>
              <w:rFonts w:ascii="Times New Roman" w:hAnsi="Times New Roman" w:cs="Times New Roman"/>
              <w:b w:val="0"/>
              <w:bCs w:val="0"/>
              <w:sz w:val="24"/>
              <w:szCs w:val="24"/>
            </w:rPr>
            <w:t>6</w:t>
          </w:r>
        </w:p>
        <w:p w14:paraId="0A00FC28" w14:textId="628F56D5" w:rsidR="009804E4" w:rsidRPr="003A67CE" w:rsidRDefault="009804E4" w:rsidP="009804E4">
          <w:pPr>
            <w:pStyle w:val="TOC2"/>
            <w:rPr>
              <w:rFonts w:ascii="Times New Roman" w:hAnsi="Times New Roman" w:cs="Times New Roman"/>
              <w:sz w:val="24"/>
              <w:szCs w:val="24"/>
            </w:rPr>
          </w:pPr>
          <w:r w:rsidRPr="003A67CE">
            <w:rPr>
              <w:rFonts w:ascii="Times New Roman" w:hAnsi="Times New Roman" w:cs="Times New Roman"/>
              <w:b w:val="0"/>
              <w:bCs w:val="0"/>
              <w:sz w:val="24"/>
              <w:szCs w:val="24"/>
            </w:rPr>
            <w:t>Operational Definitions</w:t>
          </w:r>
          <w:r w:rsidRPr="003A67CE">
            <w:rPr>
              <w:rFonts w:ascii="Times New Roman" w:hAnsi="Times New Roman" w:cs="Times New Roman"/>
              <w:b w:val="0"/>
              <w:bCs w:val="0"/>
              <w:sz w:val="24"/>
              <w:szCs w:val="24"/>
            </w:rPr>
            <w:ptab w:relativeTo="margin" w:alignment="right" w:leader="dot"/>
          </w:r>
          <w:r w:rsidR="0039125D" w:rsidRPr="003A67CE">
            <w:rPr>
              <w:rFonts w:ascii="Times New Roman" w:hAnsi="Times New Roman" w:cs="Times New Roman"/>
              <w:b w:val="0"/>
              <w:bCs w:val="0"/>
              <w:sz w:val="24"/>
              <w:szCs w:val="24"/>
            </w:rPr>
            <w:t>7</w:t>
          </w:r>
        </w:p>
        <w:p w14:paraId="62D651DC" w14:textId="02008618" w:rsidR="009804E4" w:rsidRPr="003A67CE" w:rsidRDefault="009804E4" w:rsidP="00BF7C26">
          <w:pPr>
            <w:pStyle w:val="TOC1"/>
          </w:pPr>
          <w:r w:rsidRPr="003A67CE">
            <w:t xml:space="preserve">CHAPTER 2 – Literature Review </w:t>
          </w:r>
          <w:r w:rsidRPr="003A67CE">
            <w:ptab w:relativeTo="margin" w:alignment="right" w:leader="dot"/>
          </w:r>
          <w:r w:rsidR="0039125D" w:rsidRPr="003A67CE">
            <w:t>8</w:t>
          </w:r>
        </w:p>
        <w:p w14:paraId="530F6220" w14:textId="16EA3ACB"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Effect of Pain on QOL</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8</w:t>
          </w:r>
        </w:p>
        <w:p w14:paraId="10345379" w14:textId="193F6B33"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Prevalence of Pain on Activity</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10</w:t>
          </w:r>
        </w:p>
        <w:p w14:paraId="3100301C" w14:textId="0CBC8E39" w:rsidR="00A63D52" w:rsidRPr="003A67CE" w:rsidRDefault="00A63D52"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Pain Perception</w:t>
          </w:r>
          <w:r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12</w:t>
          </w:r>
        </w:p>
        <w:p w14:paraId="4273075F" w14:textId="78A52688"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Prevalence of Osteoarthritis</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1</w:t>
          </w:r>
          <w:r w:rsidR="00C008A4" w:rsidRPr="003A67CE">
            <w:rPr>
              <w:rFonts w:ascii="Times New Roman" w:hAnsi="Times New Roman" w:cs="Times New Roman"/>
              <w:b w:val="0"/>
              <w:bCs w:val="0"/>
              <w:sz w:val="24"/>
              <w:szCs w:val="24"/>
            </w:rPr>
            <w:t>3</w:t>
          </w:r>
        </w:p>
        <w:p w14:paraId="51EEAD1D" w14:textId="797E3B23"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Relationship Among Body Composition and Pain</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1</w:t>
          </w:r>
          <w:r w:rsidR="00C008A4" w:rsidRPr="003A67CE">
            <w:rPr>
              <w:rFonts w:ascii="Times New Roman" w:hAnsi="Times New Roman" w:cs="Times New Roman"/>
              <w:b w:val="0"/>
              <w:bCs w:val="0"/>
              <w:sz w:val="24"/>
              <w:szCs w:val="24"/>
            </w:rPr>
            <w:t>5</w:t>
          </w:r>
        </w:p>
        <w:p w14:paraId="1CA59F60" w14:textId="7E5BBCE7" w:rsidR="009804E4" w:rsidRPr="003A67CE" w:rsidRDefault="00A63D52" w:rsidP="003019A9">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Relationship Among Physical Activity and Pain</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1</w:t>
          </w:r>
          <w:r w:rsidR="00AD19DF" w:rsidRPr="003A67CE">
            <w:rPr>
              <w:rFonts w:ascii="Times New Roman" w:hAnsi="Times New Roman" w:cs="Times New Roman"/>
              <w:b w:val="0"/>
              <w:bCs w:val="0"/>
              <w:sz w:val="24"/>
              <w:szCs w:val="24"/>
            </w:rPr>
            <w:t>7</w:t>
          </w:r>
        </w:p>
        <w:p w14:paraId="18DFE232" w14:textId="7737B125" w:rsidR="009804E4" w:rsidRPr="003A67CE" w:rsidRDefault="009804E4" w:rsidP="00BF7C26">
          <w:pPr>
            <w:pStyle w:val="TOC1"/>
          </w:pPr>
          <w:r w:rsidRPr="003A67CE">
            <w:t xml:space="preserve">CHAPTER 3- Methodology </w:t>
          </w:r>
          <w:r w:rsidRPr="003A67CE">
            <w:ptab w:relativeTo="margin" w:alignment="right" w:leader="dot"/>
          </w:r>
          <w:r w:rsidR="00A63D52" w:rsidRPr="003A67CE">
            <w:t>2</w:t>
          </w:r>
          <w:r w:rsidR="00C008A4" w:rsidRPr="003A67CE">
            <w:t>1</w:t>
          </w:r>
        </w:p>
        <w:p w14:paraId="5FF5541B" w14:textId="7A2A1568"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Introduction</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C008A4" w:rsidRPr="003A67CE">
            <w:rPr>
              <w:rFonts w:ascii="Times New Roman" w:hAnsi="Times New Roman" w:cs="Times New Roman"/>
              <w:b w:val="0"/>
              <w:bCs w:val="0"/>
              <w:sz w:val="24"/>
              <w:szCs w:val="24"/>
            </w:rPr>
            <w:t>1</w:t>
          </w:r>
        </w:p>
        <w:p w14:paraId="61A875A2" w14:textId="56F3F943"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Sample Population</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C008A4" w:rsidRPr="003A67CE">
            <w:rPr>
              <w:rFonts w:ascii="Times New Roman" w:hAnsi="Times New Roman" w:cs="Times New Roman"/>
              <w:b w:val="0"/>
              <w:bCs w:val="0"/>
              <w:sz w:val="24"/>
              <w:szCs w:val="24"/>
            </w:rPr>
            <w:t>1</w:t>
          </w:r>
        </w:p>
        <w:p w14:paraId="16B5C24A" w14:textId="02A036E6"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Interview Process</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C008A4" w:rsidRPr="003A67CE">
            <w:rPr>
              <w:rFonts w:ascii="Times New Roman" w:hAnsi="Times New Roman" w:cs="Times New Roman"/>
              <w:b w:val="0"/>
              <w:bCs w:val="0"/>
              <w:sz w:val="24"/>
              <w:szCs w:val="24"/>
            </w:rPr>
            <w:t>2</w:t>
          </w:r>
        </w:p>
        <w:p w14:paraId="55EB3CB7" w14:textId="0F2E9FDE"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Variable Selection</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3</w:t>
          </w:r>
        </w:p>
        <w:p w14:paraId="3C851C49" w14:textId="466D0278" w:rsidR="009804E4" w:rsidRPr="003A67CE" w:rsidRDefault="00A63D52"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Chronic Pain Assessment</w:t>
          </w:r>
          <w:r w:rsidR="009804E4" w:rsidRPr="003A67CE">
            <w:rPr>
              <w:rFonts w:ascii="Times New Roman" w:hAnsi="Times New Roman" w:cs="Times New Roman"/>
              <w:b w:val="0"/>
              <w:bCs w:val="0"/>
              <w:sz w:val="24"/>
              <w:szCs w:val="24"/>
            </w:rPr>
            <w:ptab w:relativeTo="margin" w:alignment="right" w:leader="dot"/>
          </w:r>
          <w:r w:rsidR="00373633"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4</w:t>
          </w:r>
        </w:p>
        <w:p w14:paraId="0B407151" w14:textId="4BFCB2A3" w:rsidR="00A63D52" w:rsidRPr="003A67CE" w:rsidRDefault="00373633"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Self-Reported Physical Activity</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5</w:t>
          </w:r>
        </w:p>
        <w:p w14:paraId="4247F19D" w14:textId="04FB8E86" w:rsidR="00A63D52" w:rsidRPr="003A67CE" w:rsidRDefault="00373633"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Body Composition Variables</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5</w:t>
          </w:r>
        </w:p>
        <w:p w14:paraId="5D0CEEEC" w14:textId="2890676F" w:rsidR="00A63D52" w:rsidRPr="003A67CE" w:rsidRDefault="00373633"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Other Variables</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6</w:t>
          </w:r>
        </w:p>
        <w:p w14:paraId="5436BA3C" w14:textId="21416317" w:rsidR="00A63D52" w:rsidRPr="003A67CE" w:rsidRDefault="00373633"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Inclusion Criteria</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6</w:t>
          </w:r>
        </w:p>
        <w:p w14:paraId="52937C38" w14:textId="181AC4D8" w:rsidR="00A63D52" w:rsidRPr="003A67CE" w:rsidRDefault="00373633" w:rsidP="00A63D52">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Exclusion Criteria</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6</w:t>
          </w:r>
        </w:p>
        <w:p w14:paraId="599AF442" w14:textId="1649EC8A" w:rsidR="009804E4" w:rsidRPr="003A67CE" w:rsidRDefault="00373633" w:rsidP="00373633">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Statistical Analysis</w:t>
          </w:r>
          <w:r w:rsidR="00A63D52"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2</w:t>
          </w:r>
          <w:r w:rsidR="006E0ED3" w:rsidRPr="003A67CE">
            <w:rPr>
              <w:rFonts w:ascii="Times New Roman" w:hAnsi="Times New Roman" w:cs="Times New Roman"/>
              <w:b w:val="0"/>
              <w:bCs w:val="0"/>
              <w:sz w:val="24"/>
              <w:szCs w:val="24"/>
            </w:rPr>
            <w:t>7</w:t>
          </w:r>
        </w:p>
        <w:p w14:paraId="28997CB7" w14:textId="3ECD793E" w:rsidR="009804E4" w:rsidRPr="003A67CE" w:rsidRDefault="009804E4" w:rsidP="00BF7C26">
          <w:pPr>
            <w:pStyle w:val="TOC1"/>
          </w:pPr>
          <w:r w:rsidRPr="003A67CE">
            <w:lastRenderedPageBreak/>
            <w:t>CHAPTER 4 – Results</w:t>
          </w:r>
          <w:r w:rsidR="00534327" w:rsidRPr="003A67CE">
            <w:t xml:space="preserve"> &amp; </w:t>
          </w:r>
          <w:r w:rsidR="004E4CEC" w:rsidRPr="003A67CE">
            <w:t>Discussion</w:t>
          </w:r>
          <w:r w:rsidRPr="003A67CE">
            <w:t xml:space="preserve"> </w:t>
          </w:r>
          <w:r w:rsidRPr="003A67CE">
            <w:ptab w:relativeTo="margin" w:alignment="right" w:leader="dot"/>
          </w:r>
          <w:r w:rsidR="006E0ED3" w:rsidRPr="003A67CE">
            <w:t>28</w:t>
          </w:r>
        </w:p>
        <w:p w14:paraId="2352522C" w14:textId="0C356DF9" w:rsidR="009804E4" w:rsidRPr="003A67CE" w:rsidRDefault="00373633"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 xml:space="preserve">Participant Characteristics </w:t>
          </w:r>
          <w:r w:rsidR="009804E4" w:rsidRPr="003A67CE">
            <w:rPr>
              <w:rFonts w:ascii="Times New Roman" w:hAnsi="Times New Roman" w:cs="Times New Roman"/>
              <w:b w:val="0"/>
              <w:bCs w:val="0"/>
              <w:sz w:val="24"/>
              <w:szCs w:val="24"/>
            </w:rPr>
            <w:ptab w:relativeTo="margin" w:alignment="right" w:leader="dot"/>
          </w:r>
          <w:r w:rsidR="006E0ED3" w:rsidRPr="003A67CE">
            <w:rPr>
              <w:rFonts w:ascii="Times New Roman" w:hAnsi="Times New Roman" w:cs="Times New Roman"/>
              <w:b w:val="0"/>
              <w:bCs w:val="0"/>
              <w:sz w:val="24"/>
              <w:szCs w:val="24"/>
            </w:rPr>
            <w:t>28</w:t>
          </w:r>
        </w:p>
        <w:p w14:paraId="282725B9" w14:textId="3CC13F38" w:rsidR="009804E4" w:rsidRPr="003A67CE" w:rsidRDefault="00373633"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 xml:space="preserve">Physical Activity Levels </w:t>
          </w:r>
          <w:r w:rsidR="009804E4" w:rsidRPr="003A67CE">
            <w:rPr>
              <w:rFonts w:ascii="Times New Roman" w:hAnsi="Times New Roman" w:cs="Times New Roman"/>
              <w:b w:val="0"/>
              <w:bCs w:val="0"/>
              <w:sz w:val="24"/>
              <w:szCs w:val="24"/>
            </w:rPr>
            <w:ptab w:relativeTo="margin" w:alignment="right" w:leader="dot"/>
          </w:r>
          <w:r w:rsidR="006E0ED3" w:rsidRPr="003A67CE">
            <w:rPr>
              <w:rFonts w:ascii="Times New Roman" w:hAnsi="Times New Roman" w:cs="Times New Roman"/>
              <w:b w:val="0"/>
              <w:bCs w:val="0"/>
              <w:sz w:val="24"/>
              <w:szCs w:val="24"/>
            </w:rPr>
            <w:t>29</w:t>
          </w:r>
        </w:p>
        <w:p w14:paraId="00DEE57B" w14:textId="18009173" w:rsidR="009804E4" w:rsidRPr="003A67CE" w:rsidRDefault="00373633" w:rsidP="009804E4">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 xml:space="preserve">Prevalence of Pain Making it Hard for Usual Activities </w:t>
          </w:r>
          <w:r w:rsidR="009804E4" w:rsidRPr="003A67CE">
            <w:rPr>
              <w:rFonts w:ascii="Times New Roman" w:hAnsi="Times New Roman" w:cs="Times New Roman"/>
              <w:b w:val="0"/>
              <w:bCs w:val="0"/>
              <w:sz w:val="24"/>
              <w:szCs w:val="24"/>
            </w:rPr>
            <w:ptab w:relativeTo="margin" w:alignment="right" w:leader="dot"/>
          </w:r>
          <w:r w:rsidR="006E0ED3" w:rsidRPr="003A67CE">
            <w:rPr>
              <w:rFonts w:ascii="Times New Roman" w:hAnsi="Times New Roman" w:cs="Times New Roman"/>
              <w:b w:val="0"/>
              <w:bCs w:val="0"/>
              <w:sz w:val="24"/>
              <w:szCs w:val="24"/>
            </w:rPr>
            <w:t>30</w:t>
          </w:r>
        </w:p>
        <w:p w14:paraId="2BA6D2E8" w14:textId="50D9AE19" w:rsidR="009804E4" w:rsidRPr="003A67CE" w:rsidRDefault="00373633" w:rsidP="00373633">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Odds Ratio Reporting</w:t>
          </w:r>
          <w:r w:rsidR="009804E4"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3</w:t>
          </w:r>
          <w:r w:rsidR="006E0ED3" w:rsidRPr="003A67CE">
            <w:rPr>
              <w:rFonts w:ascii="Times New Roman" w:hAnsi="Times New Roman" w:cs="Times New Roman"/>
              <w:b w:val="0"/>
              <w:bCs w:val="0"/>
              <w:sz w:val="24"/>
              <w:szCs w:val="24"/>
            </w:rPr>
            <w:t>5</w:t>
          </w:r>
        </w:p>
        <w:p w14:paraId="3EBEA7C6" w14:textId="412E72CD" w:rsidR="00534327" w:rsidRPr="003A67CE" w:rsidRDefault="00534327" w:rsidP="00534327">
          <w:pPr>
            <w:pStyle w:val="TOC2"/>
            <w:rPr>
              <w:rFonts w:ascii="Times New Roman" w:hAnsi="Times New Roman" w:cs="Times New Roman"/>
              <w:b w:val="0"/>
              <w:bCs w:val="0"/>
              <w:sz w:val="24"/>
              <w:szCs w:val="24"/>
            </w:rPr>
          </w:pPr>
          <w:r w:rsidRPr="003A67CE">
            <w:rPr>
              <w:rFonts w:ascii="Times New Roman" w:hAnsi="Times New Roman" w:cs="Times New Roman"/>
              <w:b w:val="0"/>
              <w:bCs w:val="0"/>
              <w:sz w:val="24"/>
              <w:szCs w:val="24"/>
            </w:rPr>
            <w:t>Discussion</w:t>
          </w:r>
          <w:r w:rsidRPr="003A67CE">
            <w:rPr>
              <w:rFonts w:ascii="Times New Roman" w:hAnsi="Times New Roman" w:cs="Times New Roman"/>
              <w:b w:val="0"/>
              <w:bCs w:val="0"/>
              <w:sz w:val="24"/>
              <w:szCs w:val="24"/>
            </w:rPr>
            <w:ptab w:relativeTo="margin" w:alignment="right" w:leader="dot"/>
          </w:r>
          <w:r w:rsidRPr="003A67CE">
            <w:rPr>
              <w:rFonts w:ascii="Times New Roman" w:hAnsi="Times New Roman" w:cs="Times New Roman"/>
              <w:b w:val="0"/>
              <w:bCs w:val="0"/>
              <w:sz w:val="24"/>
              <w:szCs w:val="24"/>
            </w:rPr>
            <w:t>3</w:t>
          </w:r>
          <w:r w:rsidR="00AD19DF" w:rsidRPr="003A67CE">
            <w:rPr>
              <w:rFonts w:ascii="Times New Roman" w:hAnsi="Times New Roman" w:cs="Times New Roman"/>
              <w:b w:val="0"/>
              <w:bCs w:val="0"/>
              <w:sz w:val="24"/>
              <w:szCs w:val="24"/>
            </w:rPr>
            <w:t>8</w:t>
          </w:r>
        </w:p>
        <w:p w14:paraId="5D495DC9" w14:textId="774E79D3" w:rsidR="009804E4" w:rsidRPr="003A67CE" w:rsidRDefault="009804E4" w:rsidP="00534327">
          <w:pPr>
            <w:pStyle w:val="TOC1"/>
          </w:pPr>
          <w:r w:rsidRPr="003A67CE">
            <w:t xml:space="preserve">CHAPTER 5 – </w:t>
          </w:r>
          <w:r w:rsidR="00534327" w:rsidRPr="003A67CE">
            <w:t>Conclusions</w:t>
          </w:r>
          <w:r w:rsidRPr="003A67CE">
            <w:t xml:space="preserve"> </w:t>
          </w:r>
          <w:r w:rsidRPr="003A67CE">
            <w:ptab w:relativeTo="margin" w:alignment="right" w:leader="dot"/>
          </w:r>
          <w:r w:rsidR="00534327" w:rsidRPr="003A67CE">
            <w:t>4</w:t>
          </w:r>
          <w:r w:rsidR="00AD19DF" w:rsidRPr="003A67CE">
            <w:t>4</w:t>
          </w:r>
        </w:p>
        <w:p w14:paraId="64FED996" w14:textId="7E24DA94" w:rsidR="009804E4" w:rsidRPr="003A67CE" w:rsidRDefault="009804E4" w:rsidP="00BF7C26">
          <w:pPr>
            <w:pStyle w:val="TOC1"/>
          </w:pPr>
          <w:r w:rsidRPr="003A67CE">
            <w:t>WORKS CITED</w:t>
          </w:r>
          <w:r w:rsidRPr="003A67CE">
            <w:ptab w:relativeTo="margin" w:alignment="right" w:leader="dot"/>
          </w:r>
          <w:r w:rsidR="00534327" w:rsidRPr="003A67CE">
            <w:t>4</w:t>
          </w:r>
          <w:r w:rsidR="00AD19DF" w:rsidRPr="003A67CE">
            <w:t>6</w:t>
          </w:r>
        </w:p>
        <w:p w14:paraId="295DB239" w14:textId="390A1E36" w:rsidR="009804E4" w:rsidRPr="003A67CE" w:rsidRDefault="009804E4" w:rsidP="00BF7C26">
          <w:pPr>
            <w:pStyle w:val="TOC1"/>
          </w:pPr>
          <w:r w:rsidRPr="003A67CE">
            <w:t>APPENDIX: GLOBAL PHYSICAL ACTIVITY QUESTIONNAIRE</w:t>
          </w:r>
          <w:r w:rsidRPr="003A67CE">
            <w:ptab w:relativeTo="margin" w:alignment="right" w:leader="dot"/>
          </w:r>
          <w:r w:rsidR="00AD19DF" w:rsidRPr="003A67CE">
            <w:t>50</w:t>
          </w:r>
        </w:p>
        <w:p w14:paraId="0A8AEBA2" w14:textId="4FC86560" w:rsidR="00571A01" w:rsidRPr="003A67CE" w:rsidRDefault="0014490B"/>
      </w:sdtContent>
    </w:sdt>
    <w:p w14:paraId="3B9E9951" w14:textId="77777777" w:rsidR="00410044" w:rsidRPr="003A67CE" w:rsidRDefault="00410044" w:rsidP="00410044">
      <w:pPr>
        <w:spacing w:line="480" w:lineRule="auto"/>
        <w:rPr>
          <w:rFonts w:asciiTheme="minorHAnsi" w:hAnsiTheme="minorHAnsi"/>
        </w:rPr>
      </w:pPr>
    </w:p>
    <w:p w14:paraId="0284E230" w14:textId="4259B8D6" w:rsidR="00EA13B0" w:rsidRPr="003A67CE" w:rsidRDefault="00410044" w:rsidP="00247505">
      <w:pPr>
        <w:jc w:val="center"/>
        <w:rPr>
          <w:b/>
          <w:bCs/>
        </w:rPr>
      </w:pPr>
      <w:r w:rsidRPr="003A67CE">
        <w:rPr>
          <w:rFonts w:asciiTheme="minorHAnsi" w:hAnsiTheme="minorHAnsi"/>
        </w:rPr>
        <w:br w:type="page"/>
      </w:r>
    </w:p>
    <w:p w14:paraId="4E73C6A2" w14:textId="51A4CD2C" w:rsidR="00373633" w:rsidRPr="00534357" w:rsidRDefault="00373633" w:rsidP="00373633">
      <w:pPr>
        <w:pStyle w:val="TOCHeading"/>
        <w:spacing w:after="24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LIST OF TABLES</w:t>
      </w:r>
    </w:p>
    <w:p w14:paraId="48023C41" w14:textId="4BD30AA6" w:rsidR="00373633" w:rsidRPr="00373633" w:rsidRDefault="00373633" w:rsidP="00373633">
      <w:pPr>
        <w:pStyle w:val="TOC1"/>
      </w:pPr>
      <w:r>
        <w:t>Table 1: Participant Characteristics</w:t>
      </w:r>
      <w:r w:rsidRPr="00534357">
        <w:ptab w:relativeTo="margin" w:alignment="right" w:leader="dot"/>
      </w:r>
      <w:r w:rsidR="006E0ED3">
        <w:t>29</w:t>
      </w:r>
    </w:p>
    <w:p w14:paraId="73C4A04D" w14:textId="2D358A3E" w:rsidR="00373633" w:rsidRPr="00373633" w:rsidRDefault="00373633" w:rsidP="00373633">
      <w:pPr>
        <w:pStyle w:val="TOC1"/>
      </w:pPr>
      <w:r>
        <w:t>Table 2: Self-Reported Physical Activity Levels</w:t>
      </w:r>
      <w:r w:rsidRPr="00534357">
        <w:ptab w:relativeTo="margin" w:alignment="right" w:leader="dot"/>
      </w:r>
      <w:r w:rsidR="006E0ED3">
        <w:t>30</w:t>
      </w:r>
    </w:p>
    <w:p w14:paraId="59469D96" w14:textId="264CE3C0" w:rsidR="00373633" w:rsidRPr="00373633" w:rsidRDefault="00373633" w:rsidP="00373633">
      <w:pPr>
        <w:pStyle w:val="TOC1"/>
      </w:pPr>
      <w:r>
        <w:t xml:space="preserve">Table 3: Prevalence of Pain Making it Hard for Usual </w:t>
      </w:r>
      <w:r w:rsidR="00306C43">
        <w:t>Activities</w:t>
      </w:r>
      <w:r w:rsidRPr="00534357">
        <w:ptab w:relativeTo="margin" w:alignment="right" w:leader="dot"/>
      </w:r>
      <w:r w:rsidR="006E0ED3">
        <w:t>32</w:t>
      </w:r>
    </w:p>
    <w:p w14:paraId="051867D3" w14:textId="7F5B8C2D" w:rsidR="00373633" w:rsidRPr="00373633" w:rsidRDefault="00373633" w:rsidP="00373633">
      <w:pPr>
        <w:pStyle w:val="TOC1"/>
      </w:pPr>
      <w:r>
        <w:t xml:space="preserve">Table 4: Prevalence of Pain Making it Hard for Usual </w:t>
      </w:r>
      <w:r w:rsidR="00306C43">
        <w:t>Activities</w:t>
      </w:r>
      <w:r w:rsidRPr="00534357">
        <w:ptab w:relativeTo="margin" w:alignment="right" w:leader="dot"/>
      </w:r>
      <w:r w:rsidR="006E0ED3">
        <w:t>34</w:t>
      </w:r>
    </w:p>
    <w:p w14:paraId="1453C573" w14:textId="313B4DCE" w:rsidR="00373633" w:rsidRPr="00373633" w:rsidRDefault="00373633" w:rsidP="00373633">
      <w:pPr>
        <w:pStyle w:val="TOC1"/>
      </w:pPr>
      <w:r>
        <w:t xml:space="preserve">Table </w:t>
      </w:r>
      <w:r w:rsidR="00306C43">
        <w:t>5</w:t>
      </w:r>
      <w:r>
        <w:t xml:space="preserve">: Prevalence of Pain Making it Hard for Usual </w:t>
      </w:r>
      <w:r w:rsidR="00306C43">
        <w:t>Activities</w:t>
      </w:r>
      <w:r w:rsidRPr="00534357">
        <w:ptab w:relativeTo="margin" w:alignment="right" w:leader="dot"/>
      </w:r>
      <w:r w:rsidR="006E0ED3">
        <w:t>3</w:t>
      </w:r>
      <w:r w:rsidR="00AD19DF">
        <w:t>4</w:t>
      </w:r>
    </w:p>
    <w:p w14:paraId="511A85A2" w14:textId="2F4CD1B1" w:rsidR="00AD19DF" w:rsidRPr="00AD19DF" w:rsidRDefault="00373633" w:rsidP="00AD19DF">
      <w:pPr>
        <w:pStyle w:val="TOC1"/>
      </w:pPr>
      <w:r>
        <w:t xml:space="preserve">Table </w:t>
      </w:r>
      <w:r w:rsidR="00306C43">
        <w:t>6</w:t>
      </w:r>
      <w:r>
        <w:t xml:space="preserve">: </w:t>
      </w:r>
      <w:r w:rsidR="00306C43">
        <w:t>Odds Ratios</w:t>
      </w:r>
      <w:r w:rsidRPr="00534357">
        <w:ptab w:relativeTo="margin" w:alignment="right" w:leader="dot"/>
      </w:r>
      <w:r w:rsidR="006E0ED3">
        <w:t>36</w:t>
      </w:r>
    </w:p>
    <w:p w14:paraId="57C5C642" w14:textId="77777777" w:rsidR="00AD19DF" w:rsidRDefault="00AD19DF" w:rsidP="00AD19DF">
      <w:pPr>
        <w:pStyle w:val="TOC1"/>
      </w:pPr>
      <w:r>
        <w:t>Table 7: Odds Ratios</w:t>
      </w:r>
      <w:r w:rsidRPr="00534357">
        <w:ptab w:relativeTo="margin" w:alignment="right" w:leader="dot"/>
      </w:r>
      <w:r>
        <w:t>37</w:t>
      </w:r>
      <w:r w:rsidRPr="00AD19DF">
        <w:t xml:space="preserve"> </w:t>
      </w:r>
    </w:p>
    <w:p w14:paraId="5F56B7DC" w14:textId="22AF6101" w:rsidR="00AD19DF" w:rsidRDefault="00AD19DF" w:rsidP="00AD19DF">
      <w:pPr>
        <w:pStyle w:val="TOC1"/>
      </w:pPr>
      <w:r>
        <w:t>Table 8: Correlations Among Continuous Variables</w:t>
      </w:r>
      <w:r w:rsidRPr="00534357">
        <w:ptab w:relativeTo="margin" w:alignment="right" w:leader="dot"/>
      </w:r>
      <w:r>
        <w:t>37</w:t>
      </w:r>
      <w:r w:rsidRPr="00AD19DF">
        <w:t xml:space="preserve"> </w:t>
      </w:r>
    </w:p>
    <w:p w14:paraId="4F5CB833" w14:textId="1F6C9034" w:rsidR="00AD19DF" w:rsidRDefault="00AD19DF" w:rsidP="00AD19DF">
      <w:pPr>
        <w:pStyle w:val="TOC1"/>
      </w:pPr>
      <w:r>
        <w:t>Table 9: Odds Ratios</w:t>
      </w:r>
      <w:r w:rsidRPr="00534357">
        <w:ptab w:relativeTo="margin" w:alignment="right" w:leader="dot"/>
      </w:r>
      <w:r>
        <w:t>38</w:t>
      </w:r>
    </w:p>
    <w:p w14:paraId="10A99194" w14:textId="33136CB2" w:rsidR="00AD19DF" w:rsidRDefault="00AD19DF" w:rsidP="00AD19DF">
      <w:pPr>
        <w:pStyle w:val="TOC1"/>
      </w:pPr>
    </w:p>
    <w:p w14:paraId="63EE7760" w14:textId="54428F84" w:rsidR="00306C43" w:rsidRDefault="00306C43" w:rsidP="00306C43">
      <w:pPr>
        <w:pStyle w:val="TOC1"/>
      </w:pPr>
    </w:p>
    <w:p w14:paraId="4E667ADC" w14:textId="77777777" w:rsidR="00306C43" w:rsidRPr="00AD19DF" w:rsidRDefault="00306C43" w:rsidP="00306C43">
      <w:pPr>
        <w:jc w:val="center"/>
        <w:rPr>
          <w:b/>
          <w:bCs/>
        </w:rPr>
      </w:pPr>
    </w:p>
    <w:p w14:paraId="6865F8C6" w14:textId="2B05B260" w:rsidR="00373633" w:rsidRDefault="00373633" w:rsidP="00247505">
      <w:pPr>
        <w:jc w:val="center"/>
        <w:rPr>
          <w:b/>
          <w:bCs/>
        </w:rPr>
      </w:pPr>
    </w:p>
    <w:p w14:paraId="1498DCAD" w14:textId="47569D7B" w:rsidR="00373633" w:rsidRDefault="00373633" w:rsidP="00247505">
      <w:pPr>
        <w:jc w:val="center"/>
        <w:rPr>
          <w:b/>
          <w:bCs/>
        </w:rPr>
      </w:pPr>
    </w:p>
    <w:p w14:paraId="60E46035" w14:textId="344BBA01" w:rsidR="00373633" w:rsidRDefault="00373633" w:rsidP="00247505">
      <w:pPr>
        <w:jc w:val="center"/>
        <w:rPr>
          <w:b/>
          <w:bCs/>
        </w:rPr>
      </w:pPr>
    </w:p>
    <w:p w14:paraId="582B8FA7" w14:textId="1A32EAF6" w:rsidR="00373633" w:rsidRDefault="00373633" w:rsidP="00247505">
      <w:pPr>
        <w:jc w:val="center"/>
        <w:rPr>
          <w:b/>
          <w:bCs/>
        </w:rPr>
      </w:pPr>
    </w:p>
    <w:p w14:paraId="2E6CAB6C" w14:textId="19F90FB9" w:rsidR="00373633" w:rsidRDefault="00373633" w:rsidP="00247505">
      <w:pPr>
        <w:jc w:val="center"/>
        <w:rPr>
          <w:b/>
          <w:bCs/>
        </w:rPr>
      </w:pPr>
    </w:p>
    <w:p w14:paraId="02DCFC9C" w14:textId="72D39C53" w:rsidR="00373633" w:rsidRDefault="00373633" w:rsidP="00247505">
      <w:pPr>
        <w:jc w:val="center"/>
        <w:rPr>
          <w:b/>
          <w:bCs/>
        </w:rPr>
      </w:pPr>
    </w:p>
    <w:p w14:paraId="3B210A13" w14:textId="7D8C5749" w:rsidR="00373633" w:rsidRDefault="00373633" w:rsidP="00247505">
      <w:pPr>
        <w:jc w:val="center"/>
        <w:rPr>
          <w:b/>
          <w:bCs/>
        </w:rPr>
      </w:pPr>
    </w:p>
    <w:p w14:paraId="0BFD8A4D" w14:textId="18AF6C57" w:rsidR="00373633" w:rsidRDefault="00373633" w:rsidP="00247505">
      <w:pPr>
        <w:jc w:val="center"/>
        <w:rPr>
          <w:b/>
          <w:bCs/>
        </w:rPr>
      </w:pPr>
    </w:p>
    <w:p w14:paraId="1CDBFA35" w14:textId="3E1A8A5C" w:rsidR="00373633" w:rsidRDefault="00373633" w:rsidP="00247505">
      <w:pPr>
        <w:jc w:val="center"/>
        <w:rPr>
          <w:b/>
          <w:bCs/>
        </w:rPr>
      </w:pPr>
    </w:p>
    <w:p w14:paraId="1B3AD3BA" w14:textId="3AD9340D" w:rsidR="00373633" w:rsidRDefault="00373633" w:rsidP="00247505">
      <w:pPr>
        <w:jc w:val="center"/>
        <w:rPr>
          <w:b/>
          <w:bCs/>
        </w:rPr>
      </w:pPr>
    </w:p>
    <w:p w14:paraId="39AEBA61" w14:textId="7F30E50A" w:rsidR="00373633" w:rsidRDefault="00373633" w:rsidP="00247505">
      <w:pPr>
        <w:jc w:val="center"/>
        <w:rPr>
          <w:b/>
          <w:bCs/>
        </w:rPr>
      </w:pPr>
    </w:p>
    <w:p w14:paraId="11CFAD9E" w14:textId="674438F9" w:rsidR="00373633" w:rsidRDefault="00373633" w:rsidP="00247505">
      <w:pPr>
        <w:jc w:val="center"/>
        <w:rPr>
          <w:b/>
          <w:bCs/>
        </w:rPr>
      </w:pPr>
    </w:p>
    <w:p w14:paraId="3F4A9999" w14:textId="2BF36710" w:rsidR="00373633" w:rsidRDefault="00373633" w:rsidP="00247505">
      <w:pPr>
        <w:jc w:val="center"/>
        <w:rPr>
          <w:b/>
          <w:bCs/>
        </w:rPr>
      </w:pPr>
    </w:p>
    <w:p w14:paraId="33C59A8B" w14:textId="3EC69625" w:rsidR="00373633" w:rsidRDefault="00373633" w:rsidP="00247505">
      <w:pPr>
        <w:jc w:val="center"/>
        <w:rPr>
          <w:b/>
          <w:bCs/>
        </w:rPr>
      </w:pPr>
    </w:p>
    <w:p w14:paraId="637AE680" w14:textId="7CE9AD44" w:rsidR="00373633" w:rsidRDefault="00373633" w:rsidP="00247505">
      <w:pPr>
        <w:jc w:val="center"/>
        <w:rPr>
          <w:b/>
          <w:bCs/>
        </w:rPr>
      </w:pPr>
    </w:p>
    <w:p w14:paraId="2BA8F1B5" w14:textId="0B4D64BB" w:rsidR="00373633" w:rsidRDefault="00373633" w:rsidP="00247505">
      <w:pPr>
        <w:jc w:val="center"/>
        <w:rPr>
          <w:b/>
          <w:bCs/>
        </w:rPr>
      </w:pPr>
    </w:p>
    <w:p w14:paraId="331E0159" w14:textId="21267BA4" w:rsidR="00373633" w:rsidRDefault="00373633" w:rsidP="00247505">
      <w:pPr>
        <w:jc w:val="center"/>
        <w:rPr>
          <w:b/>
          <w:bCs/>
        </w:rPr>
      </w:pPr>
    </w:p>
    <w:p w14:paraId="5C6200EB" w14:textId="36CA1602" w:rsidR="00373633" w:rsidRDefault="00373633" w:rsidP="00247505">
      <w:pPr>
        <w:jc w:val="center"/>
        <w:rPr>
          <w:b/>
          <w:bCs/>
        </w:rPr>
      </w:pPr>
    </w:p>
    <w:p w14:paraId="01BB0E04" w14:textId="00156747" w:rsidR="00373633" w:rsidRDefault="00373633" w:rsidP="00247505">
      <w:pPr>
        <w:jc w:val="center"/>
        <w:rPr>
          <w:b/>
          <w:bCs/>
        </w:rPr>
      </w:pPr>
    </w:p>
    <w:p w14:paraId="5027CEA2" w14:textId="222F0466" w:rsidR="00373633" w:rsidRDefault="00373633" w:rsidP="00247505">
      <w:pPr>
        <w:jc w:val="center"/>
        <w:rPr>
          <w:b/>
          <w:bCs/>
        </w:rPr>
      </w:pPr>
    </w:p>
    <w:p w14:paraId="00C88703" w14:textId="27F03C48" w:rsidR="00373633" w:rsidRDefault="00373633" w:rsidP="00247505">
      <w:pPr>
        <w:jc w:val="center"/>
        <w:rPr>
          <w:b/>
          <w:bCs/>
        </w:rPr>
      </w:pPr>
    </w:p>
    <w:p w14:paraId="464566DB" w14:textId="6F87B696" w:rsidR="00373633" w:rsidRDefault="00373633" w:rsidP="00247505">
      <w:pPr>
        <w:jc w:val="center"/>
        <w:rPr>
          <w:b/>
          <w:bCs/>
        </w:rPr>
      </w:pPr>
    </w:p>
    <w:p w14:paraId="4474848A" w14:textId="450D7946" w:rsidR="00373633" w:rsidRDefault="00373633" w:rsidP="00247505">
      <w:pPr>
        <w:jc w:val="center"/>
        <w:rPr>
          <w:b/>
          <w:bCs/>
        </w:rPr>
      </w:pPr>
    </w:p>
    <w:p w14:paraId="30F255C9" w14:textId="5BD1D450" w:rsidR="00373633" w:rsidRDefault="00373633" w:rsidP="00247505">
      <w:pPr>
        <w:jc w:val="center"/>
        <w:rPr>
          <w:b/>
          <w:bCs/>
        </w:rPr>
      </w:pPr>
    </w:p>
    <w:p w14:paraId="1BCAE82B" w14:textId="52396AB3" w:rsidR="00373633" w:rsidRDefault="00373633" w:rsidP="00247505">
      <w:pPr>
        <w:jc w:val="center"/>
        <w:rPr>
          <w:b/>
          <w:bCs/>
        </w:rPr>
      </w:pPr>
    </w:p>
    <w:p w14:paraId="4610A893" w14:textId="3D2931E3" w:rsidR="00373633" w:rsidRDefault="00373633" w:rsidP="00AD19DF">
      <w:pPr>
        <w:rPr>
          <w:b/>
          <w:bCs/>
        </w:rPr>
      </w:pPr>
    </w:p>
    <w:p w14:paraId="706BB917" w14:textId="77777777" w:rsidR="00AD19DF" w:rsidRDefault="00AD19DF" w:rsidP="00AD19DF">
      <w:pPr>
        <w:rPr>
          <w:b/>
          <w:bCs/>
        </w:rPr>
      </w:pPr>
    </w:p>
    <w:p w14:paraId="53B79267" w14:textId="77777777" w:rsidR="003019A9" w:rsidRDefault="003019A9" w:rsidP="003019A9">
      <w:pPr>
        <w:rPr>
          <w:b/>
          <w:bCs/>
        </w:rPr>
      </w:pPr>
    </w:p>
    <w:p w14:paraId="12D6B555" w14:textId="5841DE3E" w:rsidR="00373633" w:rsidRDefault="00373633" w:rsidP="003019A9">
      <w:pPr>
        <w:jc w:val="center"/>
        <w:rPr>
          <w:b/>
          <w:bCs/>
        </w:rPr>
      </w:pPr>
      <w:r>
        <w:rPr>
          <w:b/>
          <w:bCs/>
        </w:rPr>
        <w:lastRenderedPageBreak/>
        <w:t>ABSTRACT</w:t>
      </w:r>
    </w:p>
    <w:p w14:paraId="71F7E0FD" w14:textId="4D7F3C66" w:rsidR="00F402B6" w:rsidRDefault="00F402B6" w:rsidP="003019A9">
      <w:pPr>
        <w:jc w:val="center"/>
        <w:rPr>
          <w:b/>
          <w:bCs/>
        </w:rPr>
      </w:pPr>
    </w:p>
    <w:p w14:paraId="4AD3BD95" w14:textId="4E934E55" w:rsidR="00D007F0" w:rsidRPr="003D0F6C" w:rsidRDefault="00D007F0" w:rsidP="00725996">
      <w:pPr>
        <w:spacing w:line="480" w:lineRule="auto"/>
        <w:ind w:firstLine="720"/>
        <w:jc w:val="both"/>
      </w:pPr>
      <w:r>
        <w:rPr>
          <w:color w:val="000000"/>
        </w:rPr>
        <w:t xml:space="preserve">Chronic pain </w:t>
      </w:r>
      <w:r w:rsidR="00C75025">
        <w:rPr>
          <w:color w:val="000000"/>
        </w:rPr>
        <w:t>has been considered as</w:t>
      </w:r>
      <w:r>
        <w:rPr>
          <w:color w:val="000000"/>
        </w:rPr>
        <w:t xml:space="preserve"> one of the leading causes of decreased quality of life and disability in adults. </w:t>
      </w:r>
      <w:r w:rsidR="00C75025">
        <w:rPr>
          <w:color w:val="000000"/>
        </w:rPr>
        <w:t>Recen</w:t>
      </w:r>
      <w:r>
        <w:rPr>
          <w:color w:val="000000"/>
        </w:rPr>
        <w:t>t evidence suggest</w:t>
      </w:r>
      <w:r w:rsidR="00C75025">
        <w:rPr>
          <w:color w:val="000000"/>
        </w:rPr>
        <w:t>ed that</w:t>
      </w:r>
      <w:r>
        <w:rPr>
          <w:color w:val="000000"/>
        </w:rPr>
        <w:t xml:space="preserve"> physical activity level, weight status, age, and other demographic characteristics could play a role in determining whether an individual will experience pain during usual activities. Additionally, greater pain prevalence has been observed among obese and female populations; however, few studies have been conducted in these populations and</w:t>
      </w:r>
      <w:r w:rsidR="00AF4A2A">
        <w:rPr>
          <w:color w:val="000000"/>
        </w:rPr>
        <w:t xml:space="preserve"> the</w:t>
      </w:r>
      <w:r>
        <w:rPr>
          <w:color w:val="000000"/>
        </w:rPr>
        <w:t xml:space="preserve"> current results are conflicting. </w:t>
      </w:r>
      <w:r>
        <w:rPr>
          <w:b/>
          <w:bCs/>
          <w:color w:val="000000"/>
        </w:rPr>
        <w:t xml:space="preserve">PURPOSE: </w:t>
      </w:r>
      <w:r>
        <w:rPr>
          <w:color w:val="000000"/>
        </w:rPr>
        <w:t xml:space="preserve">The purpose of this study </w:t>
      </w:r>
      <w:r w:rsidR="00C75025">
        <w:rPr>
          <w:color w:val="000000"/>
        </w:rPr>
        <w:t>wa</w:t>
      </w:r>
      <w:r>
        <w:rPr>
          <w:color w:val="000000"/>
        </w:rPr>
        <w:t xml:space="preserve">s to examine the relationship among physical activity, weight status, body composition, and pain impacting a person’s ability to perform usual activities using a nationally representative sample (NHANES 2011-2012). Additionally, it </w:t>
      </w:r>
      <w:r w:rsidR="00C75025">
        <w:rPr>
          <w:color w:val="000000"/>
        </w:rPr>
        <w:t xml:space="preserve">explored </w:t>
      </w:r>
      <w:r>
        <w:rPr>
          <w:color w:val="000000"/>
        </w:rPr>
        <w:t xml:space="preserve">the effects of demographic variables such as age, </w:t>
      </w:r>
      <w:r w:rsidR="004E4CEC">
        <w:rPr>
          <w:color w:val="000000"/>
        </w:rPr>
        <w:t>sex</w:t>
      </w:r>
      <w:r>
        <w:rPr>
          <w:color w:val="000000"/>
        </w:rPr>
        <w:t xml:space="preserve">, ethnicity, education, and the presence of an arthritis diagnosis, all of which have been previously shown to impact physical activity, weight status, or body composition, on the relationship among our variable of interest. </w:t>
      </w:r>
      <w:r>
        <w:rPr>
          <w:b/>
          <w:bCs/>
          <w:color w:val="000000"/>
        </w:rPr>
        <w:t xml:space="preserve">METHODS: </w:t>
      </w:r>
      <w:r>
        <w:rPr>
          <w:color w:val="000000"/>
        </w:rPr>
        <w:t xml:space="preserve">Data from the 2011-2012 NHANES report was used in this study. NHANES consists of a series of interviews and interviews that assess demographic, socioeconomic, health, medical and dietary variables as well as physical exam and laboratory data. From this survey variables were selected that provided demographic, pain, self-reported physical activity, BMI, and body composition data. </w:t>
      </w:r>
      <w:r>
        <w:rPr>
          <w:b/>
          <w:bCs/>
          <w:color w:val="000000"/>
        </w:rPr>
        <w:t xml:space="preserve">RESULTS: </w:t>
      </w:r>
      <w:r>
        <w:rPr>
          <w:color w:val="000000"/>
        </w:rPr>
        <w:t xml:space="preserve">There were significant differences in body composition and physical activity levels among males and females (P &lt; 0.05). Males had a greater prevalence of being more active compared to females as well as having more lean mass, less fat mass, and lower % body fat. Significant differences in the prevalence of chronic pain (P &lt; 0.05) </w:t>
      </w:r>
      <w:r w:rsidR="00AF4A2A">
        <w:rPr>
          <w:color w:val="000000"/>
        </w:rPr>
        <w:t>were</w:t>
      </w:r>
      <w:r>
        <w:rPr>
          <w:color w:val="000000"/>
        </w:rPr>
        <w:t xml:space="preserve"> found for the following variables: age, race/ethnicity, education level, annual household income, BMI, total physical activity, recreational physical activity, and arthritis diagnosis. When controlling for all other variables, significant results were also found for the odds </w:t>
      </w:r>
      <w:r>
        <w:rPr>
          <w:color w:val="000000"/>
        </w:rPr>
        <w:lastRenderedPageBreak/>
        <w:t>of moving up in a pain category (P &lt; 0.05) within the following variables: age, race/ethnicity, annual household income, total physical activity and arthritis diagnosis.</w:t>
      </w:r>
      <w:r>
        <w:rPr>
          <w:b/>
          <w:bCs/>
          <w:color w:val="000000"/>
        </w:rPr>
        <w:t xml:space="preserve"> CONCLUSIONS:</w:t>
      </w:r>
      <w:r w:rsidR="003D0F6C">
        <w:rPr>
          <w:b/>
          <w:bCs/>
          <w:color w:val="000000"/>
        </w:rPr>
        <w:t xml:space="preserve"> </w:t>
      </w:r>
      <w:r w:rsidR="003D0F6C">
        <w:rPr>
          <w:color w:val="000000"/>
        </w:rPr>
        <w:t xml:space="preserve">In conclusion, we </w:t>
      </w:r>
      <w:r w:rsidR="00C75025">
        <w:rPr>
          <w:color w:val="000000"/>
        </w:rPr>
        <w:t xml:space="preserve">found </w:t>
      </w:r>
      <w:r w:rsidR="003D0F6C">
        <w:rPr>
          <w:color w:val="000000"/>
        </w:rPr>
        <w:t xml:space="preserve">that not meeting the weekly physical activity guidelines will significantly increase </w:t>
      </w:r>
      <w:r w:rsidR="00261C50">
        <w:rPr>
          <w:color w:val="000000"/>
        </w:rPr>
        <w:t>one’s</w:t>
      </w:r>
      <w:r w:rsidR="003D0F6C">
        <w:rPr>
          <w:color w:val="000000"/>
        </w:rPr>
        <w:t xml:space="preserve"> chance of reporting a greater prevalence of pain making it difficult to perform usual activities</w:t>
      </w:r>
      <w:r w:rsidR="003E0AD1">
        <w:rPr>
          <w:color w:val="000000"/>
        </w:rPr>
        <w:t xml:space="preserve"> when not controlling for fat mass.</w:t>
      </w:r>
    </w:p>
    <w:p w14:paraId="253D03E0" w14:textId="61EA010F" w:rsidR="00F402B6" w:rsidRPr="00F402B6" w:rsidRDefault="00F402B6" w:rsidP="00725996">
      <w:pPr>
        <w:spacing w:line="480" w:lineRule="auto"/>
        <w:jc w:val="both"/>
        <w:rPr>
          <w:rFonts w:asciiTheme="minorHAnsi" w:hAnsiTheme="minorHAnsi"/>
        </w:rPr>
      </w:pPr>
    </w:p>
    <w:p w14:paraId="16887EAC" w14:textId="6D3D0050" w:rsidR="00F903EA" w:rsidRDefault="00F903EA" w:rsidP="00725996">
      <w:pPr>
        <w:jc w:val="both"/>
        <w:rPr>
          <w:rFonts w:asciiTheme="minorHAnsi" w:hAnsiTheme="minorHAnsi"/>
        </w:rPr>
      </w:pPr>
      <w:r>
        <w:rPr>
          <w:rFonts w:asciiTheme="minorHAnsi" w:hAnsiTheme="minorHAnsi"/>
        </w:rPr>
        <w:br w:type="page"/>
      </w:r>
    </w:p>
    <w:p w14:paraId="0D703A32" w14:textId="77777777" w:rsidR="00410044" w:rsidRPr="005876E8" w:rsidRDefault="00410044" w:rsidP="005876E8">
      <w:pPr>
        <w:spacing w:line="480" w:lineRule="auto"/>
        <w:ind w:firstLine="360"/>
        <w:sectPr w:rsidR="00410044" w:rsidRPr="005876E8" w:rsidSect="003A67CE">
          <w:footerReference w:type="default" r:id="rId8"/>
          <w:pgSz w:w="12240" w:h="15840"/>
          <w:pgMar w:top="1440" w:right="1440" w:bottom="1440" w:left="1440" w:header="720" w:footer="720" w:gutter="0"/>
          <w:pgNumType w:fmt="lowerRoman" w:start="4"/>
          <w:cols w:space="720"/>
          <w:docGrid w:linePitch="360"/>
        </w:sectPr>
      </w:pPr>
    </w:p>
    <w:p w14:paraId="044CD76C" w14:textId="77777777" w:rsidR="00247505" w:rsidRPr="00556177" w:rsidRDefault="00247505" w:rsidP="00247505">
      <w:pPr>
        <w:spacing w:line="480" w:lineRule="auto"/>
      </w:pPr>
      <w:r w:rsidRPr="00EE4172">
        <w:rPr>
          <w:b/>
          <w:bCs/>
          <w:color w:val="000000"/>
        </w:rPr>
        <w:lastRenderedPageBreak/>
        <w:t>CHAPTER I</w:t>
      </w:r>
    </w:p>
    <w:p w14:paraId="12F105F5" w14:textId="77777777" w:rsidR="00247505" w:rsidRPr="00EE4172" w:rsidRDefault="00247505" w:rsidP="00247505">
      <w:pPr>
        <w:spacing w:line="480" w:lineRule="auto"/>
        <w:jc w:val="both"/>
      </w:pPr>
      <w:r w:rsidRPr="00EE4172">
        <w:rPr>
          <w:b/>
          <w:bCs/>
          <w:color w:val="000000"/>
        </w:rPr>
        <w:t>INTRODUCTION</w:t>
      </w:r>
    </w:p>
    <w:p w14:paraId="437E3290" w14:textId="4E8630DD" w:rsidR="00247505" w:rsidRPr="00EE4172" w:rsidRDefault="00247505" w:rsidP="00247505">
      <w:pPr>
        <w:spacing w:line="480" w:lineRule="auto"/>
        <w:ind w:firstLine="720"/>
        <w:jc w:val="both"/>
      </w:pPr>
      <w:r w:rsidRPr="00EE4172">
        <w:rPr>
          <w:color w:val="000000"/>
        </w:rPr>
        <w:t>Pain is</w:t>
      </w:r>
      <w:r>
        <w:rPr>
          <w:color w:val="000000"/>
        </w:rPr>
        <w:t xml:space="preserve"> a complex sensation experienced</w:t>
      </w:r>
      <w:r w:rsidRPr="00EE4172">
        <w:rPr>
          <w:color w:val="000000"/>
        </w:rPr>
        <w:t xml:space="preserve"> by all individuals. </w:t>
      </w:r>
      <w:proofErr w:type="spellStart"/>
      <w:r w:rsidRPr="00EE4172">
        <w:rPr>
          <w:color w:val="000000"/>
        </w:rPr>
        <w:t>Nahin</w:t>
      </w:r>
      <w:proofErr w:type="spellEnd"/>
      <w:r w:rsidRPr="00EE4172">
        <w:rPr>
          <w:color w:val="000000"/>
        </w:rPr>
        <w:t xml:space="preserve"> (2015) estimates that nearly 56% of adults in America reported having</w:t>
      </w:r>
      <w:r>
        <w:rPr>
          <w:color w:val="000000"/>
        </w:rPr>
        <w:t xml:space="preserve"> </w:t>
      </w:r>
      <w:r w:rsidRPr="00EE4172">
        <w:rPr>
          <w:color w:val="000000"/>
        </w:rPr>
        <w:t>pain within a 3</w:t>
      </w:r>
      <w:r w:rsidR="006F6DB2">
        <w:rPr>
          <w:color w:val="000000"/>
        </w:rPr>
        <w:t>-</w:t>
      </w:r>
      <w:r w:rsidRPr="00EE4172">
        <w:rPr>
          <w:color w:val="000000"/>
        </w:rPr>
        <w:t xml:space="preserve">month time span.  In general, pain is a discomforting feeling that acts as a protective mechanism </w:t>
      </w:r>
      <w:r>
        <w:rPr>
          <w:color w:val="000000"/>
        </w:rPr>
        <w:t>from tissue damage</w:t>
      </w:r>
      <w:r w:rsidRPr="00EE4172">
        <w:rPr>
          <w:color w:val="000000"/>
        </w:rPr>
        <w:t xml:space="preserve"> (</w:t>
      </w:r>
      <w:proofErr w:type="spellStart"/>
      <w:r w:rsidRPr="00EE4172">
        <w:rPr>
          <w:color w:val="000000"/>
        </w:rPr>
        <w:t>Swieboda</w:t>
      </w:r>
      <w:proofErr w:type="spellEnd"/>
      <w:r w:rsidRPr="00EE4172">
        <w:rPr>
          <w:color w:val="000000"/>
        </w:rPr>
        <w:t xml:space="preserve"> et al., 2013). Pain can be classified into three different types: Nociceptive, inflammatory, and pathological. Nociceptive pain functions to protect the body against a potentially harmful, or noxious, stimulus. Similarly, inflammatory pain also functions to protect the body so that it may heal after injury or tissue damage. Lastly, pathological pain is maladaptive pain that is the result of nervous system dysfunction or injury. These maladaptive changes within the nervous system can lead to long term, or chronic pain (Woolf, 2010). Chronic pain is one of the leading reasons that medical attention is sought by adults. According to </w:t>
      </w:r>
      <w:proofErr w:type="spellStart"/>
      <w:r w:rsidRPr="00EE4172">
        <w:rPr>
          <w:color w:val="000000"/>
        </w:rPr>
        <w:t>Dahlhamer</w:t>
      </w:r>
      <w:proofErr w:type="spellEnd"/>
      <w:r w:rsidRPr="00EE4172">
        <w:rPr>
          <w:color w:val="000000"/>
        </w:rPr>
        <w:t xml:space="preserve"> et al. (2018) nearly 20% of</w:t>
      </w:r>
      <w:r>
        <w:rPr>
          <w:color w:val="000000"/>
        </w:rPr>
        <w:t xml:space="preserve"> </w:t>
      </w:r>
      <w:r w:rsidRPr="00EE4172">
        <w:rPr>
          <w:color w:val="000000"/>
        </w:rPr>
        <w:t xml:space="preserve">adults suffer from </w:t>
      </w:r>
      <w:r>
        <w:rPr>
          <w:color w:val="000000"/>
        </w:rPr>
        <w:t xml:space="preserve">a </w:t>
      </w:r>
      <w:r w:rsidRPr="00EE4172">
        <w:rPr>
          <w:color w:val="000000"/>
        </w:rPr>
        <w:t>chronic pain condition that contribute</w:t>
      </w:r>
      <w:r>
        <w:rPr>
          <w:color w:val="000000"/>
        </w:rPr>
        <w:t>s</w:t>
      </w:r>
      <w:r w:rsidRPr="00EE4172">
        <w:rPr>
          <w:color w:val="000000"/>
        </w:rPr>
        <w:t xml:space="preserve"> to diminished mobility and overall quality of life. In the United States alone, long term disability due to chronic pain results in roughly 50 million </w:t>
      </w:r>
      <w:r>
        <w:rPr>
          <w:color w:val="000000"/>
        </w:rPr>
        <w:t xml:space="preserve">lost </w:t>
      </w:r>
      <w:r w:rsidRPr="00EE4172">
        <w:rPr>
          <w:color w:val="000000"/>
        </w:rPr>
        <w:t xml:space="preserve">working days. In addition to physical disability, chronic pain can </w:t>
      </w:r>
      <w:r>
        <w:rPr>
          <w:color w:val="000000"/>
        </w:rPr>
        <w:t xml:space="preserve">also </w:t>
      </w:r>
      <w:r w:rsidRPr="00EE4172">
        <w:rPr>
          <w:color w:val="000000"/>
        </w:rPr>
        <w:t xml:space="preserve">significantly contribute to psychological </w:t>
      </w:r>
      <w:r>
        <w:rPr>
          <w:color w:val="000000"/>
        </w:rPr>
        <w:t>disorders</w:t>
      </w:r>
      <w:r w:rsidRPr="00EE4172">
        <w:rPr>
          <w:color w:val="000000"/>
        </w:rPr>
        <w:t xml:space="preserve">. It has been found to be associated with both anxiety and depression as well as </w:t>
      </w:r>
      <w:r>
        <w:rPr>
          <w:color w:val="000000"/>
        </w:rPr>
        <w:t xml:space="preserve">impacting </w:t>
      </w:r>
      <w:r w:rsidRPr="00EE4172">
        <w:rPr>
          <w:color w:val="000000"/>
        </w:rPr>
        <w:t>sleeping, eating habits, and relationships (</w:t>
      </w:r>
      <w:proofErr w:type="spellStart"/>
      <w:r w:rsidRPr="00EE4172">
        <w:rPr>
          <w:color w:val="000000"/>
        </w:rPr>
        <w:t>Majedi</w:t>
      </w:r>
      <w:proofErr w:type="spellEnd"/>
      <w:r w:rsidRPr="00EE4172">
        <w:rPr>
          <w:color w:val="000000"/>
        </w:rPr>
        <w:t xml:space="preserve"> et. al 2020).</w:t>
      </w:r>
    </w:p>
    <w:p w14:paraId="5B669EBE" w14:textId="77777777" w:rsidR="00247505" w:rsidRDefault="00247505" w:rsidP="00247505">
      <w:pPr>
        <w:spacing w:line="480" w:lineRule="auto"/>
        <w:ind w:firstLine="720"/>
        <w:jc w:val="both"/>
        <w:rPr>
          <w:color w:val="000000"/>
        </w:rPr>
      </w:pPr>
      <w:r w:rsidRPr="00EE4172">
        <w:rPr>
          <w:color w:val="000000"/>
        </w:rPr>
        <w:t xml:space="preserve">While nearly all individuals will experience pain during their lifetime, certain population groups are more prone to experiencing </w:t>
      </w:r>
      <w:r>
        <w:rPr>
          <w:color w:val="000000"/>
        </w:rPr>
        <w:t xml:space="preserve">acute </w:t>
      </w:r>
      <w:r w:rsidRPr="00EE4172">
        <w:rPr>
          <w:color w:val="000000"/>
        </w:rPr>
        <w:t xml:space="preserve">and chronic pain. As individuals age, the prevalence of chronic pain increases (Ray et al., 2011). According to </w:t>
      </w:r>
      <w:proofErr w:type="spellStart"/>
      <w:r w:rsidRPr="00EE4172">
        <w:rPr>
          <w:color w:val="000000"/>
        </w:rPr>
        <w:t>Meucci</w:t>
      </w:r>
      <w:proofErr w:type="spellEnd"/>
      <w:r w:rsidRPr="00EE4172">
        <w:rPr>
          <w:color w:val="000000"/>
        </w:rPr>
        <w:t xml:space="preserve"> et al. (2015), chronic </w:t>
      </w:r>
      <w:r>
        <w:rPr>
          <w:color w:val="000000"/>
        </w:rPr>
        <w:t xml:space="preserve">low back pain </w:t>
      </w:r>
      <w:r w:rsidRPr="00EE4172">
        <w:rPr>
          <w:color w:val="000000"/>
        </w:rPr>
        <w:t xml:space="preserve">increases in a linear fashion from age 30 to age 60. </w:t>
      </w:r>
      <w:r>
        <w:rPr>
          <w:color w:val="000000"/>
        </w:rPr>
        <w:t>In addition to aging</w:t>
      </w:r>
      <w:r w:rsidRPr="00EE4172">
        <w:rPr>
          <w:color w:val="000000"/>
        </w:rPr>
        <w:t xml:space="preserve">, </w:t>
      </w:r>
      <w:proofErr w:type="spellStart"/>
      <w:r w:rsidRPr="00EE4172">
        <w:rPr>
          <w:color w:val="000000"/>
        </w:rPr>
        <w:t>Meucci</w:t>
      </w:r>
      <w:proofErr w:type="spellEnd"/>
      <w:r w:rsidRPr="00EE4172">
        <w:rPr>
          <w:color w:val="000000"/>
        </w:rPr>
        <w:t xml:space="preserve"> et al. (2015) also note</w:t>
      </w:r>
      <w:r>
        <w:rPr>
          <w:color w:val="000000"/>
        </w:rPr>
        <w:t>d</w:t>
      </w:r>
      <w:r w:rsidRPr="00EE4172">
        <w:rPr>
          <w:color w:val="000000"/>
        </w:rPr>
        <w:t xml:space="preserve"> that chronic pain </w:t>
      </w:r>
      <w:r>
        <w:rPr>
          <w:color w:val="000000"/>
        </w:rPr>
        <w:t>was</w:t>
      </w:r>
      <w:r w:rsidRPr="00EE4172">
        <w:rPr>
          <w:color w:val="000000"/>
        </w:rPr>
        <w:t xml:space="preserve"> more prevalent in females compared to males. Research show</w:t>
      </w:r>
      <w:r>
        <w:rPr>
          <w:color w:val="000000"/>
        </w:rPr>
        <w:t>ed</w:t>
      </w:r>
      <w:r w:rsidRPr="00EE4172">
        <w:rPr>
          <w:color w:val="000000"/>
        </w:rPr>
        <w:t xml:space="preserve"> </w:t>
      </w:r>
      <w:r w:rsidRPr="00EE4172">
        <w:rPr>
          <w:color w:val="000000"/>
        </w:rPr>
        <w:lastRenderedPageBreak/>
        <w:t>that women tend</w:t>
      </w:r>
      <w:r>
        <w:rPr>
          <w:color w:val="000000"/>
        </w:rPr>
        <w:t>ed</w:t>
      </w:r>
      <w:r w:rsidRPr="00EE4172">
        <w:rPr>
          <w:color w:val="000000"/>
        </w:rPr>
        <w:t xml:space="preserve"> to experience both widespread chronic pain and localized chronic pain more frequently than men (Umeda &amp; Kim, 2019). </w:t>
      </w:r>
    </w:p>
    <w:p w14:paraId="0AE4D676" w14:textId="77777777" w:rsidR="00247505" w:rsidRPr="00EE4172" w:rsidRDefault="00247505" w:rsidP="00247505">
      <w:pPr>
        <w:spacing w:line="480" w:lineRule="auto"/>
        <w:jc w:val="both"/>
      </w:pPr>
      <w:r>
        <w:rPr>
          <w:color w:val="000000"/>
        </w:rPr>
        <w:tab/>
      </w:r>
      <w:r w:rsidRPr="00EE4172">
        <w:rPr>
          <w:color w:val="000000"/>
        </w:rPr>
        <w:t xml:space="preserve">In addition to </w:t>
      </w:r>
      <w:r>
        <w:rPr>
          <w:color w:val="000000"/>
        </w:rPr>
        <w:t>sex</w:t>
      </w:r>
      <w:r w:rsidRPr="00EE4172">
        <w:rPr>
          <w:color w:val="000000"/>
        </w:rPr>
        <w:t xml:space="preserve"> and age, obesity appears to play a role in whether or not an individual experiences pai</w:t>
      </w:r>
      <w:r>
        <w:rPr>
          <w:color w:val="000000"/>
        </w:rPr>
        <w:t xml:space="preserve">n. </w:t>
      </w:r>
      <w:proofErr w:type="spellStart"/>
      <w:r>
        <w:rPr>
          <w:color w:val="000000"/>
        </w:rPr>
        <w:t>Mc</w:t>
      </w:r>
      <w:r w:rsidRPr="00EE4172">
        <w:rPr>
          <w:color w:val="000000"/>
        </w:rPr>
        <w:t>Kendall</w:t>
      </w:r>
      <w:proofErr w:type="spellEnd"/>
      <w:r w:rsidRPr="00EE4172">
        <w:rPr>
          <w:color w:val="000000"/>
        </w:rPr>
        <w:t xml:space="preserve"> &amp; Haier (1983) report that individuals who were obese were found to be significantly more sensitive to pain than individuals who were not obese. Conversely, </w:t>
      </w:r>
      <w:proofErr w:type="spellStart"/>
      <w:r w:rsidRPr="00EE4172">
        <w:rPr>
          <w:color w:val="000000"/>
        </w:rPr>
        <w:t>Torensma</w:t>
      </w:r>
      <w:proofErr w:type="spellEnd"/>
      <w:r w:rsidRPr="00EE4172">
        <w:rPr>
          <w:color w:val="000000"/>
        </w:rPr>
        <w:t xml:space="preserve"> et al. (2016) found that pain thresholds were higher in obese populations.</w:t>
      </w:r>
      <w:r>
        <w:rPr>
          <w:color w:val="000000"/>
        </w:rPr>
        <w:t xml:space="preserve"> Despite these equivocal results on whether obesity directly contributes to pain, evidence has shown that individuals who were obese were at a greater risk for developing co-morbidities like heart disease, type II diabetes, and metabolic syndrome (Seaman, 2013). Interestingly, these co-morbidities have also been shown to function as risk factors for developing chronic pain—indicting that obesity may also indirectly influence chronic pain (Booth et al., 2017). It has also been observed that chronic pain can lead to obesity due to the limitations that it places on physical activity levels (</w:t>
      </w:r>
      <w:proofErr w:type="spellStart"/>
      <w:r>
        <w:rPr>
          <w:color w:val="000000"/>
        </w:rPr>
        <w:t>Arranz</w:t>
      </w:r>
      <w:proofErr w:type="spellEnd"/>
      <w:r>
        <w:rPr>
          <w:color w:val="000000"/>
        </w:rPr>
        <w:t xml:space="preserve"> et al., 2013).</w:t>
      </w:r>
      <w:r w:rsidRPr="00EE4172">
        <w:rPr>
          <w:color w:val="000000"/>
        </w:rPr>
        <w:t xml:space="preserve"> </w:t>
      </w:r>
      <w:r>
        <w:rPr>
          <w:color w:val="000000"/>
        </w:rPr>
        <w:t>A potential confounding factor in examining the relationship of obesity and chronic pain that has not been widely studied is the role of body composition. It is known that elderly individuals and females experience pain at higher rates than their younger and male counterparts (</w:t>
      </w:r>
      <w:proofErr w:type="spellStart"/>
      <w:r>
        <w:rPr>
          <w:color w:val="000000"/>
        </w:rPr>
        <w:t>Majedi</w:t>
      </w:r>
      <w:proofErr w:type="spellEnd"/>
      <w:r>
        <w:rPr>
          <w:color w:val="000000"/>
        </w:rPr>
        <w:t xml:space="preserve"> et al., 2020). Additionally, both female and elderly population groups tend to have a greater percent body fat (at the same BMI), which could suggest that either increased fat mass or reduced muscle/lean mass may influence pain.  As individuals age there is a loss of appendicular and trunk lean mass and a gain of central adiposity, both of which have been shown to be associated with heightened pain levels, although an exact mechanism has not yet been identified (Toda et al., 2000). As such, additional research is needed to determine the nature of the relationship among obesity, body composition and pain. </w:t>
      </w:r>
    </w:p>
    <w:p w14:paraId="080434E1" w14:textId="644B4AD5" w:rsidR="00247505" w:rsidRPr="00EE4172" w:rsidRDefault="00247505" w:rsidP="00247505">
      <w:pPr>
        <w:spacing w:line="480" w:lineRule="auto"/>
        <w:ind w:firstLine="720"/>
        <w:jc w:val="both"/>
      </w:pPr>
      <w:r w:rsidRPr="00EE4172">
        <w:rPr>
          <w:color w:val="000000"/>
        </w:rPr>
        <w:lastRenderedPageBreak/>
        <w:t xml:space="preserve">Among age, </w:t>
      </w:r>
      <w:r w:rsidR="004E4CEC">
        <w:rPr>
          <w:color w:val="000000"/>
        </w:rPr>
        <w:t>sex,</w:t>
      </w:r>
      <w:r w:rsidRPr="00EE4172">
        <w:rPr>
          <w:color w:val="000000"/>
        </w:rPr>
        <w:t xml:space="preserve"> and body composition</w:t>
      </w:r>
      <w:r>
        <w:rPr>
          <w:color w:val="000000"/>
        </w:rPr>
        <w:t xml:space="preserve">, </w:t>
      </w:r>
      <w:r w:rsidRPr="00EE4172">
        <w:rPr>
          <w:color w:val="000000"/>
        </w:rPr>
        <w:t xml:space="preserve">physical activity </w:t>
      </w:r>
      <w:r>
        <w:rPr>
          <w:color w:val="000000"/>
        </w:rPr>
        <w:t xml:space="preserve">may </w:t>
      </w:r>
      <w:r w:rsidRPr="00EE4172">
        <w:rPr>
          <w:color w:val="000000"/>
        </w:rPr>
        <w:t xml:space="preserve">also play a large role in determining one’s quality of life. </w:t>
      </w:r>
      <w:r>
        <w:rPr>
          <w:color w:val="000000"/>
        </w:rPr>
        <w:t>Increased p</w:t>
      </w:r>
      <w:r w:rsidRPr="00EE4172">
        <w:rPr>
          <w:color w:val="000000"/>
        </w:rPr>
        <w:t xml:space="preserve">hysical activity has </w:t>
      </w:r>
      <w:r>
        <w:rPr>
          <w:color w:val="000000"/>
        </w:rPr>
        <w:t>been shown</w:t>
      </w:r>
      <w:r w:rsidRPr="00EE4172">
        <w:rPr>
          <w:color w:val="000000"/>
        </w:rPr>
        <w:t xml:space="preserve"> to reduce the risk of developing chronic diseases such as type II diabetes, heart disease, and arthritis (Booth et al., 2012). Additionally, the risk for developing chronic pain has been found to increase in individuals who have one or more </w:t>
      </w:r>
      <w:r>
        <w:rPr>
          <w:color w:val="000000"/>
        </w:rPr>
        <w:t xml:space="preserve">cardio-metabolic </w:t>
      </w:r>
      <w:r w:rsidRPr="00EE4172">
        <w:rPr>
          <w:color w:val="000000"/>
        </w:rPr>
        <w:t>comorbidit</w:t>
      </w:r>
      <w:r>
        <w:rPr>
          <w:color w:val="000000"/>
        </w:rPr>
        <w:t>ies</w:t>
      </w:r>
      <w:r w:rsidRPr="00EE4172">
        <w:rPr>
          <w:color w:val="000000"/>
        </w:rPr>
        <w:t xml:space="preserve"> (Booth et al., 2017). Therefore, </w:t>
      </w:r>
      <w:r>
        <w:rPr>
          <w:color w:val="000000"/>
        </w:rPr>
        <w:t>since</w:t>
      </w:r>
      <w:r w:rsidRPr="00EE4172">
        <w:rPr>
          <w:color w:val="000000"/>
        </w:rPr>
        <w:t xml:space="preserve"> </w:t>
      </w:r>
      <w:r>
        <w:rPr>
          <w:color w:val="000000"/>
        </w:rPr>
        <w:t xml:space="preserve">increased </w:t>
      </w:r>
      <w:r w:rsidRPr="00EE4172">
        <w:rPr>
          <w:color w:val="000000"/>
        </w:rPr>
        <w:t>physical activity can minimize the risk for chronic disease</w:t>
      </w:r>
      <w:r>
        <w:rPr>
          <w:color w:val="000000"/>
        </w:rPr>
        <w:t xml:space="preserve">s, which themselves are risk factors for developing chronic pain, </w:t>
      </w:r>
      <w:r w:rsidRPr="00EE4172">
        <w:rPr>
          <w:color w:val="000000"/>
        </w:rPr>
        <w:t xml:space="preserve">it </w:t>
      </w:r>
      <w:r>
        <w:rPr>
          <w:color w:val="000000"/>
        </w:rPr>
        <w:t>is plausible that increased physical activity may also play a role in limiting the development of chronic</w:t>
      </w:r>
      <w:r w:rsidRPr="00EE4172">
        <w:rPr>
          <w:color w:val="000000"/>
        </w:rPr>
        <w:t xml:space="preserve"> pain. Currently, treatment for chronic pain poses an issue among individuals due to severe medication side effects that </w:t>
      </w:r>
      <w:r>
        <w:rPr>
          <w:color w:val="000000"/>
        </w:rPr>
        <w:t>may</w:t>
      </w:r>
      <w:r w:rsidRPr="00EE4172">
        <w:rPr>
          <w:color w:val="000000"/>
        </w:rPr>
        <w:t xml:space="preserve"> suppre</w:t>
      </w:r>
      <w:r>
        <w:rPr>
          <w:color w:val="000000"/>
        </w:rPr>
        <w:t>ss</w:t>
      </w:r>
      <w:r w:rsidRPr="00EE4172">
        <w:rPr>
          <w:color w:val="000000"/>
        </w:rPr>
        <w:t xml:space="preserve"> energy, mobility and ability to perform exercise; all of which are imperative for improving quality of life (Dale &amp; Stacey 2016). As a result, there has been an increas</w:t>
      </w:r>
      <w:r>
        <w:rPr>
          <w:color w:val="000000"/>
        </w:rPr>
        <w:t>ed</w:t>
      </w:r>
      <w:r w:rsidRPr="00EE4172">
        <w:rPr>
          <w:color w:val="000000"/>
        </w:rPr>
        <w:t xml:space="preserve"> interest in utilizing exercise as a mode of pain modulation. </w:t>
      </w:r>
      <w:r>
        <w:rPr>
          <w:color w:val="000000"/>
        </w:rPr>
        <w:t xml:space="preserve">Exercise has been widely shown to lead to acute reductions in pain sensitivity, </w:t>
      </w:r>
      <w:r w:rsidRPr="00EE4172">
        <w:rPr>
          <w:color w:val="000000"/>
        </w:rPr>
        <w:t>referred to as exercise-induced hypoalgesia (EIH)</w:t>
      </w:r>
      <w:r>
        <w:rPr>
          <w:color w:val="000000"/>
        </w:rPr>
        <w:t>,</w:t>
      </w:r>
      <w:r w:rsidRPr="00EE4172">
        <w:rPr>
          <w:color w:val="000000"/>
        </w:rPr>
        <w:t xml:space="preserve"> </w:t>
      </w:r>
      <w:r>
        <w:rPr>
          <w:color w:val="000000"/>
        </w:rPr>
        <w:t>which</w:t>
      </w:r>
      <w:r w:rsidRPr="00EE4172">
        <w:rPr>
          <w:color w:val="000000"/>
        </w:rPr>
        <w:t xml:space="preserve"> has been observed in both healthy and </w:t>
      </w:r>
      <w:r>
        <w:rPr>
          <w:color w:val="000000"/>
        </w:rPr>
        <w:t xml:space="preserve">some </w:t>
      </w:r>
      <w:r w:rsidRPr="00EE4172">
        <w:rPr>
          <w:color w:val="000000"/>
        </w:rPr>
        <w:t>clinical</w:t>
      </w:r>
      <w:r>
        <w:rPr>
          <w:color w:val="000000"/>
        </w:rPr>
        <w:t xml:space="preserve"> </w:t>
      </w:r>
      <w:r w:rsidR="00AF4A2A">
        <w:rPr>
          <w:color w:val="000000"/>
        </w:rPr>
        <w:t xml:space="preserve">pain </w:t>
      </w:r>
      <w:r w:rsidR="00AF4A2A" w:rsidRPr="00EE4172">
        <w:rPr>
          <w:color w:val="000000"/>
        </w:rPr>
        <w:t>populations</w:t>
      </w:r>
      <w:r w:rsidRPr="00EE4172">
        <w:rPr>
          <w:color w:val="000000"/>
        </w:rPr>
        <w:t xml:space="preserve"> (Lima et al., 2017). </w:t>
      </w:r>
      <w:r>
        <w:rPr>
          <w:color w:val="000000"/>
        </w:rPr>
        <w:t>However, w</w:t>
      </w:r>
      <w:r w:rsidRPr="00EE4172">
        <w:rPr>
          <w:color w:val="000000"/>
        </w:rPr>
        <w:t xml:space="preserve">hile exercise does have the capacity to reduce pain sensitivity, Ambrose &amp; Golightly (2017) </w:t>
      </w:r>
      <w:r>
        <w:rPr>
          <w:color w:val="000000"/>
        </w:rPr>
        <w:t>highlight</w:t>
      </w:r>
      <w:r w:rsidRPr="00EE4172">
        <w:rPr>
          <w:color w:val="000000"/>
        </w:rPr>
        <w:t xml:space="preserve"> </w:t>
      </w:r>
      <w:r>
        <w:rPr>
          <w:color w:val="000000"/>
        </w:rPr>
        <w:t xml:space="preserve">that </w:t>
      </w:r>
      <w:r w:rsidRPr="00EE4172">
        <w:rPr>
          <w:color w:val="000000"/>
        </w:rPr>
        <w:t xml:space="preserve">there is little available </w:t>
      </w:r>
      <w:r>
        <w:rPr>
          <w:color w:val="000000"/>
        </w:rPr>
        <w:t>evidence</w:t>
      </w:r>
      <w:r w:rsidRPr="00EE4172">
        <w:rPr>
          <w:color w:val="000000"/>
        </w:rPr>
        <w:t xml:space="preserve"> on the most beneficial exercise regimen for alleviating p</w:t>
      </w:r>
      <w:r>
        <w:rPr>
          <w:color w:val="000000"/>
        </w:rPr>
        <w:t xml:space="preserve">ain instead of exacerbating it </w:t>
      </w:r>
      <w:r w:rsidRPr="00EE4172">
        <w:rPr>
          <w:color w:val="000000"/>
        </w:rPr>
        <w:t xml:space="preserve">in individuals with </w:t>
      </w:r>
      <w:r>
        <w:rPr>
          <w:color w:val="000000"/>
        </w:rPr>
        <w:t xml:space="preserve">certain </w:t>
      </w:r>
      <w:r w:rsidRPr="00EE4172">
        <w:rPr>
          <w:color w:val="000000"/>
        </w:rPr>
        <w:t xml:space="preserve">chronic pain conditions like </w:t>
      </w:r>
      <w:r>
        <w:rPr>
          <w:color w:val="000000"/>
        </w:rPr>
        <w:t>osteoarthritis (</w:t>
      </w:r>
      <w:r w:rsidRPr="00EE4172">
        <w:rPr>
          <w:color w:val="000000"/>
        </w:rPr>
        <w:t>OA</w:t>
      </w:r>
      <w:r>
        <w:rPr>
          <w:color w:val="000000"/>
        </w:rPr>
        <w:t>).</w:t>
      </w:r>
      <w:r w:rsidRPr="00EE4172">
        <w:rPr>
          <w:color w:val="000000"/>
        </w:rPr>
        <w:t xml:space="preserve"> </w:t>
      </w:r>
      <w:r w:rsidR="00AF4A2A">
        <w:rPr>
          <w:color w:val="000000"/>
        </w:rPr>
        <w:t>Therefore,</w:t>
      </w:r>
      <w:r w:rsidRPr="00EE4172">
        <w:rPr>
          <w:color w:val="000000"/>
        </w:rPr>
        <w:t xml:space="preserve"> it is imperative to understand how chronic pain </w:t>
      </w:r>
      <w:r>
        <w:rPr>
          <w:color w:val="000000"/>
        </w:rPr>
        <w:t>conditions</w:t>
      </w:r>
      <w:r w:rsidRPr="00EE4172">
        <w:rPr>
          <w:color w:val="000000"/>
        </w:rPr>
        <w:t xml:space="preserve"> such as OA function</w:t>
      </w:r>
      <w:r>
        <w:rPr>
          <w:color w:val="000000"/>
        </w:rPr>
        <w:t xml:space="preserve"> </w:t>
      </w:r>
      <w:r w:rsidRPr="00EE4172">
        <w:rPr>
          <w:color w:val="000000"/>
        </w:rPr>
        <w:t>so that an ideal exercise treatment can be detailed. </w:t>
      </w:r>
    </w:p>
    <w:p w14:paraId="246D3E35" w14:textId="33498FC5" w:rsidR="00247505" w:rsidRPr="00EE4172" w:rsidRDefault="00247505" w:rsidP="00247505">
      <w:pPr>
        <w:spacing w:line="480" w:lineRule="auto"/>
        <w:ind w:firstLine="720"/>
        <w:jc w:val="both"/>
      </w:pPr>
      <w:r w:rsidRPr="00EE4172">
        <w:rPr>
          <w:color w:val="000000"/>
        </w:rPr>
        <w:t xml:space="preserve">Osteoarthritis (OA) has been found to be one of the most common sources of disability and </w:t>
      </w:r>
      <w:r>
        <w:rPr>
          <w:color w:val="000000"/>
        </w:rPr>
        <w:t xml:space="preserve">chronic </w:t>
      </w:r>
      <w:r w:rsidRPr="00EE4172">
        <w:rPr>
          <w:color w:val="000000"/>
        </w:rPr>
        <w:t xml:space="preserve">pain in individuals, especially as they age. Osteoarthritis is the most common disease of the joints in humans (O’Neill &amp; </w:t>
      </w:r>
      <w:r w:rsidR="00AF4A2A" w:rsidRPr="00EE4172">
        <w:rPr>
          <w:color w:val="000000"/>
        </w:rPr>
        <w:t>Felson, 2018</w:t>
      </w:r>
      <w:r w:rsidRPr="00EE4172">
        <w:rPr>
          <w:color w:val="000000"/>
        </w:rPr>
        <w:t xml:space="preserve">). In 2018 </w:t>
      </w:r>
      <w:r>
        <w:rPr>
          <w:color w:val="000000"/>
        </w:rPr>
        <w:t>~</w:t>
      </w:r>
      <w:r w:rsidRPr="00EE4172">
        <w:rPr>
          <w:color w:val="000000"/>
        </w:rPr>
        <w:t xml:space="preserve">14 million Americans reported a diagnosis of OA in the knee joint alone (Vina &amp; </w:t>
      </w:r>
      <w:proofErr w:type="spellStart"/>
      <w:r w:rsidRPr="00EE4172">
        <w:rPr>
          <w:color w:val="000000"/>
        </w:rPr>
        <w:t>Kwoh</w:t>
      </w:r>
      <w:proofErr w:type="spellEnd"/>
      <w:r w:rsidRPr="00EE4172">
        <w:rPr>
          <w:color w:val="000000"/>
        </w:rPr>
        <w:t xml:space="preserve">, 2018). While OA can affect many aspects of an </w:t>
      </w:r>
      <w:r w:rsidRPr="00EE4172">
        <w:rPr>
          <w:color w:val="000000"/>
        </w:rPr>
        <w:lastRenderedPageBreak/>
        <w:t>individual’s well</w:t>
      </w:r>
      <w:r>
        <w:rPr>
          <w:color w:val="000000"/>
        </w:rPr>
        <w:t>-</w:t>
      </w:r>
      <w:r w:rsidRPr="00EE4172">
        <w:rPr>
          <w:color w:val="000000"/>
        </w:rPr>
        <w:t xml:space="preserve">being, pain is the most prevalent symptom of the disease (O’Neill &amp; Felson, 2018). However, individuals with symptomatic OA also report negative impacts on their mental health. Vina &amp; </w:t>
      </w:r>
      <w:proofErr w:type="spellStart"/>
      <w:r w:rsidRPr="00EE4172">
        <w:rPr>
          <w:color w:val="000000"/>
        </w:rPr>
        <w:t>Kwoh</w:t>
      </w:r>
      <w:proofErr w:type="spellEnd"/>
      <w:r w:rsidRPr="00EE4172">
        <w:rPr>
          <w:color w:val="000000"/>
        </w:rPr>
        <w:t xml:space="preserve"> (2018) discuss that individuals with OA are more likely to develop symptoms of depression, insomnia and mood impairments. The most common cause of OA appears to be </w:t>
      </w:r>
      <w:r>
        <w:rPr>
          <w:color w:val="000000"/>
        </w:rPr>
        <w:t xml:space="preserve">joint degeneration associated with </w:t>
      </w:r>
      <w:r w:rsidRPr="00EE4172">
        <w:rPr>
          <w:color w:val="000000"/>
        </w:rPr>
        <w:t>ag</w:t>
      </w:r>
      <w:r>
        <w:rPr>
          <w:color w:val="000000"/>
        </w:rPr>
        <w:t>ing</w:t>
      </w:r>
      <w:r w:rsidRPr="00EE4172">
        <w:rPr>
          <w:color w:val="000000"/>
        </w:rPr>
        <w:t xml:space="preserve">, however, individuals who are obese tend to be at a greater risk for </w:t>
      </w:r>
      <w:r>
        <w:rPr>
          <w:color w:val="000000"/>
        </w:rPr>
        <w:t xml:space="preserve">OA </w:t>
      </w:r>
      <w:r w:rsidRPr="00EE4172">
        <w:rPr>
          <w:color w:val="000000"/>
        </w:rPr>
        <w:t>than non-obese individuals. Furthermore, there is an increased risk in females in comparison to males (</w:t>
      </w:r>
      <w:proofErr w:type="spellStart"/>
      <w:r w:rsidRPr="00EE4172">
        <w:rPr>
          <w:color w:val="000000"/>
        </w:rPr>
        <w:t>Sinusas</w:t>
      </w:r>
      <w:proofErr w:type="spellEnd"/>
      <w:r w:rsidRPr="00EE4172">
        <w:rPr>
          <w:color w:val="000000"/>
        </w:rPr>
        <w:t xml:space="preserve">, 2012). Therefore, it is critical to understand the mechanisms of pain in both healthy and clinical populations and how they can be mitigated or exacerbated by </w:t>
      </w:r>
      <w:r>
        <w:rPr>
          <w:color w:val="000000"/>
        </w:rPr>
        <w:t>obesity and/or body composition</w:t>
      </w:r>
      <w:r w:rsidRPr="00EE4172">
        <w:rPr>
          <w:color w:val="000000"/>
        </w:rPr>
        <w:t xml:space="preserve"> (O’Neill &amp; Felson, 2018). The aim of this study is to determine how age, </w:t>
      </w:r>
      <w:r w:rsidR="004E4CEC">
        <w:rPr>
          <w:color w:val="000000"/>
        </w:rPr>
        <w:t>sex</w:t>
      </w:r>
      <w:r w:rsidRPr="00EE4172">
        <w:rPr>
          <w:color w:val="000000"/>
        </w:rPr>
        <w:t>, body fatness, and physical activity work to influence pain in healthy individuals as well as those with a diagnosis of OA. </w:t>
      </w:r>
    </w:p>
    <w:p w14:paraId="0DF84003" w14:textId="77777777" w:rsidR="00247505" w:rsidRPr="00EE4172" w:rsidRDefault="00247505" w:rsidP="00247505">
      <w:pPr>
        <w:spacing w:line="480" w:lineRule="auto"/>
        <w:jc w:val="both"/>
      </w:pPr>
      <w:r w:rsidRPr="00EE4172">
        <w:rPr>
          <w:b/>
          <w:bCs/>
          <w:color w:val="000000"/>
        </w:rPr>
        <w:t>Purpose</w:t>
      </w:r>
    </w:p>
    <w:p w14:paraId="283EDAE3" w14:textId="4B8F4F5E" w:rsidR="00C008A4" w:rsidRPr="00C008A4" w:rsidRDefault="00247505" w:rsidP="00247505">
      <w:pPr>
        <w:spacing w:line="480" w:lineRule="auto"/>
        <w:jc w:val="both"/>
      </w:pPr>
      <w:r w:rsidRPr="00EE4172">
        <w:rPr>
          <w:color w:val="000000"/>
        </w:rPr>
        <w:tab/>
        <w:t xml:space="preserve">The purpose of this study </w:t>
      </w:r>
      <w:r w:rsidR="00C75025">
        <w:rPr>
          <w:color w:val="000000"/>
        </w:rPr>
        <w:t>wa</w:t>
      </w:r>
      <w:r w:rsidRPr="00EE4172">
        <w:rPr>
          <w:color w:val="000000"/>
        </w:rPr>
        <w:t xml:space="preserve">s to </w:t>
      </w:r>
      <w:r>
        <w:rPr>
          <w:color w:val="000000"/>
        </w:rPr>
        <w:t xml:space="preserve">examine the relationship among physical activity, weight status, body composition, and pain impacting a person’s ability to perform usual activities using a nationally representative sample (NHANES 2011-2012). Additionally, </w:t>
      </w:r>
      <w:r w:rsidR="00C75025">
        <w:rPr>
          <w:color w:val="000000"/>
        </w:rPr>
        <w:t>it</w:t>
      </w:r>
      <w:r>
        <w:rPr>
          <w:color w:val="000000"/>
        </w:rPr>
        <w:t xml:space="preserve"> explore</w:t>
      </w:r>
      <w:r w:rsidR="00C75025">
        <w:rPr>
          <w:color w:val="000000"/>
        </w:rPr>
        <w:t>d</w:t>
      </w:r>
      <w:r>
        <w:rPr>
          <w:color w:val="000000"/>
        </w:rPr>
        <w:t xml:space="preserve"> the effects of demographic variables such as age, </w:t>
      </w:r>
      <w:r w:rsidR="004E4CEC">
        <w:rPr>
          <w:color w:val="000000"/>
        </w:rPr>
        <w:t>sex</w:t>
      </w:r>
      <w:r>
        <w:rPr>
          <w:color w:val="000000"/>
        </w:rPr>
        <w:t>, ethnicity, education, and the presence of an arthritis diagnosis, all of which have been previously shown to impact physical activity, weight status, or body composition, on the relationship among our variable of interest.</w:t>
      </w:r>
      <w:r w:rsidRPr="00EE4172">
        <w:rPr>
          <w:color w:val="000000"/>
        </w:rPr>
        <w:t> </w:t>
      </w:r>
    </w:p>
    <w:p w14:paraId="223222D7" w14:textId="77777777" w:rsidR="00247505" w:rsidRPr="00EE4172" w:rsidRDefault="00247505" w:rsidP="00247505">
      <w:pPr>
        <w:spacing w:line="480" w:lineRule="auto"/>
        <w:jc w:val="both"/>
      </w:pPr>
      <w:r w:rsidRPr="00EE4172">
        <w:rPr>
          <w:b/>
          <w:bCs/>
          <w:color w:val="000000"/>
        </w:rPr>
        <w:t>Research Questions</w:t>
      </w:r>
    </w:p>
    <w:p w14:paraId="786F5B28" w14:textId="6ED4970B" w:rsidR="00247505" w:rsidRDefault="00247505" w:rsidP="00152FD6">
      <w:pPr>
        <w:numPr>
          <w:ilvl w:val="0"/>
          <w:numId w:val="2"/>
        </w:numPr>
        <w:spacing w:line="480" w:lineRule="auto"/>
        <w:jc w:val="both"/>
        <w:textAlignment w:val="baseline"/>
        <w:rPr>
          <w:color w:val="000000"/>
        </w:rPr>
      </w:pPr>
      <w:r>
        <w:rPr>
          <w:color w:val="000000"/>
        </w:rPr>
        <w:t xml:space="preserve">Are previously supported measures such as age, </w:t>
      </w:r>
      <w:r w:rsidR="004E4CEC">
        <w:rPr>
          <w:color w:val="000000"/>
        </w:rPr>
        <w:t>sex</w:t>
      </w:r>
      <w:r>
        <w:rPr>
          <w:color w:val="000000"/>
        </w:rPr>
        <w:t xml:space="preserve"> education level, and ethnicity related to reports of pain making it difficult to perform usual activities?</w:t>
      </w:r>
    </w:p>
    <w:p w14:paraId="6309118E" w14:textId="77777777" w:rsidR="00247505" w:rsidRDefault="00247505" w:rsidP="00152FD6">
      <w:pPr>
        <w:numPr>
          <w:ilvl w:val="0"/>
          <w:numId w:val="2"/>
        </w:numPr>
        <w:spacing w:line="480" w:lineRule="auto"/>
        <w:jc w:val="both"/>
        <w:textAlignment w:val="baseline"/>
        <w:rPr>
          <w:color w:val="000000"/>
        </w:rPr>
      </w:pPr>
      <w:r>
        <w:rPr>
          <w:color w:val="000000"/>
        </w:rPr>
        <w:t>Is weight status, determined by body mass index, related to reports of pain making it difficult to perform usual activities??</w:t>
      </w:r>
    </w:p>
    <w:p w14:paraId="6DF35085" w14:textId="77777777" w:rsidR="00247505" w:rsidRDefault="00247505" w:rsidP="00152FD6">
      <w:pPr>
        <w:numPr>
          <w:ilvl w:val="0"/>
          <w:numId w:val="2"/>
        </w:numPr>
        <w:spacing w:line="480" w:lineRule="auto"/>
        <w:jc w:val="both"/>
        <w:textAlignment w:val="baseline"/>
        <w:rPr>
          <w:color w:val="000000"/>
        </w:rPr>
      </w:pPr>
      <w:r>
        <w:rPr>
          <w:color w:val="000000"/>
        </w:rPr>
        <w:lastRenderedPageBreak/>
        <w:t>Does meeting weekly physical activity recommendations, relate to reports of pain making it difficult to perform usual activities?</w:t>
      </w:r>
    </w:p>
    <w:p w14:paraId="2A64F9A6" w14:textId="77777777" w:rsidR="00247505" w:rsidRDefault="00247505" w:rsidP="00152FD6">
      <w:pPr>
        <w:numPr>
          <w:ilvl w:val="0"/>
          <w:numId w:val="2"/>
        </w:numPr>
        <w:spacing w:line="480" w:lineRule="auto"/>
        <w:jc w:val="both"/>
        <w:textAlignment w:val="baseline"/>
        <w:rPr>
          <w:color w:val="000000"/>
        </w:rPr>
      </w:pPr>
      <w:r>
        <w:rPr>
          <w:color w:val="000000"/>
        </w:rPr>
        <w:t>Is</w:t>
      </w:r>
      <w:r w:rsidRPr="00EE4172">
        <w:rPr>
          <w:color w:val="000000"/>
        </w:rPr>
        <w:t xml:space="preserve"> </w:t>
      </w:r>
      <w:r>
        <w:rPr>
          <w:color w:val="000000"/>
        </w:rPr>
        <w:t xml:space="preserve">DXA determined </w:t>
      </w:r>
      <w:r w:rsidRPr="00EE4172">
        <w:rPr>
          <w:color w:val="000000"/>
        </w:rPr>
        <w:t xml:space="preserve">body composition </w:t>
      </w:r>
      <w:r>
        <w:rPr>
          <w:color w:val="000000"/>
        </w:rPr>
        <w:t>related reports of pain making it difficult to perform usual activities?</w:t>
      </w:r>
    </w:p>
    <w:p w14:paraId="2D687126" w14:textId="1AE351C8" w:rsidR="00247505" w:rsidRPr="00C008A4" w:rsidRDefault="00247505" w:rsidP="00152FD6">
      <w:pPr>
        <w:numPr>
          <w:ilvl w:val="0"/>
          <w:numId w:val="2"/>
        </w:numPr>
        <w:spacing w:line="480" w:lineRule="auto"/>
        <w:jc w:val="both"/>
        <w:textAlignment w:val="baseline"/>
        <w:rPr>
          <w:color w:val="000000"/>
        </w:rPr>
      </w:pPr>
      <w:r>
        <w:rPr>
          <w:color w:val="000000"/>
        </w:rPr>
        <w:t xml:space="preserve">When controlling for age, </w:t>
      </w:r>
      <w:r w:rsidR="004E4CEC">
        <w:rPr>
          <w:color w:val="000000"/>
        </w:rPr>
        <w:t>sex</w:t>
      </w:r>
      <w:r>
        <w:rPr>
          <w:color w:val="000000"/>
        </w:rPr>
        <w:t>, education, and ethnicity, are weight status, physical activity and or body composition related to pain making it difficult to perform usual activities?</w:t>
      </w:r>
    </w:p>
    <w:p w14:paraId="1AC992F4" w14:textId="77777777" w:rsidR="00247505" w:rsidRDefault="00247505" w:rsidP="00247505">
      <w:pPr>
        <w:spacing w:line="480" w:lineRule="auto"/>
        <w:jc w:val="both"/>
        <w:rPr>
          <w:color w:val="000000"/>
        </w:rPr>
      </w:pPr>
      <w:r w:rsidRPr="00EE4172">
        <w:rPr>
          <w:b/>
          <w:bCs/>
          <w:color w:val="000000"/>
        </w:rPr>
        <w:t>Hypotheses</w:t>
      </w:r>
    </w:p>
    <w:p w14:paraId="42174D71" w14:textId="75FAE6A5" w:rsidR="00247505" w:rsidRPr="00415844" w:rsidRDefault="00247505" w:rsidP="00152FD6">
      <w:pPr>
        <w:numPr>
          <w:ilvl w:val="0"/>
          <w:numId w:val="3"/>
        </w:numPr>
        <w:spacing w:line="480" w:lineRule="auto"/>
        <w:jc w:val="both"/>
        <w:textAlignment w:val="baseline"/>
        <w:rPr>
          <w:color w:val="000000"/>
        </w:rPr>
      </w:pPr>
      <w:r>
        <w:rPr>
          <w:color w:val="000000"/>
        </w:rPr>
        <w:t>Individuals of lower age, who a</w:t>
      </w:r>
      <w:r w:rsidR="00AF4A2A">
        <w:rPr>
          <w:color w:val="000000"/>
        </w:rPr>
        <w:t>re</w:t>
      </w:r>
      <w:r>
        <w:rPr>
          <w:color w:val="000000"/>
        </w:rPr>
        <w:t xml:space="preserve"> male, who have a college education, and who are white will report pain makes it difficult to perform usual activities to a lesser degree</w:t>
      </w:r>
      <w:r w:rsidRPr="00415844">
        <w:rPr>
          <w:color w:val="000000"/>
        </w:rPr>
        <w:t>.</w:t>
      </w:r>
    </w:p>
    <w:p w14:paraId="1302C7BD" w14:textId="77777777" w:rsidR="00247505" w:rsidRPr="00415844" w:rsidRDefault="00247505" w:rsidP="00152FD6">
      <w:pPr>
        <w:numPr>
          <w:ilvl w:val="0"/>
          <w:numId w:val="3"/>
        </w:numPr>
        <w:spacing w:line="480" w:lineRule="auto"/>
        <w:jc w:val="both"/>
        <w:textAlignment w:val="baseline"/>
        <w:rPr>
          <w:color w:val="000000"/>
        </w:rPr>
      </w:pPr>
      <w:r w:rsidRPr="00C56D0D">
        <w:rPr>
          <w:color w:val="000000"/>
        </w:rPr>
        <w:t xml:space="preserve">There will be a difference in </w:t>
      </w:r>
      <w:r>
        <w:rPr>
          <w:color w:val="000000"/>
        </w:rPr>
        <w:t xml:space="preserve">the extent that </w:t>
      </w:r>
      <w:r w:rsidRPr="00C56D0D">
        <w:rPr>
          <w:color w:val="000000"/>
        </w:rPr>
        <w:t xml:space="preserve">pain </w:t>
      </w:r>
      <w:r>
        <w:rPr>
          <w:color w:val="000000"/>
        </w:rPr>
        <w:t xml:space="preserve">makes it difficult to perform usual activities </w:t>
      </w:r>
      <w:r w:rsidRPr="00C56D0D">
        <w:rPr>
          <w:color w:val="000000"/>
        </w:rPr>
        <w:t>between individuals with a high weight status (overweight or obese by BMI) and individuals with a normal weight status.</w:t>
      </w:r>
    </w:p>
    <w:p w14:paraId="6CB54F69" w14:textId="77777777" w:rsidR="00247505" w:rsidRPr="00415844" w:rsidRDefault="00247505" w:rsidP="00152FD6">
      <w:pPr>
        <w:numPr>
          <w:ilvl w:val="0"/>
          <w:numId w:val="3"/>
        </w:numPr>
        <w:spacing w:line="480" w:lineRule="auto"/>
        <w:jc w:val="both"/>
        <w:textAlignment w:val="baseline"/>
        <w:rPr>
          <w:color w:val="000000"/>
        </w:rPr>
      </w:pPr>
      <w:r w:rsidRPr="00415844">
        <w:rPr>
          <w:color w:val="000000"/>
        </w:rPr>
        <w:t>Individuals who are more physically active will</w:t>
      </w:r>
      <w:r>
        <w:rPr>
          <w:color w:val="000000"/>
        </w:rPr>
        <w:t xml:space="preserve"> report pain makes it difficult to perform usual activities to a lesser degree</w:t>
      </w:r>
      <w:r w:rsidRPr="00415844">
        <w:rPr>
          <w:color w:val="000000"/>
        </w:rPr>
        <w:t>.</w:t>
      </w:r>
    </w:p>
    <w:p w14:paraId="5CE194F1" w14:textId="63181CBF" w:rsidR="00247505" w:rsidRPr="00C008A4" w:rsidRDefault="00247505" w:rsidP="00152FD6">
      <w:pPr>
        <w:numPr>
          <w:ilvl w:val="0"/>
          <w:numId w:val="3"/>
        </w:numPr>
        <w:spacing w:line="480" w:lineRule="auto"/>
        <w:jc w:val="both"/>
        <w:textAlignment w:val="baseline"/>
        <w:rPr>
          <w:color w:val="000000"/>
        </w:rPr>
      </w:pPr>
      <w:r w:rsidRPr="00C56D0D">
        <w:rPr>
          <w:color w:val="000000"/>
        </w:rPr>
        <w:t xml:space="preserve">There will be a difference in </w:t>
      </w:r>
      <w:r>
        <w:rPr>
          <w:color w:val="000000"/>
        </w:rPr>
        <w:t xml:space="preserve">the extent that </w:t>
      </w:r>
      <w:r w:rsidRPr="00C56D0D">
        <w:rPr>
          <w:color w:val="000000"/>
        </w:rPr>
        <w:t xml:space="preserve">pain </w:t>
      </w:r>
      <w:r>
        <w:rPr>
          <w:color w:val="000000"/>
        </w:rPr>
        <w:t>makes it difficult to perform usual activities</w:t>
      </w:r>
      <w:r w:rsidRPr="00C56D0D" w:rsidDel="00C56D0D">
        <w:rPr>
          <w:color w:val="000000"/>
        </w:rPr>
        <w:t xml:space="preserve"> </w:t>
      </w:r>
      <w:r w:rsidRPr="00C56D0D">
        <w:rPr>
          <w:color w:val="000000"/>
        </w:rPr>
        <w:t>between individuals with a higher percentage of lean tissue than adipose and individuals with a lower percentage of lean mass than adipose tissue.</w:t>
      </w:r>
      <w:r>
        <w:rPr>
          <w:vanish/>
          <w:color w:val="000000"/>
        </w:rPr>
        <w:cr/>
        <w:t xml:space="preserve">ee more physically active will uaes </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p>
    <w:p w14:paraId="551BD47E" w14:textId="77777777" w:rsidR="00247505" w:rsidRPr="00952700" w:rsidRDefault="00247505" w:rsidP="00247505">
      <w:pPr>
        <w:spacing w:line="480" w:lineRule="auto"/>
        <w:jc w:val="both"/>
        <w:textAlignment w:val="baseline"/>
        <w:rPr>
          <w:b/>
          <w:color w:val="000000"/>
        </w:rPr>
      </w:pPr>
      <w:r w:rsidRPr="00952700">
        <w:rPr>
          <w:b/>
          <w:color w:val="000000"/>
        </w:rPr>
        <w:t>Sub-Hypotheses</w:t>
      </w:r>
    </w:p>
    <w:p w14:paraId="27B3C8AE" w14:textId="6C8C57F5" w:rsidR="00247505" w:rsidRDefault="00247505" w:rsidP="00152FD6">
      <w:pPr>
        <w:numPr>
          <w:ilvl w:val="1"/>
          <w:numId w:val="3"/>
        </w:numPr>
        <w:spacing w:line="480" w:lineRule="auto"/>
        <w:jc w:val="both"/>
        <w:textAlignment w:val="baseline"/>
        <w:rPr>
          <w:color w:val="000000"/>
        </w:rPr>
      </w:pPr>
      <w:r>
        <w:rPr>
          <w:color w:val="000000"/>
        </w:rPr>
        <w:t xml:space="preserve">When controlling for age, </w:t>
      </w:r>
      <w:r w:rsidR="004E4CEC">
        <w:rPr>
          <w:color w:val="000000"/>
        </w:rPr>
        <w:t>sex</w:t>
      </w:r>
      <w:r>
        <w:rPr>
          <w:color w:val="000000"/>
        </w:rPr>
        <w:t>, education, and ethnicity, individuals with a higher weight status will report pain makes it more difficult to perform usual activities.</w:t>
      </w:r>
    </w:p>
    <w:p w14:paraId="37268C0F" w14:textId="0AF24A7A" w:rsidR="00247505" w:rsidRDefault="00247505" w:rsidP="00152FD6">
      <w:pPr>
        <w:numPr>
          <w:ilvl w:val="1"/>
          <w:numId w:val="3"/>
        </w:numPr>
        <w:spacing w:line="480" w:lineRule="auto"/>
        <w:jc w:val="both"/>
        <w:textAlignment w:val="baseline"/>
        <w:rPr>
          <w:color w:val="000000"/>
        </w:rPr>
      </w:pPr>
      <w:r>
        <w:rPr>
          <w:color w:val="000000"/>
        </w:rPr>
        <w:t xml:space="preserve">When controlling for age, </w:t>
      </w:r>
      <w:r w:rsidR="004E4CEC">
        <w:rPr>
          <w:color w:val="000000"/>
        </w:rPr>
        <w:t>sex</w:t>
      </w:r>
      <w:r>
        <w:rPr>
          <w:color w:val="000000"/>
        </w:rPr>
        <w:t xml:space="preserve">, education, and ethnicity, individuals with a lower physical activity level will report pain makes it more difficult to perform usual activities. </w:t>
      </w:r>
    </w:p>
    <w:p w14:paraId="5CD7F4EA" w14:textId="12B27B9A" w:rsidR="00247505" w:rsidRDefault="00247505" w:rsidP="00152FD6">
      <w:pPr>
        <w:numPr>
          <w:ilvl w:val="1"/>
          <w:numId w:val="3"/>
        </w:numPr>
        <w:spacing w:line="480" w:lineRule="auto"/>
        <w:jc w:val="both"/>
        <w:textAlignment w:val="baseline"/>
        <w:rPr>
          <w:color w:val="000000"/>
        </w:rPr>
      </w:pPr>
      <w:r>
        <w:rPr>
          <w:color w:val="000000"/>
        </w:rPr>
        <w:lastRenderedPageBreak/>
        <w:t xml:space="preserve">When controlling for age, </w:t>
      </w:r>
      <w:r w:rsidR="004E4CEC">
        <w:rPr>
          <w:color w:val="000000"/>
        </w:rPr>
        <w:t>sex</w:t>
      </w:r>
      <w:r>
        <w:rPr>
          <w:color w:val="000000"/>
        </w:rPr>
        <w:t xml:space="preserve">, education, and ethnicity, individuals with a greater percentage of fat mass will report pain makes it more difficult to perform usual activities. </w:t>
      </w:r>
      <w:r>
        <w:rPr>
          <w:vanish/>
          <w:color w:val="000000"/>
        </w:rPr>
        <w:cr/>
        <w:t>than adipose tissue will f leanm usual activitessd</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p>
    <w:p w14:paraId="63DB8A33" w14:textId="77777777" w:rsidR="00247505" w:rsidRPr="00860CF1" w:rsidRDefault="00247505" w:rsidP="00247505">
      <w:pPr>
        <w:spacing w:line="480" w:lineRule="auto"/>
        <w:ind w:left="1440"/>
        <w:jc w:val="both"/>
        <w:textAlignment w:val="baseline"/>
        <w:rPr>
          <w:color w:val="000000"/>
        </w:rPr>
      </w:pPr>
    </w:p>
    <w:p w14:paraId="7851B485" w14:textId="77777777" w:rsidR="00247505" w:rsidRPr="00EE4172" w:rsidRDefault="00247505" w:rsidP="00247505">
      <w:pPr>
        <w:spacing w:line="480" w:lineRule="auto"/>
        <w:jc w:val="both"/>
      </w:pPr>
      <w:r w:rsidRPr="00EE4172">
        <w:rPr>
          <w:b/>
          <w:bCs/>
          <w:color w:val="000000"/>
        </w:rPr>
        <w:t>Significance</w:t>
      </w:r>
    </w:p>
    <w:p w14:paraId="6D702157" w14:textId="37F892A1" w:rsidR="00247505" w:rsidRPr="00C008A4" w:rsidRDefault="00247505" w:rsidP="00C008A4">
      <w:pPr>
        <w:spacing w:line="480" w:lineRule="auto"/>
        <w:ind w:firstLine="720"/>
        <w:jc w:val="both"/>
      </w:pPr>
      <w:r w:rsidRPr="00EE4172">
        <w:rPr>
          <w:color w:val="000000"/>
        </w:rPr>
        <w:t xml:space="preserve">Chronic pain is one of the largest contributors to decreased quality of life in adults according to Mitsi &amp; </w:t>
      </w:r>
      <w:proofErr w:type="spellStart"/>
      <w:r w:rsidRPr="00EE4172">
        <w:rPr>
          <w:color w:val="000000"/>
        </w:rPr>
        <w:t>Zachariou</w:t>
      </w:r>
      <w:proofErr w:type="spellEnd"/>
      <w:r w:rsidRPr="00EE4172">
        <w:rPr>
          <w:color w:val="000000"/>
        </w:rPr>
        <w:t xml:space="preserve"> (2018). It has been found that pain can be influenced by a variety of factors such as </w:t>
      </w:r>
      <w:r w:rsidR="004E4CEC">
        <w:rPr>
          <w:color w:val="000000"/>
        </w:rPr>
        <w:t>sex</w:t>
      </w:r>
      <w:r w:rsidRPr="00EE4172">
        <w:rPr>
          <w:color w:val="000000"/>
        </w:rPr>
        <w:t>, age, physical activity levels and body composition (</w:t>
      </w:r>
      <w:proofErr w:type="spellStart"/>
      <w:r w:rsidRPr="00EE4172">
        <w:rPr>
          <w:color w:val="000000"/>
        </w:rPr>
        <w:t>Sinusas</w:t>
      </w:r>
      <w:proofErr w:type="spellEnd"/>
      <w:r w:rsidRPr="00EE4172">
        <w:rPr>
          <w:color w:val="000000"/>
        </w:rPr>
        <w:t xml:space="preserve">, 2012). Currently, the growing prevalence of chronic pain has led to a growing opioid dependency issue resulting from painkiller prescriptions used for pain management (Mitsi &amp; </w:t>
      </w:r>
      <w:proofErr w:type="spellStart"/>
      <w:r w:rsidRPr="00EE4172">
        <w:rPr>
          <w:color w:val="000000"/>
        </w:rPr>
        <w:t>Zachariou</w:t>
      </w:r>
      <w:proofErr w:type="spellEnd"/>
      <w:r w:rsidRPr="00EE4172">
        <w:rPr>
          <w:color w:val="000000"/>
        </w:rPr>
        <w:t>, 2018).</w:t>
      </w:r>
      <w:r>
        <w:rPr>
          <w:color w:val="000000"/>
        </w:rPr>
        <w:t xml:space="preserve"> There is reason to suggest that fat mass may have an effect on pain; however, these effects are not fully understood and have not been widely studied yet. </w:t>
      </w:r>
      <w:r w:rsidRPr="00EE4172">
        <w:rPr>
          <w:color w:val="000000"/>
        </w:rPr>
        <w:t xml:space="preserve">Thus, it is imperative to understand </w:t>
      </w:r>
      <w:r>
        <w:rPr>
          <w:color w:val="000000"/>
        </w:rPr>
        <w:t>how pain functions among various population groups in order to determine the best prevention and treatment methods moving forward.</w:t>
      </w:r>
      <w:r w:rsidRPr="00EE4172">
        <w:rPr>
          <w:color w:val="000000"/>
        </w:rPr>
        <w:t> </w:t>
      </w:r>
    </w:p>
    <w:p w14:paraId="01BBF3EE" w14:textId="77777777" w:rsidR="00247505" w:rsidRPr="00EE4172" w:rsidRDefault="00247505" w:rsidP="00247505">
      <w:pPr>
        <w:spacing w:line="480" w:lineRule="auto"/>
        <w:jc w:val="both"/>
      </w:pPr>
      <w:r w:rsidRPr="00EE4172">
        <w:rPr>
          <w:b/>
          <w:bCs/>
          <w:color w:val="000000"/>
        </w:rPr>
        <w:t>Limitations</w:t>
      </w:r>
    </w:p>
    <w:p w14:paraId="2289A58A" w14:textId="77777777" w:rsidR="00247505" w:rsidRPr="00EE4172" w:rsidRDefault="00247505" w:rsidP="00152FD6">
      <w:pPr>
        <w:numPr>
          <w:ilvl w:val="0"/>
          <w:numId w:val="4"/>
        </w:numPr>
        <w:spacing w:line="480" w:lineRule="auto"/>
        <w:jc w:val="both"/>
        <w:textAlignment w:val="baseline"/>
        <w:rPr>
          <w:color w:val="000000"/>
        </w:rPr>
      </w:pPr>
      <w:r w:rsidRPr="00EE4172">
        <w:rPr>
          <w:color w:val="000000"/>
        </w:rPr>
        <w:t>Results will only be representative of the 2011-2012 NHANES Survey population</w:t>
      </w:r>
    </w:p>
    <w:p w14:paraId="15A05BD4" w14:textId="77777777" w:rsidR="00247505" w:rsidRPr="00A26ABD" w:rsidRDefault="00247505" w:rsidP="00152FD6">
      <w:pPr>
        <w:numPr>
          <w:ilvl w:val="0"/>
          <w:numId w:val="4"/>
        </w:numPr>
        <w:spacing w:line="480" w:lineRule="auto"/>
        <w:jc w:val="both"/>
        <w:textAlignment w:val="baseline"/>
        <w:rPr>
          <w:color w:val="000000"/>
        </w:rPr>
      </w:pPr>
      <w:r w:rsidRPr="00EE4172">
        <w:rPr>
          <w:color w:val="000000"/>
        </w:rPr>
        <w:t>Results will only be applicable to pain with usual activit</w:t>
      </w:r>
      <w:r>
        <w:rPr>
          <w:color w:val="000000"/>
        </w:rPr>
        <w:t>ies.</w:t>
      </w:r>
    </w:p>
    <w:p w14:paraId="43EFA371" w14:textId="77777777" w:rsidR="00247505" w:rsidRPr="00EE4172" w:rsidRDefault="00247505" w:rsidP="00247505">
      <w:pPr>
        <w:spacing w:line="480" w:lineRule="auto"/>
        <w:jc w:val="both"/>
      </w:pPr>
      <w:r w:rsidRPr="00EE4172">
        <w:rPr>
          <w:b/>
          <w:bCs/>
          <w:color w:val="000000"/>
        </w:rPr>
        <w:t>Delimitations</w:t>
      </w:r>
    </w:p>
    <w:p w14:paraId="5B5DEE35" w14:textId="76201244" w:rsidR="00247505" w:rsidRDefault="00247505" w:rsidP="00152FD6">
      <w:pPr>
        <w:numPr>
          <w:ilvl w:val="0"/>
          <w:numId w:val="5"/>
        </w:numPr>
        <w:spacing w:line="480" w:lineRule="auto"/>
        <w:jc w:val="both"/>
        <w:textAlignment w:val="baseline"/>
        <w:rPr>
          <w:color w:val="000000"/>
        </w:rPr>
      </w:pPr>
      <w:r>
        <w:rPr>
          <w:color w:val="000000"/>
        </w:rPr>
        <w:t>Those who are age 20 &gt;</w:t>
      </w:r>
      <w:r w:rsidR="00C75025">
        <w:rPr>
          <w:color w:val="000000"/>
        </w:rPr>
        <w:t xml:space="preserve"> years</w:t>
      </w:r>
    </w:p>
    <w:p w14:paraId="3D883E05" w14:textId="77777777" w:rsidR="00247505" w:rsidRPr="00A26ABD" w:rsidRDefault="00247505" w:rsidP="00152FD6">
      <w:pPr>
        <w:numPr>
          <w:ilvl w:val="0"/>
          <w:numId w:val="5"/>
        </w:numPr>
        <w:spacing w:line="480" w:lineRule="auto"/>
        <w:jc w:val="both"/>
        <w:textAlignment w:val="baseline"/>
        <w:rPr>
          <w:color w:val="000000"/>
        </w:rPr>
      </w:pPr>
      <w:r>
        <w:rPr>
          <w:color w:val="000000"/>
        </w:rPr>
        <w:t>Women who reported not being pregnant</w:t>
      </w:r>
    </w:p>
    <w:p w14:paraId="2EC02CB2" w14:textId="77777777" w:rsidR="00247505" w:rsidRPr="00EE4172" w:rsidRDefault="00247505" w:rsidP="00247505">
      <w:pPr>
        <w:spacing w:line="480" w:lineRule="auto"/>
        <w:jc w:val="both"/>
      </w:pPr>
      <w:r w:rsidRPr="00EE4172">
        <w:rPr>
          <w:b/>
          <w:bCs/>
          <w:color w:val="000000"/>
        </w:rPr>
        <w:t>Assumptions</w:t>
      </w:r>
    </w:p>
    <w:p w14:paraId="1D7F6B34" w14:textId="77777777" w:rsidR="00247505" w:rsidRPr="00A26ABD" w:rsidRDefault="00247505" w:rsidP="00152FD6">
      <w:pPr>
        <w:numPr>
          <w:ilvl w:val="0"/>
          <w:numId w:val="6"/>
        </w:numPr>
        <w:spacing w:line="480" w:lineRule="auto"/>
        <w:jc w:val="both"/>
        <w:textAlignment w:val="baseline"/>
        <w:rPr>
          <w:color w:val="000000"/>
        </w:rPr>
      </w:pPr>
      <w:r w:rsidRPr="00EE4172">
        <w:rPr>
          <w:color w:val="000000"/>
        </w:rPr>
        <w:t>Subjects responded to the NHANES survey truthfully</w:t>
      </w:r>
    </w:p>
    <w:p w14:paraId="0249ABEE" w14:textId="77777777" w:rsidR="004E4CEC" w:rsidRDefault="004E4CEC" w:rsidP="00247505">
      <w:pPr>
        <w:spacing w:line="480" w:lineRule="auto"/>
        <w:jc w:val="both"/>
        <w:rPr>
          <w:b/>
          <w:bCs/>
          <w:color w:val="000000"/>
        </w:rPr>
      </w:pPr>
    </w:p>
    <w:p w14:paraId="3C4068C2" w14:textId="6BB10CEC" w:rsidR="00247505" w:rsidRPr="00EE4172" w:rsidRDefault="00247505" w:rsidP="00247505">
      <w:pPr>
        <w:spacing w:line="480" w:lineRule="auto"/>
        <w:jc w:val="both"/>
      </w:pPr>
      <w:r w:rsidRPr="00EE4172">
        <w:rPr>
          <w:b/>
          <w:bCs/>
          <w:color w:val="000000"/>
        </w:rPr>
        <w:lastRenderedPageBreak/>
        <w:t>Operational Definitions</w:t>
      </w:r>
    </w:p>
    <w:p w14:paraId="0DFF9D2B" w14:textId="77777777" w:rsidR="00247505" w:rsidRPr="00EE4172" w:rsidRDefault="00247505" w:rsidP="00152FD6">
      <w:pPr>
        <w:numPr>
          <w:ilvl w:val="0"/>
          <w:numId w:val="7"/>
        </w:numPr>
        <w:spacing w:line="480" w:lineRule="auto"/>
        <w:jc w:val="both"/>
        <w:textAlignment w:val="baseline"/>
        <w:rPr>
          <w:b/>
          <w:bCs/>
          <w:color w:val="000000"/>
        </w:rPr>
      </w:pPr>
      <w:r w:rsidRPr="00EE4172">
        <w:rPr>
          <w:b/>
          <w:bCs/>
          <w:color w:val="000000"/>
        </w:rPr>
        <w:t xml:space="preserve">Chronic Pain: </w:t>
      </w:r>
      <w:r w:rsidRPr="00EE4172">
        <w:rPr>
          <w:color w:val="000000"/>
        </w:rPr>
        <w:t>pain felt by an individual on most or all days for at least 6 months (</w:t>
      </w:r>
      <w:proofErr w:type="spellStart"/>
      <w:r w:rsidRPr="00EE4172">
        <w:rPr>
          <w:color w:val="000000"/>
        </w:rPr>
        <w:t>Dahlhamer</w:t>
      </w:r>
      <w:proofErr w:type="spellEnd"/>
      <w:r w:rsidRPr="00EE4172">
        <w:rPr>
          <w:color w:val="000000"/>
        </w:rPr>
        <w:t xml:space="preserve"> et al., 2018)</w:t>
      </w:r>
    </w:p>
    <w:p w14:paraId="223D2110" w14:textId="4769B24A" w:rsidR="00247505" w:rsidRPr="00C75025" w:rsidRDefault="00247505" w:rsidP="00152FD6">
      <w:pPr>
        <w:numPr>
          <w:ilvl w:val="0"/>
          <w:numId w:val="7"/>
        </w:numPr>
        <w:spacing w:line="480" w:lineRule="auto"/>
        <w:jc w:val="both"/>
        <w:textAlignment w:val="baseline"/>
        <w:rPr>
          <w:b/>
          <w:bCs/>
          <w:color w:val="000000"/>
        </w:rPr>
      </w:pPr>
      <w:r w:rsidRPr="00EE4172">
        <w:rPr>
          <w:b/>
          <w:bCs/>
          <w:color w:val="000000"/>
        </w:rPr>
        <w:t xml:space="preserve">Body Mass Index: </w:t>
      </w:r>
      <w:r w:rsidRPr="00EE4172">
        <w:rPr>
          <w:color w:val="000000"/>
        </w:rPr>
        <w:t xml:space="preserve">A statistical index that takes into account the height and weight of an individual to estimate body fat (Weir &amp; </w:t>
      </w:r>
      <w:proofErr w:type="gramStart"/>
      <w:r w:rsidRPr="00EE4172">
        <w:rPr>
          <w:color w:val="000000"/>
        </w:rPr>
        <w:t>Jan,</w:t>
      </w:r>
      <w:proofErr w:type="gramEnd"/>
      <w:r w:rsidRPr="00EE4172">
        <w:rPr>
          <w:color w:val="000000"/>
        </w:rPr>
        <w:t xml:space="preserve"> 2020)</w:t>
      </w:r>
    </w:p>
    <w:p w14:paraId="5F92A514" w14:textId="498B50F8" w:rsidR="00C75025" w:rsidRPr="00EE4172" w:rsidRDefault="00C75025" w:rsidP="00152FD6">
      <w:pPr>
        <w:numPr>
          <w:ilvl w:val="0"/>
          <w:numId w:val="7"/>
        </w:numPr>
        <w:spacing w:line="480" w:lineRule="auto"/>
        <w:jc w:val="both"/>
        <w:textAlignment w:val="baseline"/>
        <w:rPr>
          <w:b/>
          <w:bCs/>
          <w:color w:val="000000"/>
        </w:rPr>
      </w:pPr>
      <w:r w:rsidRPr="00C75025">
        <w:rPr>
          <w:b/>
          <w:bCs/>
          <w:color w:val="000000"/>
        </w:rPr>
        <w:t>Dual energy X-ray absorptiometry (DEXA):</w:t>
      </w:r>
      <w:r>
        <w:rPr>
          <w:color w:val="000000"/>
        </w:rPr>
        <w:t xml:space="preserve"> Imaging scan used to estimate regional and total measures of bone mineral density, fat mass, and lean mass (Peppa et al., 2017)</w:t>
      </w:r>
    </w:p>
    <w:p w14:paraId="50B13A87" w14:textId="2311ED13" w:rsidR="00247505" w:rsidRPr="00C008A4" w:rsidRDefault="00247505" w:rsidP="00152FD6">
      <w:pPr>
        <w:numPr>
          <w:ilvl w:val="0"/>
          <w:numId w:val="7"/>
        </w:numPr>
        <w:spacing w:line="480" w:lineRule="auto"/>
        <w:jc w:val="both"/>
        <w:textAlignment w:val="baseline"/>
        <w:rPr>
          <w:b/>
          <w:bCs/>
          <w:color w:val="000000"/>
        </w:rPr>
      </w:pPr>
      <w:r w:rsidRPr="00EE4172">
        <w:rPr>
          <w:b/>
          <w:bCs/>
          <w:color w:val="000000"/>
        </w:rPr>
        <w:t xml:space="preserve">Osteoarthritis: </w:t>
      </w:r>
      <w:r w:rsidRPr="00EE4172">
        <w:rPr>
          <w:color w:val="000000"/>
        </w:rPr>
        <w:t>A degenerative disorder of the cartilage in joints that is associated with hypertrophic alterations in the bone (</w:t>
      </w:r>
      <w:proofErr w:type="spellStart"/>
      <w:r w:rsidRPr="00EE4172">
        <w:rPr>
          <w:color w:val="000000"/>
        </w:rPr>
        <w:t>Sinusas</w:t>
      </w:r>
      <w:proofErr w:type="spellEnd"/>
      <w:r w:rsidRPr="00EE4172">
        <w:rPr>
          <w:color w:val="000000"/>
        </w:rPr>
        <w:t>, 2012)</w:t>
      </w:r>
    </w:p>
    <w:p w14:paraId="58209DE7" w14:textId="5F55760B" w:rsidR="00247505" w:rsidRPr="004E4CEC" w:rsidRDefault="00C008A4" w:rsidP="004E4CEC">
      <w:pPr>
        <w:spacing w:after="200"/>
        <w:rPr>
          <w:b/>
          <w:bCs/>
          <w:color w:val="000000"/>
        </w:rPr>
      </w:pPr>
      <w:r>
        <w:rPr>
          <w:b/>
          <w:bCs/>
          <w:color w:val="000000"/>
        </w:rPr>
        <w:br w:type="page"/>
      </w:r>
      <w:r w:rsidR="00247505" w:rsidRPr="003813E0">
        <w:rPr>
          <w:b/>
          <w:bCs/>
          <w:color w:val="000000"/>
        </w:rPr>
        <w:lastRenderedPageBreak/>
        <w:t>CHAPTER II</w:t>
      </w:r>
    </w:p>
    <w:p w14:paraId="7656846D" w14:textId="77777777" w:rsidR="00247505" w:rsidRPr="003813E0" w:rsidRDefault="00247505" w:rsidP="00247505">
      <w:pPr>
        <w:spacing w:line="480" w:lineRule="auto"/>
        <w:jc w:val="both"/>
      </w:pPr>
      <w:r w:rsidRPr="003813E0">
        <w:rPr>
          <w:b/>
          <w:bCs/>
          <w:color w:val="000000"/>
        </w:rPr>
        <w:t>LITERATURE REVIEW</w:t>
      </w:r>
    </w:p>
    <w:p w14:paraId="70233DCF" w14:textId="77777777" w:rsidR="00247505" w:rsidRPr="003813E0" w:rsidRDefault="00247505" w:rsidP="00247505">
      <w:pPr>
        <w:spacing w:line="480" w:lineRule="auto"/>
        <w:jc w:val="both"/>
      </w:pPr>
      <w:r w:rsidRPr="003813E0">
        <w:rPr>
          <w:color w:val="000000"/>
        </w:rPr>
        <w:tab/>
        <w:t>As previously stated, the purpose of this study is to describe the relationship among body composition, osteoarthritis, physical activity, and pain upon movement using a nationally representative sample. The following chapter aims to provide background information from literature on the prevalence of pain in adults with and without osteoarthritis and how it varies with demographics, body composition, and physical activity. </w:t>
      </w:r>
    </w:p>
    <w:p w14:paraId="130723EA" w14:textId="77777777" w:rsidR="00247505" w:rsidRPr="004E4CEC" w:rsidRDefault="00247505" w:rsidP="00247505">
      <w:pPr>
        <w:spacing w:line="480" w:lineRule="auto"/>
        <w:jc w:val="both"/>
      </w:pPr>
      <w:r w:rsidRPr="004E4CEC">
        <w:rPr>
          <w:b/>
          <w:bCs/>
          <w:color w:val="000000"/>
        </w:rPr>
        <w:t>Effect of pain on QOL</w:t>
      </w:r>
    </w:p>
    <w:p w14:paraId="13F98946" w14:textId="77777777" w:rsidR="00247505" w:rsidRPr="003813E0" w:rsidRDefault="00247505" w:rsidP="00247505">
      <w:pPr>
        <w:spacing w:line="480" w:lineRule="auto"/>
        <w:ind w:firstLine="720"/>
        <w:jc w:val="both"/>
      </w:pPr>
      <w:r w:rsidRPr="003813E0">
        <w:rPr>
          <w:color w:val="000000"/>
        </w:rPr>
        <w:t>Chronic pain is defined as pain felt by an individual on most or all days for at least 6 months (</w:t>
      </w:r>
      <w:proofErr w:type="spellStart"/>
      <w:r w:rsidRPr="003813E0">
        <w:rPr>
          <w:color w:val="000000"/>
        </w:rPr>
        <w:t>Dahlhamer</w:t>
      </w:r>
      <w:proofErr w:type="spellEnd"/>
      <w:r w:rsidRPr="003813E0">
        <w:rPr>
          <w:color w:val="000000"/>
        </w:rPr>
        <w:t xml:space="preserve"> et al., 2018). A study done by </w:t>
      </w:r>
      <w:proofErr w:type="spellStart"/>
      <w:r w:rsidRPr="003813E0">
        <w:rPr>
          <w:color w:val="000000"/>
        </w:rPr>
        <w:t>Dahlhamer</w:t>
      </w:r>
      <w:proofErr w:type="spellEnd"/>
      <w:r w:rsidRPr="003813E0">
        <w:rPr>
          <w:color w:val="000000"/>
        </w:rPr>
        <w:t xml:space="preserve"> et al. (2018) analyzed the prevalence of chronic pain in the U.S. and found that nearly 20% of American adults report suffering from chronic pain. Consequently, chronic pain has been found to be related to poor health outcomes and diminished quality of life among adults in the U.S. It is also one of the leading causes of long-term disability in adults around the globe (</w:t>
      </w:r>
      <w:proofErr w:type="spellStart"/>
      <w:r w:rsidRPr="003813E0">
        <w:rPr>
          <w:color w:val="000000"/>
        </w:rPr>
        <w:t>Majedi</w:t>
      </w:r>
      <w:proofErr w:type="spellEnd"/>
      <w:r w:rsidRPr="003813E0">
        <w:rPr>
          <w:color w:val="000000"/>
        </w:rPr>
        <w:t xml:space="preserve"> et al., 2020). In particular, </w:t>
      </w:r>
      <w:proofErr w:type="spellStart"/>
      <w:r w:rsidRPr="003813E0">
        <w:rPr>
          <w:color w:val="000000"/>
        </w:rPr>
        <w:t>Wettstein</w:t>
      </w:r>
      <w:proofErr w:type="spellEnd"/>
      <w:r w:rsidRPr="003813E0">
        <w:rPr>
          <w:color w:val="000000"/>
        </w:rPr>
        <w:t xml:space="preserve"> et al. (2019) discuss that the lower back has been found to be one of the most common sites for chronic pain in adults and that it greatly affects one’s physical functioning. </w:t>
      </w:r>
    </w:p>
    <w:p w14:paraId="6713FDEC" w14:textId="77777777" w:rsidR="00247505" w:rsidRPr="003813E0" w:rsidRDefault="00247505" w:rsidP="00247505">
      <w:pPr>
        <w:spacing w:line="480" w:lineRule="auto"/>
        <w:ind w:firstLine="720"/>
        <w:jc w:val="both"/>
      </w:pPr>
      <w:r w:rsidRPr="003813E0">
        <w:rPr>
          <w:color w:val="000000"/>
        </w:rPr>
        <w:t>While pain can affect physical functioning, factors such as age, obesity, and physical activity also play a role in how individuals are affected by pain. Specifically, age and BMI have been observed as two of the most prominent risk factors for chronic pain (</w:t>
      </w:r>
      <w:proofErr w:type="spellStart"/>
      <w:r w:rsidRPr="003813E0">
        <w:rPr>
          <w:color w:val="000000"/>
        </w:rPr>
        <w:t>Majedi</w:t>
      </w:r>
      <w:proofErr w:type="spellEnd"/>
      <w:r w:rsidRPr="003813E0">
        <w:rPr>
          <w:color w:val="000000"/>
        </w:rPr>
        <w:t xml:space="preserve"> et al., 2020). In a study that examined quality of life and obesity, Cameron et al. (2012) found there to be an inverse relationship between obesity and quality of life. They discussed that as the BMI of an individual increased, both their physical and mental quality of life was decreased. In particular, the diminished physical quality of life was associated with increased</w:t>
      </w:r>
      <w:r>
        <w:rPr>
          <w:color w:val="000000"/>
        </w:rPr>
        <w:t xml:space="preserve"> </w:t>
      </w:r>
      <w:r w:rsidRPr="003813E0">
        <w:rPr>
          <w:color w:val="000000"/>
        </w:rPr>
        <w:t xml:space="preserve">bodily pain. </w:t>
      </w:r>
      <w:proofErr w:type="spellStart"/>
      <w:r w:rsidRPr="003813E0">
        <w:rPr>
          <w:color w:val="000000"/>
        </w:rPr>
        <w:t>Majedi</w:t>
      </w:r>
      <w:proofErr w:type="spellEnd"/>
      <w:r w:rsidRPr="003813E0">
        <w:rPr>
          <w:color w:val="000000"/>
        </w:rPr>
        <w:t xml:space="preserve"> et al. (2020) discuss that both age and BMI are also associated with longer pain duration in comparison to other </w:t>
      </w:r>
      <w:r w:rsidRPr="003813E0">
        <w:rPr>
          <w:color w:val="000000"/>
        </w:rPr>
        <w:lastRenderedPageBreak/>
        <w:t>risk factors. One possible reason for this is due to the inadequate treatments for chronic pain that are available for individuals within these populations, specifically the elderly. The use of prescription analgesics in older individuals can be dangerous, thus lower doses or over the counter medication is preferred. As a result, their pain may be undertreated which increases the duration of their pain. Dale and Stacey (2016) also discuss that for this reason it is important that other methods of treatment, like exercise, be considered for reducing chronic pain. </w:t>
      </w:r>
    </w:p>
    <w:p w14:paraId="0501291F" w14:textId="77777777" w:rsidR="00247505" w:rsidRPr="003813E0" w:rsidRDefault="00247505" w:rsidP="00247505">
      <w:pPr>
        <w:spacing w:line="480" w:lineRule="auto"/>
        <w:ind w:firstLine="720"/>
        <w:jc w:val="both"/>
      </w:pPr>
      <w:r w:rsidRPr="003813E0">
        <w:rPr>
          <w:color w:val="000000"/>
        </w:rPr>
        <w:t xml:space="preserve">The way pain functions within the human body </w:t>
      </w:r>
      <w:proofErr w:type="gramStart"/>
      <w:r w:rsidRPr="003813E0">
        <w:rPr>
          <w:color w:val="000000"/>
        </w:rPr>
        <w:t>is</w:t>
      </w:r>
      <w:proofErr w:type="gramEnd"/>
      <w:r w:rsidRPr="003813E0">
        <w:rPr>
          <w:color w:val="000000"/>
        </w:rPr>
        <w:t xml:space="preserve"> complex and thus, the way that it is treated must be complex as well. Dale and Stacey (2016) discuss that pain treatment often includes a combination of medication, lifestyle changes, physical activity, or rehab, among many other treatment options. While exercise and pharmacological treatments have proved to be useful mechanisms for treating pain; both are not without their drawbacks. Medication use for treatment of chronic pain poses an issue for several reasons including severe side effects and opioid dependency (Mitsi &amp; </w:t>
      </w:r>
      <w:proofErr w:type="spellStart"/>
      <w:r w:rsidRPr="003813E0">
        <w:rPr>
          <w:color w:val="000000"/>
        </w:rPr>
        <w:t>Zachariou</w:t>
      </w:r>
      <w:proofErr w:type="spellEnd"/>
      <w:r w:rsidRPr="003813E0">
        <w:rPr>
          <w:color w:val="000000"/>
        </w:rPr>
        <w:t xml:space="preserve">, 2016). Some of the most common negative side effects that can be induced by pain medications are depressed energy levels, </w:t>
      </w:r>
      <w:proofErr w:type="spellStart"/>
      <w:r w:rsidRPr="003813E0">
        <w:rPr>
          <w:color w:val="000000"/>
        </w:rPr>
        <w:t>mobilily</w:t>
      </w:r>
      <w:proofErr w:type="spellEnd"/>
      <w:r w:rsidRPr="003813E0">
        <w:rPr>
          <w:color w:val="000000"/>
        </w:rPr>
        <w:t xml:space="preserve">, ability to exercise and even memory. This occurs because most medications that are used to treat chronic pain work as central nervous system depressants within the body. Typically to minimize these depressing effects individuals will take a lower medication dosage, which ultimately leads to less pain relief; a similar effect of that seen in elderly populations (Dale &amp; Stacey, 2016). As a result, exercise, among other methods of treatment have been relied on to supplement or replace pain medication. Vaegter et al. (2020) discuss a phenomenon known as exercise induced hypoalgesia (EIH), which refers to the reduction in pain sensitivity that has been observed in individuals following a bout of exercise. This trend has been consistently observed in individuals who lack chronic pain conditions (Vaegter et al., 2016). However, in individuals with chronic pain conditions this same response is not as </w:t>
      </w:r>
      <w:r w:rsidRPr="003813E0">
        <w:rPr>
          <w:color w:val="000000"/>
        </w:rPr>
        <w:lastRenderedPageBreak/>
        <w:t>prominent. Physical activity in those with chronic pain conditions, such as OA, can even work to exacerbate pain rather than reduce it (Vaegter et al., 2020). For this reason, when considering elderly and obese populations, where chronic pain conditions are more common, exercise may be not be the most effective method of pain reduction. Thus, as pain has such a significant effect on so many individual’s quality of life</w:t>
      </w:r>
      <w:r>
        <w:rPr>
          <w:color w:val="000000"/>
        </w:rPr>
        <w:t xml:space="preserve">, </w:t>
      </w:r>
      <w:r w:rsidRPr="003813E0">
        <w:rPr>
          <w:color w:val="000000"/>
        </w:rPr>
        <w:t>it is imperative that we understand how it functions in a variety of populations so that ideal treatment methods can be identified for each of those populations. </w:t>
      </w:r>
      <w:r>
        <w:rPr>
          <w:color w:val="000000"/>
        </w:rPr>
        <w:t xml:space="preserve">Secondly, studies like the one conducted by Vaegter et al. (2016) utilize only a small sample of subjects, thus utilizing a larger sample size is also imperative for understanding pain in a more comprehensive manner. </w:t>
      </w:r>
    </w:p>
    <w:p w14:paraId="18932A55" w14:textId="3342FD73" w:rsidR="00247505" w:rsidRPr="004E4CEC" w:rsidRDefault="00247505" w:rsidP="00247505">
      <w:pPr>
        <w:spacing w:line="480" w:lineRule="auto"/>
        <w:jc w:val="both"/>
      </w:pPr>
      <w:r w:rsidRPr="004E4CEC">
        <w:rPr>
          <w:b/>
          <w:bCs/>
          <w:color w:val="000000"/>
        </w:rPr>
        <w:t xml:space="preserve">Prevalence of </w:t>
      </w:r>
      <w:r w:rsidR="00AF4A2A" w:rsidRPr="004E4CEC">
        <w:rPr>
          <w:b/>
          <w:bCs/>
          <w:color w:val="000000"/>
        </w:rPr>
        <w:t>Pain on Activity</w:t>
      </w:r>
    </w:p>
    <w:p w14:paraId="60CBCED3" w14:textId="77777777" w:rsidR="00247505" w:rsidRPr="003813E0" w:rsidRDefault="00247505" w:rsidP="00247505">
      <w:pPr>
        <w:spacing w:line="480" w:lineRule="auto"/>
        <w:jc w:val="both"/>
      </w:pPr>
      <w:r w:rsidRPr="003813E0">
        <w:rPr>
          <w:color w:val="000000"/>
        </w:rPr>
        <w:tab/>
        <w:t xml:space="preserve">Both acute and chronic pain are associated with physical disability in some capacity. While acute pain has been observed to affect more individuals than chronic pain, chronic pain tends to be more severe and debilitating in nature (McCarthy et al., 2009). Nevertheless, </w:t>
      </w:r>
      <w:proofErr w:type="spellStart"/>
      <w:r w:rsidRPr="003813E0">
        <w:rPr>
          <w:color w:val="000000"/>
        </w:rPr>
        <w:t>Nahin</w:t>
      </w:r>
      <w:proofErr w:type="spellEnd"/>
      <w:r w:rsidRPr="003813E0">
        <w:rPr>
          <w:color w:val="000000"/>
        </w:rPr>
        <w:t xml:space="preserve"> (2012) discusses that roughly 126 million Americans experience pain within any given 3</w:t>
      </w:r>
      <w:r>
        <w:rPr>
          <w:color w:val="000000"/>
        </w:rPr>
        <w:t>-</w:t>
      </w:r>
      <w:r w:rsidRPr="003813E0">
        <w:rPr>
          <w:color w:val="000000"/>
        </w:rPr>
        <w:t xml:space="preserve">month period. As pain contributes to physical disability, it has been found to have a profound impact on movement. </w:t>
      </w:r>
      <w:proofErr w:type="spellStart"/>
      <w:r w:rsidRPr="003813E0">
        <w:rPr>
          <w:color w:val="000000"/>
        </w:rPr>
        <w:t>Neige</w:t>
      </w:r>
      <w:proofErr w:type="spellEnd"/>
      <w:r w:rsidRPr="003813E0">
        <w:rPr>
          <w:color w:val="000000"/>
        </w:rPr>
        <w:t xml:space="preserve"> et al. (2018) take an interesting approach in discussing how even the anticipation of pain can affect movement. Particularly in individuals with acute pain, they find that protective mechanisms and movements are implemented to limit pain felt while being active. They go on to discuss that these protective actions may temporarily lead to pain relief on movement; however, they can possibly create lasting consequences within the body leading to chronic pain. </w:t>
      </w:r>
    </w:p>
    <w:p w14:paraId="05CA6D97" w14:textId="77777777" w:rsidR="00247505" w:rsidRPr="003813E0" w:rsidRDefault="00247505" w:rsidP="00247505">
      <w:pPr>
        <w:spacing w:line="480" w:lineRule="auto"/>
        <w:jc w:val="both"/>
      </w:pPr>
      <w:r w:rsidRPr="003813E0">
        <w:rPr>
          <w:color w:val="000000"/>
        </w:rPr>
        <w:tab/>
        <w:t xml:space="preserve">While pain of movement affects individuals from several different population groups, the likelihood of being afflicted by pain does vary depending on certain demographic variables; many of which are not within the individual’s control. One population group in particular that most </w:t>
      </w:r>
      <w:r w:rsidRPr="003813E0">
        <w:rPr>
          <w:color w:val="000000"/>
        </w:rPr>
        <w:lastRenderedPageBreak/>
        <w:t xml:space="preserve">commonly experiences pain on movement is elderly populations. Like mentioned earlier in this chapter, </w:t>
      </w:r>
      <w:proofErr w:type="spellStart"/>
      <w:r w:rsidRPr="003813E0">
        <w:rPr>
          <w:color w:val="000000"/>
        </w:rPr>
        <w:t>Majedi</w:t>
      </w:r>
      <w:proofErr w:type="spellEnd"/>
      <w:r w:rsidRPr="003813E0">
        <w:rPr>
          <w:color w:val="000000"/>
        </w:rPr>
        <w:t xml:space="preserve"> et al. (2020) discuss that elderly individuals with chronic pain experience longer duration of pain in part due to their inability to rely on medications as treatment methods. Blyth and Noguchi (2017) delve into the relationship among aging and pain prevalence. As individuals age there is increased likelihood that they will develop one or more medical conditions that might contribute to pain and increased disability. In fact, they discuss a systematic review conducted by </w:t>
      </w:r>
      <w:proofErr w:type="spellStart"/>
      <w:r w:rsidRPr="003813E0">
        <w:rPr>
          <w:color w:val="000000"/>
        </w:rPr>
        <w:t>Marengoni</w:t>
      </w:r>
      <w:proofErr w:type="spellEnd"/>
      <w:r w:rsidRPr="003813E0">
        <w:rPr>
          <w:color w:val="000000"/>
        </w:rPr>
        <w:t xml:space="preserve"> et al. (2011) that noted at least 55% of individuals aged 60 or higher had 2 or more medical conditions. Despite pain being more prevalent in aging populations, </w:t>
      </w:r>
      <w:proofErr w:type="spellStart"/>
      <w:r w:rsidRPr="003813E0">
        <w:rPr>
          <w:color w:val="000000"/>
        </w:rPr>
        <w:t>Wettstein</w:t>
      </w:r>
      <w:proofErr w:type="spellEnd"/>
      <w:r w:rsidRPr="003813E0">
        <w:rPr>
          <w:color w:val="000000"/>
        </w:rPr>
        <w:t xml:space="preserve"> et al. (2019) found that the rated intensity of the pain did not change with age. They also report a higher reported quality of life in older individuals with chronic pain. This is attributed to changes in the way pain is experienced and perceived as individuals age. </w:t>
      </w:r>
    </w:p>
    <w:p w14:paraId="41DAF3C6" w14:textId="5AF192CC" w:rsidR="00247505" w:rsidRPr="00F6262F" w:rsidRDefault="00247505" w:rsidP="00247505">
      <w:pPr>
        <w:spacing w:line="480" w:lineRule="auto"/>
        <w:jc w:val="both"/>
        <w:rPr>
          <w:color w:val="000000"/>
        </w:rPr>
      </w:pPr>
      <w:r w:rsidRPr="003813E0">
        <w:rPr>
          <w:color w:val="000000"/>
        </w:rPr>
        <w:tab/>
        <w:t xml:space="preserve">In addition to age, pain also varies depending on </w:t>
      </w:r>
      <w:r w:rsidR="004E4CEC">
        <w:rPr>
          <w:color w:val="000000"/>
        </w:rPr>
        <w:t>sex</w:t>
      </w:r>
      <w:r w:rsidRPr="003813E0">
        <w:rPr>
          <w:color w:val="000000"/>
        </w:rPr>
        <w:t xml:space="preserve">. In a study conducted by McCarthy et al. (2009), chronic pain was found to be more prevalent in females compared to males. </w:t>
      </w:r>
      <w:proofErr w:type="spellStart"/>
      <w:r w:rsidRPr="003813E0">
        <w:rPr>
          <w:color w:val="000000"/>
        </w:rPr>
        <w:t>Schopper</w:t>
      </w:r>
      <w:proofErr w:type="spellEnd"/>
      <w:r w:rsidRPr="003813E0">
        <w:rPr>
          <w:color w:val="000000"/>
        </w:rPr>
        <w:t xml:space="preserve"> et al. (2013) discuss that this can be attributed to genetic, hormonal, or anatomic differences; however, there is still little known about the exact mechanisms within the body that are responsible for these discrepancies. Several studies have found that while both men and women may experience chronic pain, women are more likely to report pain and seek treatment for it than men are. Demographics from a study conducted in a pain neurologist’s clinic showed that over the course of 1 year, roughly 66% of the patients seen were women (Santos Ferreira &amp; </w:t>
      </w:r>
      <w:proofErr w:type="spellStart"/>
      <w:r w:rsidRPr="003813E0">
        <w:rPr>
          <w:color w:val="000000"/>
        </w:rPr>
        <w:t>Speciali</w:t>
      </w:r>
      <w:proofErr w:type="spellEnd"/>
      <w:r w:rsidRPr="003813E0">
        <w:rPr>
          <w:color w:val="000000"/>
        </w:rPr>
        <w:t>, 2014). This could be due in part to the fact that when women experience pain, they tend to experience it at a greater intensity (Mills et al., 2011). Additionally, when compared to males with pain, females with pain were more likely to develop negative coping mechanisms, ultimately leading to higher instances of chronic pain and decreased quality of life (El-</w:t>
      </w:r>
      <w:proofErr w:type="spellStart"/>
      <w:r w:rsidRPr="003813E0">
        <w:rPr>
          <w:color w:val="000000"/>
        </w:rPr>
        <w:t>Shormilisy</w:t>
      </w:r>
      <w:proofErr w:type="spellEnd"/>
      <w:r w:rsidRPr="003813E0">
        <w:rPr>
          <w:color w:val="000000"/>
        </w:rPr>
        <w:t xml:space="preserve"> et al., 2015). </w:t>
      </w:r>
    </w:p>
    <w:p w14:paraId="07C6DC6F" w14:textId="77777777" w:rsidR="00247505" w:rsidRPr="004E4CEC" w:rsidRDefault="00247505" w:rsidP="00247505">
      <w:pPr>
        <w:jc w:val="both"/>
      </w:pPr>
      <w:r w:rsidRPr="004E4CEC">
        <w:rPr>
          <w:b/>
          <w:bCs/>
          <w:color w:val="000000"/>
        </w:rPr>
        <w:lastRenderedPageBreak/>
        <w:t>Pain Perception</w:t>
      </w:r>
    </w:p>
    <w:p w14:paraId="73033835" w14:textId="77777777" w:rsidR="00247505" w:rsidRPr="003813E0" w:rsidRDefault="00247505" w:rsidP="00247505">
      <w:pPr>
        <w:jc w:val="both"/>
      </w:pPr>
    </w:p>
    <w:p w14:paraId="5D9037B2" w14:textId="77777777" w:rsidR="00247505" w:rsidRPr="003813E0" w:rsidRDefault="00247505" w:rsidP="00247505">
      <w:pPr>
        <w:spacing w:line="480" w:lineRule="auto"/>
        <w:jc w:val="both"/>
      </w:pPr>
      <w:r w:rsidRPr="003813E0">
        <w:rPr>
          <w:b/>
          <w:bCs/>
          <w:color w:val="000000"/>
        </w:rPr>
        <w:tab/>
      </w:r>
      <w:r w:rsidRPr="003813E0">
        <w:rPr>
          <w:color w:val="000000"/>
        </w:rPr>
        <w:t>Nearly 20% of all American adults will experience chronic pain at some point in their life, because of this it is important to understand the underlying mechanisms of pain and pain modulation so that preventative measures can be made moving forward. Pain pathways in the body are comprised of a complex system that functions to detect the noxious stimulus and generate a protective response to that stimulus (</w:t>
      </w:r>
      <w:proofErr w:type="spellStart"/>
      <w:r w:rsidRPr="003813E0">
        <w:rPr>
          <w:color w:val="000000"/>
        </w:rPr>
        <w:t>Bourne</w:t>
      </w:r>
      <w:proofErr w:type="spellEnd"/>
      <w:r w:rsidRPr="003813E0">
        <w:rPr>
          <w:color w:val="000000"/>
        </w:rPr>
        <w:t xml:space="preserve"> et al., 2014). An individual perceives pain when specialized sensory receptors called nociceptors transmit an electrical signal from the periphery to the central tissues within the body. The generation of an electrical stimulus occurs when a peripheral nociceptor detects a noxious stimulus (Black, 2012). There are two primary types of afferent nerve fibers that detect a noxious stimulus: Unmyelinated C fibers and myelinated A</w:t>
      </w:r>
      <w:r w:rsidRPr="003813E0">
        <w:rPr>
          <w:rFonts w:ascii="Cambria Math" w:hAnsi="Cambria Math" w:cs="Cambria Math"/>
          <w:color w:val="000000"/>
        </w:rPr>
        <w:t>𝛿</w:t>
      </w:r>
      <w:r w:rsidRPr="003813E0">
        <w:rPr>
          <w:color w:val="000000"/>
        </w:rPr>
        <w:t xml:space="preserve"> fibers (</w:t>
      </w:r>
      <w:proofErr w:type="spellStart"/>
      <w:r w:rsidRPr="003813E0">
        <w:rPr>
          <w:color w:val="000000"/>
        </w:rPr>
        <w:t>Kuner</w:t>
      </w:r>
      <w:proofErr w:type="spellEnd"/>
      <w:r w:rsidRPr="003813E0">
        <w:rPr>
          <w:color w:val="000000"/>
        </w:rPr>
        <w:t>, 2010). These nociceptors can be excited by mechanical, thermal or chemical noxious stimuli. A</w:t>
      </w:r>
      <w:r w:rsidRPr="003813E0">
        <w:rPr>
          <w:rFonts w:ascii="Cambria Math" w:hAnsi="Cambria Math" w:cs="Cambria Math"/>
          <w:color w:val="000000"/>
        </w:rPr>
        <w:t>𝛿</w:t>
      </w:r>
      <w:r w:rsidRPr="003813E0">
        <w:rPr>
          <w:color w:val="000000"/>
        </w:rPr>
        <w:t xml:space="preserve"> fibers are activated in response to mechanical or thermal stimuli and elicit a sharp, quick pain response; whereas C fibers are activated by chemical stimuli and elicit a slow burning or aching pain (</w:t>
      </w:r>
      <w:proofErr w:type="spellStart"/>
      <w:r w:rsidRPr="003813E0">
        <w:rPr>
          <w:color w:val="000000"/>
        </w:rPr>
        <w:t>Bourne</w:t>
      </w:r>
      <w:proofErr w:type="spellEnd"/>
      <w:r w:rsidRPr="003813E0">
        <w:rPr>
          <w:color w:val="000000"/>
        </w:rPr>
        <w:t xml:space="preserve"> et al., 2014). The mode of transmission and destination of the stimulus is dependent on which type of afferent fiber was activated. For example, when a C fiber is activated by a noxious stimulus, the signal travels down the paleospinothalamic tract to the reticular formation, periaqueductal gray (PAG), hypothalamus, amygdala, and portions of the thalamus (Black, 2012).</w:t>
      </w:r>
    </w:p>
    <w:p w14:paraId="00B59DFB" w14:textId="77777777" w:rsidR="00247505" w:rsidRPr="003813E0" w:rsidRDefault="00247505" w:rsidP="00247505">
      <w:pPr>
        <w:spacing w:line="480" w:lineRule="auto"/>
        <w:ind w:firstLine="720"/>
        <w:jc w:val="both"/>
      </w:pPr>
      <w:r w:rsidRPr="003813E0">
        <w:rPr>
          <w:color w:val="000000"/>
        </w:rPr>
        <w:t xml:space="preserve">The inputs that are received and transmitted by these nociceptors play a role in modulating the pain within the body. This modulation of pain can be represented by both hyperalgesia and hypoalgesia (Black, 2012). Pain modulation within the nociceptive pathways is multidimensional and can occur in response to a variety of stimuli. A theory known as the Gate-control theory, originally coined by </w:t>
      </w:r>
      <w:proofErr w:type="spellStart"/>
      <w:r w:rsidRPr="003813E0">
        <w:rPr>
          <w:color w:val="000000"/>
        </w:rPr>
        <w:t>Melzack</w:t>
      </w:r>
      <w:proofErr w:type="spellEnd"/>
      <w:r w:rsidRPr="003813E0">
        <w:rPr>
          <w:color w:val="000000"/>
        </w:rPr>
        <w:t xml:space="preserve"> and Wall (1965), states that non-nociceptive afferent fibers within </w:t>
      </w:r>
      <w:r w:rsidRPr="003813E0">
        <w:rPr>
          <w:color w:val="000000"/>
        </w:rPr>
        <w:lastRenderedPageBreak/>
        <w:t>the body provide input to interneurons in the dorsal horn which activates them. This in turn works to inhibit nociceptor activity, which blunts their input from the peripheral nervous system, thus blunting the pain perception.</w:t>
      </w:r>
    </w:p>
    <w:p w14:paraId="527A5264" w14:textId="77777777" w:rsidR="00247505" w:rsidRPr="003813E0" w:rsidRDefault="00247505" w:rsidP="00247505">
      <w:pPr>
        <w:spacing w:line="480" w:lineRule="auto"/>
        <w:ind w:firstLine="720"/>
        <w:jc w:val="both"/>
      </w:pPr>
      <w:r w:rsidRPr="003813E0">
        <w:rPr>
          <w:color w:val="000000"/>
        </w:rPr>
        <w:t xml:space="preserve">In a review conducted by Mitsi and </w:t>
      </w:r>
      <w:proofErr w:type="spellStart"/>
      <w:r w:rsidRPr="003813E0">
        <w:rPr>
          <w:color w:val="000000"/>
        </w:rPr>
        <w:t>Zachariou</w:t>
      </w:r>
      <w:proofErr w:type="spellEnd"/>
      <w:r w:rsidRPr="003813E0">
        <w:rPr>
          <w:color w:val="000000"/>
        </w:rPr>
        <w:t xml:space="preserve"> (2016), pain modulation and perception in chronic pain individuals is discussed.  They propose that the midbrain dopamine center serves a critical role in the modulation of pain (Mitzi and </w:t>
      </w:r>
      <w:proofErr w:type="spellStart"/>
      <w:r w:rsidRPr="003813E0">
        <w:rPr>
          <w:color w:val="000000"/>
        </w:rPr>
        <w:t>Zachariou</w:t>
      </w:r>
      <w:proofErr w:type="spellEnd"/>
      <w:r w:rsidRPr="003813E0">
        <w:rPr>
          <w:color w:val="000000"/>
        </w:rPr>
        <w:t xml:space="preserve">, 2016). The mesolimbic dopamine system has been shown to modulate how nociceptive stimuli is perceived within the body as well as various symptoms associated with chronic pain (Mitzi and </w:t>
      </w:r>
      <w:proofErr w:type="spellStart"/>
      <w:r w:rsidRPr="003813E0">
        <w:rPr>
          <w:color w:val="000000"/>
        </w:rPr>
        <w:t>Zachariou</w:t>
      </w:r>
      <w:proofErr w:type="spellEnd"/>
      <w:r w:rsidRPr="003813E0">
        <w:rPr>
          <w:color w:val="000000"/>
        </w:rPr>
        <w:t xml:space="preserve">, 2016). In a study conducted by Dennis and </w:t>
      </w:r>
      <w:proofErr w:type="spellStart"/>
      <w:r w:rsidRPr="003813E0">
        <w:rPr>
          <w:color w:val="000000"/>
        </w:rPr>
        <w:t>Melzack</w:t>
      </w:r>
      <w:proofErr w:type="spellEnd"/>
      <w:r w:rsidRPr="003813E0">
        <w:rPr>
          <w:color w:val="000000"/>
        </w:rPr>
        <w:t xml:space="preserve"> (1983), dopaminergic agents were found to lessen an individual’s perception of pain; however, in the case that this system is defective the perception of pain can be exacerbated (</w:t>
      </w:r>
      <w:proofErr w:type="spellStart"/>
      <w:r w:rsidRPr="003813E0">
        <w:rPr>
          <w:color w:val="000000"/>
        </w:rPr>
        <w:t>Saadeé</w:t>
      </w:r>
      <w:proofErr w:type="spellEnd"/>
      <w:r w:rsidRPr="003813E0">
        <w:rPr>
          <w:color w:val="000000"/>
        </w:rPr>
        <w:t xml:space="preserve"> </w:t>
      </w:r>
      <w:proofErr w:type="spellStart"/>
      <w:r w:rsidRPr="003813E0">
        <w:rPr>
          <w:color w:val="000000"/>
        </w:rPr>
        <w:t>Atweh</w:t>
      </w:r>
      <w:proofErr w:type="spellEnd"/>
      <w:r w:rsidRPr="003813E0">
        <w:rPr>
          <w:color w:val="000000"/>
        </w:rPr>
        <w:t xml:space="preserve"> et al., 1997).</w:t>
      </w:r>
    </w:p>
    <w:p w14:paraId="39B7A69D" w14:textId="77777777" w:rsidR="00247505" w:rsidRPr="004E4CEC" w:rsidRDefault="00247505" w:rsidP="00247505">
      <w:pPr>
        <w:spacing w:line="480" w:lineRule="auto"/>
        <w:jc w:val="both"/>
      </w:pPr>
      <w:r w:rsidRPr="004E4CEC">
        <w:rPr>
          <w:b/>
          <w:bCs/>
          <w:color w:val="000000"/>
        </w:rPr>
        <w:t>Prevalence of Osteoarthritis</w:t>
      </w:r>
    </w:p>
    <w:p w14:paraId="557FA3A2" w14:textId="77777777" w:rsidR="00247505" w:rsidRPr="003813E0" w:rsidRDefault="00247505" w:rsidP="00247505">
      <w:pPr>
        <w:spacing w:line="480" w:lineRule="auto"/>
        <w:jc w:val="both"/>
      </w:pPr>
      <w:r w:rsidRPr="003813E0">
        <w:rPr>
          <w:color w:val="000000"/>
        </w:rPr>
        <w:tab/>
        <w:t>When examining chronic pain populations, it is a common find that many individuals have at least 1 chronic disease or comorbidity that contributes to their pain. Currently, the most prevalent chronic joint disease in adult populations is osteoarthritis (OA) (O’Neill &amp; Felson, 2018). OA is characterized as degenerative disease involving the articular cartilage. One of the most common symptoms that is associated with this disease is pain. Individuals with OA often experience pain in their joints as well as stiffness, which can contribute to loss of function and decreased quality of life (</w:t>
      </w:r>
      <w:proofErr w:type="spellStart"/>
      <w:r w:rsidRPr="003813E0">
        <w:rPr>
          <w:color w:val="000000"/>
        </w:rPr>
        <w:t>Sinusas</w:t>
      </w:r>
      <w:proofErr w:type="spellEnd"/>
      <w:r w:rsidRPr="003813E0">
        <w:rPr>
          <w:color w:val="000000"/>
        </w:rPr>
        <w:t xml:space="preserve">, 2012). The most common risk factors associated with OA include being female, age, obesity, and genetics. OA considered a geriatric disease as it is most prevalent in elderly or middle-aged populations (Shekhar et al., 2015). The most frequently affected joints are typically the knees, hips, hands, and spine. Interestingly, the disease often affects joints unilaterally, </w:t>
      </w:r>
      <w:r w:rsidRPr="003813E0">
        <w:rPr>
          <w:color w:val="000000"/>
        </w:rPr>
        <w:lastRenderedPageBreak/>
        <w:t>meaning that one side of the body could be functioning normally while the other is debilitated (</w:t>
      </w:r>
      <w:proofErr w:type="spellStart"/>
      <w:r w:rsidRPr="003813E0">
        <w:rPr>
          <w:color w:val="000000"/>
        </w:rPr>
        <w:t>Sinusas</w:t>
      </w:r>
      <w:proofErr w:type="spellEnd"/>
      <w:r w:rsidRPr="003813E0">
        <w:rPr>
          <w:color w:val="000000"/>
        </w:rPr>
        <w:t>, 2012).</w:t>
      </w:r>
    </w:p>
    <w:p w14:paraId="1CB56C73" w14:textId="77777777" w:rsidR="00247505" w:rsidRPr="003813E0" w:rsidRDefault="00247505" w:rsidP="00247505">
      <w:pPr>
        <w:spacing w:line="480" w:lineRule="auto"/>
        <w:jc w:val="both"/>
      </w:pPr>
      <w:r w:rsidRPr="003813E0">
        <w:rPr>
          <w:color w:val="000000"/>
        </w:rPr>
        <w:tab/>
        <w:t>With OA, the mechanisms that contribute to pain are not fully understood and vary from individual to individual. It is known that typically the pain is focused in the affected joint, however, it can occasionally radiate toward nearby joints (O’Neill &amp; Felson, 2018). It is also important to note that OA is a disease that affects the joint as a whole. This includes not only the cartilage, but the surrounding bone and synovium as well (Dieppe, 2004). While pain is considered the most prominent symptom associated with OA, it usually only occurs intermittently in the early stages of the disease. </w:t>
      </w:r>
    </w:p>
    <w:p w14:paraId="770E2F25" w14:textId="77777777" w:rsidR="00247505" w:rsidRPr="003813E0" w:rsidRDefault="00247505" w:rsidP="00247505">
      <w:pPr>
        <w:spacing w:line="480" w:lineRule="auto"/>
        <w:ind w:firstLine="720"/>
        <w:jc w:val="both"/>
      </w:pPr>
      <w:r w:rsidRPr="003813E0">
        <w:rPr>
          <w:color w:val="000000"/>
        </w:rPr>
        <w:t xml:space="preserve">In order to get a better understanding of the mechanisms of pain in OA, it is important to observe the structural changes that occur and the nerve mechanisms that are affected (O’Neill &amp; Felson, 2018). </w:t>
      </w:r>
      <w:proofErr w:type="spellStart"/>
      <w:r w:rsidRPr="003813E0">
        <w:rPr>
          <w:color w:val="000000"/>
        </w:rPr>
        <w:t>Loeser</w:t>
      </w:r>
      <w:proofErr w:type="spellEnd"/>
      <w:r w:rsidRPr="003813E0">
        <w:rPr>
          <w:color w:val="000000"/>
        </w:rPr>
        <w:t xml:space="preserve"> et al. (2012) discuss the changes that occur within the articular cartilage and how it affects the joint as a whole. In individuals without OA, the articular cartilage functions as a smooth surface that facilitates efficient joint movement. Whereas, in OA patients, cells called chondrocytes are activated which ultimately leads to an injury like response within the joint. This causes events such as cartilage loss, cartilage calcification, and bone spur formation to occur. While cartilage loss is a significant structural change that occurs with OA, articular cartilage receives no neural innervation and thus cannot be a source of pain in moderate or mild cases of the disease. Thus, O’Neill &amp; Felson (2018) discuss several studies that utilized MRI on OA patients both with and without pain to determine possible structural sources of pain. Felson et al. (2001) discuss that one structural change associated with pain in </w:t>
      </w:r>
      <w:r>
        <w:rPr>
          <w:color w:val="000000"/>
        </w:rPr>
        <w:t xml:space="preserve">401 </w:t>
      </w:r>
      <w:r w:rsidRPr="003813E0">
        <w:rPr>
          <w:color w:val="000000"/>
        </w:rPr>
        <w:t xml:space="preserve">OA patients are bone marrow lesions. They found that nearly 77% of individuals who reported knee pain also had bone marrow lesions. Hill et al. (2007) also discuss that changes in synovitis in OA patients seen on MRI were associated </w:t>
      </w:r>
      <w:r w:rsidRPr="003813E0">
        <w:rPr>
          <w:color w:val="000000"/>
        </w:rPr>
        <w:lastRenderedPageBreak/>
        <w:t>with knee pain severity. In particular, they found that the more the synovitis increased the more the pain increased. </w:t>
      </w:r>
    </w:p>
    <w:p w14:paraId="7633A78F" w14:textId="77777777" w:rsidR="00247505" w:rsidRPr="004E4CEC" w:rsidRDefault="00247505" w:rsidP="00247505">
      <w:pPr>
        <w:spacing w:line="480" w:lineRule="auto"/>
        <w:ind w:firstLine="720"/>
        <w:jc w:val="both"/>
      </w:pPr>
      <w:r w:rsidRPr="003813E0">
        <w:rPr>
          <w:color w:val="000000"/>
        </w:rPr>
        <w:t>While the articular cartilage itself receives no neural innervation, there are still nociceptors that are found within the joint which can elicit pain. The nociceptors within the joint of OA patients can be stimulated both by chemical and mechanical stimuli to create a pain response. When a nociceptor is stimulated, there is an action potential that is generated and transmitted through C fibers and A</w:t>
      </w:r>
      <w:r w:rsidRPr="003813E0">
        <w:rPr>
          <w:rFonts w:ascii="Cambria Math" w:hAnsi="Cambria Math" w:cs="Cambria Math"/>
          <w:color w:val="000000"/>
        </w:rPr>
        <w:t>𝛿</w:t>
      </w:r>
      <w:r w:rsidRPr="003813E0">
        <w:rPr>
          <w:color w:val="000000"/>
        </w:rPr>
        <w:t xml:space="preserve"> fibers. When a signal is transmitted via C fibers a slow, burning pain sensation is elicited, whereas A</w:t>
      </w:r>
      <w:r w:rsidRPr="003813E0">
        <w:rPr>
          <w:rFonts w:ascii="Cambria Math" w:hAnsi="Cambria Math" w:cs="Cambria Math"/>
          <w:color w:val="000000"/>
        </w:rPr>
        <w:t>𝛿</w:t>
      </w:r>
      <w:r w:rsidRPr="003813E0">
        <w:rPr>
          <w:color w:val="000000"/>
        </w:rPr>
        <w:t xml:space="preserve"> fibers transmit sharp pain. These afferent fibers are responsible for transmitting pain signals from the joint to the spinal cord where the signal is processed. Once the signal is processed, descending fibers work to modulate the pain signals in the spinal cord. When inflammation or injury occurs with OA, it can lower the required threshold to excite the nerves in the joint, thus increasing the responsiveness of the nociceptors. As a result, individuals with OA can be more likely to experience heightened levels of pain and sensitivity in the afflicted joint (O’Neill &amp; Felson, 2018). Although some mechanisms of the way pain functions in OA patients is thought to be understood, there is still much to be learned about how this disease functions within the body. Gaining a thorough understanding of these pain mechanisms is crucial in providing better treatments and therapy that can </w:t>
      </w:r>
      <w:r w:rsidRPr="004E4CEC">
        <w:rPr>
          <w:color w:val="000000"/>
        </w:rPr>
        <w:t>improve physical functioning. </w:t>
      </w:r>
    </w:p>
    <w:p w14:paraId="36B00260" w14:textId="77777777" w:rsidR="00247505" w:rsidRPr="004E4CEC" w:rsidRDefault="00247505" w:rsidP="00247505">
      <w:pPr>
        <w:jc w:val="both"/>
        <w:rPr>
          <w:b/>
          <w:bCs/>
          <w:color w:val="000000"/>
        </w:rPr>
      </w:pPr>
      <w:r w:rsidRPr="004E4CEC">
        <w:rPr>
          <w:b/>
          <w:bCs/>
          <w:color w:val="000000"/>
        </w:rPr>
        <w:t>Relationship Among Body Composition and Pain</w:t>
      </w:r>
      <w:r w:rsidRPr="004E4CEC">
        <w:rPr>
          <w:b/>
          <w:bCs/>
          <w:color w:val="000000"/>
        </w:rPr>
        <w:tab/>
      </w:r>
    </w:p>
    <w:p w14:paraId="1957E63C" w14:textId="77777777" w:rsidR="00247505" w:rsidRPr="003813E0" w:rsidRDefault="00247505" w:rsidP="00247505">
      <w:pPr>
        <w:jc w:val="both"/>
        <w:rPr>
          <w:u w:val="single"/>
        </w:rPr>
      </w:pPr>
    </w:p>
    <w:p w14:paraId="5C28389A" w14:textId="0E743E26" w:rsidR="00247505" w:rsidRPr="003813E0" w:rsidRDefault="00247505" w:rsidP="00247505">
      <w:pPr>
        <w:spacing w:line="480" w:lineRule="auto"/>
        <w:ind w:firstLine="720"/>
        <w:jc w:val="both"/>
      </w:pPr>
      <w:r w:rsidRPr="003813E0">
        <w:rPr>
          <w:color w:val="000000"/>
        </w:rPr>
        <w:t xml:space="preserve">Just as age, </w:t>
      </w:r>
      <w:r w:rsidR="00463812">
        <w:rPr>
          <w:color w:val="000000"/>
        </w:rPr>
        <w:t>sex</w:t>
      </w:r>
      <w:r w:rsidRPr="003813E0">
        <w:rPr>
          <w:color w:val="000000"/>
        </w:rPr>
        <w:t xml:space="preserve">, and OA play a role in whether or not an individual may experience daily pain, body composition can affect pain as well. The weight of an individual has been shown to have a profound impact on the musculoskeletal system. Particularly, in obese populations the prevalence of musculoskeletal conditions is greater than in non-obese population groups. It is important to understand how obesity affects pain, as obesity rates are continuing to increase </w:t>
      </w:r>
      <w:r w:rsidRPr="003813E0">
        <w:rPr>
          <w:color w:val="000000"/>
        </w:rPr>
        <w:lastRenderedPageBreak/>
        <w:t>worldwide. Currently obesity affects roughly a third of North American adults (Price et al., 2013).  Body mass index (BMI) is utilized to quantify obesity. Obesity is grouped into three classes based on BMI: class I, class II, and class III. Classes II and III are generally more severe in nature and are associated with more comorbidities and health complications. The mechanical stress placed on the musculoskeletal system in obese individuals lead to chronic pain and limited functional capacity (</w:t>
      </w:r>
      <w:proofErr w:type="spellStart"/>
      <w:r w:rsidRPr="003813E0">
        <w:rPr>
          <w:color w:val="000000"/>
        </w:rPr>
        <w:t>Arranz</w:t>
      </w:r>
      <w:proofErr w:type="spellEnd"/>
      <w:r w:rsidRPr="003813E0">
        <w:rPr>
          <w:color w:val="000000"/>
        </w:rPr>
        <w:t xml:space="preserve"> et al., 2013). Seaman (2013) discusses one factor that contributes to pain in obese individuals, which is systemic inflammation. He notes that metabolic syndrome is quite prevalent in obese individuals and results in increased levels of inflammation and can even cause chronic inflammation states. Chronic pain thus increases because the inflammation promotes nociceptor activity leading to heightened pain responses. In addition to increases in nociception, the inflammation caused by metabolic syndrome can lead to a handful of comorbidities that also contribute to pain such as rheumatoid arthritis and OA. </w:t>
      </w:r>
    </w:p>
    <w:p w14:paraId="0E105D9D" w14:textId="77777777" w:rsidR="00247505" w:rsidRPr="003813E0" w:rsidRDefault="00247505" w:rsidP="00247505">
      <w:pPr>
        <w:spacing w:line="480" w:lineRule="auto"/>
        <w:ind w:firstLine="720"/>
        <w:jc w:val="both"/>
      </w:pPr>
      <w:r>
        <w:rPr>
          <w:color w:val="000000"/>
        </w:rPr>
        <w:t>In a study involving 107 obese patients an</w:t>
      </w:r>
      <w:r w:rsidRPr="003813E0">
        <w:rPr>
          <w:color w:val="000000"/>
        </w:rPr>
        <w:t xml:space="preserve"> inverse relationship between body weight and quality has been observed, so that as body weight increases reported quality of life decreases. Obese individuals are more prone to depending on others for daily physical functioning and have shown decreases in their disability-free years of life</w:t>
      </w:r>
      <w:r>
        <w:rPr>
          <w:color w:val="000000"/>
        </w:rPr>
        <w:t xml:space="preserve"> (</w:t>
      </w:r>
      <w:proofErr w:type="spellStart"/>
      <w:r>
        <w:rPr>
          <w:color w:val="000000"/>
        </w:rPr>
        <w:t>Sirtori</w:t>
      </w:r>
      <w:proofErr w:type="spellEnd"/>
      <w:r>
        <w:rPr>
          <w:color w:val="000000"/>
        </w:rPr>
        <w:t xml:space="preserve"> et al., 2012). </w:t>
      </w:r>
      <w:r w:rsidRPr="003813E0">
        <w:rPr>
          <w:color w:val="000000"/>
        </w:rPr>
        <w:t>Both chronic pain and obesity have an effect on quality of life; however, they also have a significant effect on one another as well. Like previously mentioned in this section, obesity contributes to chronic pain due to the mechanical and inflammatory stress that it places on the body. Conversely, chronic pain can lead to obesity due to the limitations it puts on physical activity and movement. As these two continue to affect one another, it creates a cycle of increased pain which causes increased body weight and so on (</w:t>
      </w:r>
      <w:proofErr w:type="spellStart"/>
      <w:r w:rsidRPr="003813E0">
        <w:rPr>
          <w:color w:val="000000"/>
        </w:rPr>
        <w:t>Arranz</w:t>
      </w:r>
      <w:proofErr w:type="spellEnd"/>
      <w:r w:rsidRPr="003813E0">
        <w:rPr>
          <w:color w:val="000000"/>
        </w:rPr>
        <w:t xml:space="preserve"> et al., 2013). For this reason, it is critical to find treatment or exercise methods that can be tolerated in order to reduce both pain and obesity. </w:t>
      </w:r>
    </w:p>
    <w:p w14:paraId="24E41891" w14:textId="174995AF" w:rsidR="00247505" w:rsidRDefault="00247505" w:rsidP="00247505">
      <w:pPr>
        <w:spacing w:line="480" w:lineRule="auto"/>
        <w:jc w:val="both"/>
        <w:rPr>
          <w:color w:val="000000"/>
        </w:rPr>
      </w:pPr>
      <w:r w:rsidRPr="003813E0">
        <w:rPr>
          <w:color w:val="000000"/>
        </w:rPr>
        <w:lastRenderedPageBreak/>
        <w:tab/>
        <w:t>Not only is obesity related to chronic pain in general, but associations have also been observed between obesity and other comorbidities as well as demographic variables. For instance, OA can be impacted by many different factors; however, obesity is commonly observed in individuals with OA. The center for disease control (CDC) found that more than 31% of adults who are obese also were clinically diagnosed with OA, compared to 16% in individuals who are not obese (</w:t>
      </w:r>
      <w:proofErr w:type="spellStart"/>
      <w:r w:rsidRPr="003813E0">
        <w:rPr>
          <w:color w:val="000000"/>
        </w:rPr>
        <w:t>Anandacoomarasamy</w:t>
      </w:r>
      <w:proofErr w:type="spellEnd"/>
      <w:r w:rsidRPr="003813E0">
        <w:rPr>
          <w:color w:val="000000"/>
        </w:rPr>
        <w:t xml:space="preserve"> et al., 2008). In addition to increased OA prevalence, obesity is also associated with increased pain, specifically low back pain. Low back pain is considered one of the most significant contributors to disability in adults worldwide according to Brady et al. (2019). In their study</w:t>
      </w:r>
      <w:r>
        <w:rPr>
          <w:color w:val="000000"/>
        </w:rPr>
        <w:t xml:space="preserve"> involving 150 patients</w:t>
      </w:r>
      <w:r w:rsidRPr="003813E0">
        <w:rPr>
          <w:color w:val="000000"/>
        </w:rPr>
        <w:t>, they found that baseline fat mass was positively associated with both low back disability and intense low back pain. They also report that low back pain had a stronger association with android fat in comparison to gynoid fat. Android fat, or central adiposity, becomes more prevalent as individuals age due to the loss of muscle mass. Toda et al. (2000) discuss</w:t>
      </w:r>
      <w:r>
        <w:rPr>
          <w:color w:val="000000"/>
        </w:rPr>
        <w:t>ed</w:t>
      </w:r>
      <w:r w:rsidRPr="003813E0">
        <w:rPr>
          <w:color w:val="000000"/>
        </w:rPr>
        <w:t xml:space="preserve"> that as individuals age, they tend to lose at least some of their trunk and appendicular lean mass. This in combination with increasing central adiposity work to increase the prevalence of pain in aging adults. However, this trend is not always observed in all populations, as discrepancies have been observed among men and women in whether or not muscle loss will contribute to pain. </w:t>
      </w:r>
      <w:r>
        <w:rPr>
          <w:color w:val="000000"/>
        </w:rPr>
        <w:t xml:space="preserve">Additionally, this study only included 330 patients, and while that is a sufficient sample size, a larger and more representative sample could work to provide better insight as to how </w:t>
      </w:r>
      <w:r w:rsidRPr="003813E0">
        <w:rPr>
          <w:color w:val="000000"/>
        </w:rPr>
        <w:t>lean mass relates to pain</w:t>
      </w:r>
      <w:r>
        <w:rPr>
          <w:color w:val="000000"/>
        </w:rPr>
        <w:t xml:space="preserve">. </w:t>
      </w:r>
    </w:p>
    <w:p w14:paraId="5D8F45EB" w14:textId="77777777" w:rsidR="00247505" w:rsidRPr="004E4CEC" w:rsidRDefault="00247505" w:rsidP="00247505">
      <w:pPr>
        <w:spacing w:line="480" w:lineRule="auto"/>
        <w:jc w:val="both"/>
      </w:pPr>
      <w:r w:rsidRPr="004E4CEC">
        <w:rPr>
          <w:b/>
          <w:bCs/>
          <w:color w:val="000000"/>
        </w:rPr>
        <w:t>Relationship Among PA and Pain</w:t>
      </w:r>
    </w:p>
    <w:p w14:paraId="5C7A4101" w14:textId="77777777" w:rsidR="00247505" w:rsidRPr="003813E0" w:rsidRDefault="00247505" w:rsidP="00247505">
      <w:pPr>
        <w:spacing w:line="480" w:lineRule="auto"/>
        <w:jc w:val="both"/>
      </w:pPr>
      <w:r w:rsidRPr="003813E0">
        <w:rPr>
          <w:b/>
          <w:bCs/>
          <w:color w:val="000000"/>
        </w:rPr>
        <w:tab/>
      </w:r>
      <w:r w:rsidRPr="003813E0">
        <w:rPr>
          <w:color w:val="000000"/>
        </w:rPr>
        <w:t xml:space="preserve">Physical activity is beneficial for a multitude of reasons, but perhaps one of the most important aspects of life that physical activity impacts is chronic disease prevalence. However, before discussing the impact physical activity has in diseased populations it is important to </w:t>
      </w:r>
      <w:r w:rsidRPr="003813E0">
        <w:rPr>
          <w:color w:val="000000"/>
        </w:rPr>
        <w:lastRenderedPageBreak/>
        <w:t>understand how it functions in healthy individuals. Exercise plays a crucial role in determining an individual’s overall health and well-being (Naugle et al., 2012). In particular, exercise has been found to have an analgesic effect in healthy individuals. This reduction in pain perception occurs as a result of endogenous opioid release in response to exerc</w:t>
      </w:r>
      <w:r>
        <w:rPr>
          <w:color w:val="000000"/>
        </w:rPr>
        <w:t>ise</w:t>
      </w:r>
      <w:r w:rsidRPr="003813E0">
        <w:rPr>
          <w:color w:val="000000"/>
        </w:rPr>
        <w:t xml:space="preserve"> (</w:t>
      </w:r>
      <w:proofErr w:type="spellStart"/>
      <w:r w:rsidRPr="003813E0">
        <w:rPr>
          <w:color w:val="000000"/>
        </w:rPr>
        <w:t>Borisovskaya</w:t>
      </w:r>
      <w:proofErr w:type="spellEnd"/>
      <w:r w:rsidRPr="003813E0">
        <w:rPr>
          <w:color w:val="000000"/>
        </w:rPr>
        <w:t xml:space="preserve"> et al., 2020). Naugle et al. (2012) found that pain was consistently reduced in healthy populations following acute bouts of aerobic, isometric, and dynamic resistance exercise. In regard to aerobic exercise, they note that the pain reduction was the greatest following moderate-high intensity work. They also discuss that the pain reduction was the greatest both during and immediately following an isometric contraction. However, this EIH response was not as consistently found in individuals with widespread chronic pain. </w:t>
      </w:r>
    </w:p>
    <w:p w14:paraId="591CAE23" w14:textId="77777777" w:rsidR="00247505" w:rsidRPr="003813E0" w:rsidRDefault="00247505" w:rsidP="00247505">
      <w:pPr>
        <w:spacing w:line="480" w:lineRule="auto"/>
        <w:ind w:firstLine="720"/>
        <w:jc w:val="both"/>
      </w:pPr>
      <w:r w:rsidRPr="003813E0">
        <w:rPr>
          <w:color w:val="000000"/>
        </w:rPr>
        <w:t xml:space="preserve">Physical activity has been found to minimize the risk of developing a multitude of chronic diseases (Warburton et al., 2006).  Thus, physical inactivity can contribute to the development of chronic disease among individuals. This includes, but is not limited to chronic pain, OA, rheumatoid arthritis, accelerated aging, and type II diabetes (Booth et al., 2012). Like previously mentioned, individuals with 1 or more comorbidities are at a greater risk for developing chronic pain. Therefore, it can be inferred that physical activity plays a large role in determining an individual’s risk for experiencing pain on a daily basis. When considering pain, there are both primary and secondary pathologies that contribute to pain. The primary pathology is typically related to the tissue disorders like OA or fibromyalgia. While secondary pathologies include more of the psychological consequences that are associated with chronic pain such as fear of movement or anxiety. In many disease states, it is difficult to fully define the primary pathology, which in turn makes treatment and pain relief difficult. Therefore, focusing on the secondary pathologies can be even more beneficial in alleviating pain. This is where physical activity comes into play, </w:t>
      </w:r>
      <w:r w:rsidRPr="003813E0">
        <w:rPr>
          <w:color w:val="000000"/>
        </w:rPr>
        <w:lastRenderedPageBreak/>
        <w:t>exercise regimens have shown to be successful in alleviating both chronic musculoskeletal pain as well as the fear and anxiety associated with movement in chronic pain patients (Booth et al., 2017). </w:t>
      </w:r>
    </w:p>
    <w:p w14:paraId="3C514856" w14:textId="77777777" w:rsidR="00247505" w:rsidRPr="003813E0" w:rsidRDefault="00247505" w:rsidP="00247505">
      <w:pPr>
        <w:spacing w:line="480" w:lineRule="auto"/>
        <w:jc w:val="both"/>
      </w:pPr>
      <w:r w:rsidRPr="003813E0">
        <w:rPr>
          <w:color w:val="000000"/>
        </w:rPr>
        <w:tab/>
        <w:t xml:space="preserve">Currently there are recommended exercise guidelines for the general population, but there are not really any strict guidelines set out for chronic pain populations. This is in part due to the fact that exercise treatment in individuals with pain may actually be more beneficial when it is individualized. Additionally, the current evidence regarding exercise’s effect on chronic pain symptoms and pathology is limited, but it has proven to be useful in providing pain relief and improved quality of life in some capacity (Ambrose &amp; Golightly, 2015). Physical activity, while helpful on its own, has been observed to be the most beneficial for pain relief when used in a multimodal treatment regimen (Dale &amp; Stacey, 2016). One form of exercise that has been shown to improve musculoskeletal pain, is aerobic exercise. Aerobic exercise includes activities such as running, biking, and swimming and can be performed at a wide range of intensities. Moderate to low intensity aerobic exercise has been found to improve symptoms associated in chronic pain. Higher intensity exercise can also improve chronic pain; however, it can be more difficult for individuals with pain conditions to tolerate exercise at higher intensities. Additionally, resistance training has been found to have similar effects on pain as aerobic exercise does. In </w:t>
      </w:r>
      <w:proofErr w:type="gramStart"/>
      <w:r w:rsidRPr="003813E0">
        <w:rPr>
          <w:color w:val="000000"/>
        </w:rPr>
        <w:t>fact</w:t>
      </w:r>
      <w:proofErr w:type="gramEnd"/>
      <w:r w:rsidRPr="003813E0">
        <w:rPr>
          <w:color w:val="000000"/>
        </w:rPr>
        <w:t xml:space="preserve"> it has also been observed to improve not only pain, but also quality of life and </w:t>
      </w:r>
      <w:proofErr w:type="spellStart"/>
      <w:r w:rsidRPr="003813E0">
        <w:rPr>
          <w:color w:val="000000"/>
        </w:rPr>
        <w:t>well being</w:t>
      </w:r>
      <w:proofErr w:type="spellEnd"/>
      <w:r w:rsidRPr="003813E0">
        <w:rPr>
          <w:color w:val="000000"/>
        </w:rPr>
        <w:t>. It is also of importance to note that the aforementioned exercise methods tend to work best when used in conjunction with one another (Ambrose &amp; Golightly, 2015). </w:t>
      </w:r>
    </w:p>
    <w:p w14:paraId="1550D9FF" w14:textId="5C62AAC8" w:rsidR="00247505" w:rsidRPr="003813E0" w:rsidRDefault="00247505" w:rsidP="00247505">
      <w:pPr>
        <w:spacing w:line="480" w:lineRule="auto"/>
        <w:jc w:val="both"/>
      </w:pPr>
      <w:r w:rsidRPr="003813E0">
        <w:rPr>
          <w:color w:val="000000"/>
        </w:rPr>
        <w:tab/>
        <w:t xml:space="preserve">While physical activity can work to improve pain in the general population as well as in chronic pain populations, it can also be a limitation in these chronic pain populations. Chronic pain is commonly found in OA and obese/overweight populations, both of which are often overlap with each other. The evidence regarding exactly how these populations respond to physical activity is </w:t>
      </w:r>
      <w:r w:rsidRPr="003813E0">
        <w:rPr>
          <w:color w:val="000000"/>
        </w:rPr>
        <w:lastRenderedPageBreak/>
        <w:t>limited; however, there are some instances in which exercise has been found to improve pain and physical functioning (</w:t>
      </w:r>
      <w:proofErr w:type="spellStart"/>
      <w:r w:rsidRPr="003813E0">
        <w:rPr>
          <w:color w:val="000000"/>
        </w:rPr>
        <w:t>Arulshud</w:t>
      </w:r>
      <w:proofErr w:type="spellEnd"/>
      <w:r w:rsidRPr="003813E0">
        <w:rPr>
          <w:color w:val="000000"/>
        </w:rPr>
        <w:t xml:space="preserve"> et al., 2017). Roddy et al. (2005) found that individuals with OA of the knee had improvements in pain with aerobic walking and quadriceps strengthening exercises. However, the pain outcomes following quadriceps strengthening were inconsistent due to variations in the intensity and methods in which strengthening was achieved. This variance is likely due to the ill-defined intensity of exercise that is needed to improve OA symptoms.  Additionally, in obese populations exercise often leads to weight loss which can work to alleviate OA symptoms and thus reduce pain sensations some (</w:t>
      </w:r>
      <w:proofErr w:type="spellStart"/>
      <w:r w:rsidRPr="003813E0">
        <w:rPr>
          <w:color w:val="000000"/>
        </w:rPr>
        <w:t>Arulshud</w:t>
      </w:r>
      <w:proofErr w:type="spellEnd"/>
      <w:r w:rsidRPr="003813E0">
        <w:rPr>
          <w:color w:val="000000"/>
        </w:rPr>
        <w:t xml:space="preserve"> et al., 2017). However, it is not always that simple. Obese indiv</w:t>
      </w:r>
      <w:r w:rsidR="00F402B6">
        <w:rPr>
          <w:color w:val="000000"/>
        </w:rPr>
        <w:t>id</w:t>
      </w:r>
      <w:r w:rsidRPr="003813E0">
        <w:rPr>
          <w:color w:val="000000"/>
        </w:rPr>
        <w:t>uals with OA are more often than not found to gain weight than lose it due to their perceived inability to perform physical activity due to their pain (</w:t>
      </w:r>
      <w:proofErr w:type="spellStart"/>
      <w:r w:rsidRPr="003813E0">
        <w:rPr>
          <w:color w:val="000000"/>
        </w:rPr>
        <w:t>Ekram</w:t>
      </w:r>
      <w:proofErr w:type="spellEnd"/>
      <w:r w:rsidRPr="003813E0">
        <w:rPr>
          <w:color w:val="000000"/>
        </w:rPr>
        <w:t xml:space="preserve"> et al., 2016). Likewise, often individuals within obese and OA populations are of an older age, which makes physical activity even more difficult to do (</w:t>
      </w:r>
      <w:proofErr w:type="spellStart"/>
      <w:r w:rsidRPr="003813E0">
        <w:rPr>
          <w:color w:val="000000"/>
        </w:rPr>
        <w:t>Arulshud</w:t>
      </w:r>
      <w:proofErr w:type="spellEnd"/>
      <w:r w:rsidRPr="003813E0">
        <w:rPr>
          <w:color w:val="000000"/>
        </w:rPr>
        <w:t xml:space="preserve"> et al., 2017). Thus, it is important that individuals with chronic pain conditions limiting movement are educated on the importance of physical activity as treatment and how it can be performed safely and comfortably in conjunction with other treatment methods (</w:t>
      </w:r>
      <w:proofErr w:type="spellStart"/>
      <w:r w:rsidRPr="003813E0">
        <w:rPr>
          <w:color w:val="000000"/>
        </w:rPr>
        <w:t>Ekram</w:t>
      </w:r>
      <w:proofErr w:type="spellEnd"/>
      <w:r w:rsidRPr="003813E0">
        <w:rPr>
          <w:color w:val="000000"/>
        </w:rPr>
        <w:t xml:space="preserve"> et al., 2016). While there is evidence that physical activity works to improve quality of life, pain and functioning in chronic pain populations, it is limited. There is still research that needs to be done to determine the optimal intensity and type of exercise that can be tolerated to improve pain outcomes for these populations. </w:t>
      </w:r>
    </w:p>
    <w:p w14:paraId="2FA2C74B" w14:textId="1375FFA0" w:rsidR="00247505" w:rsidRPr="00C008A4" w:rsidRDefault="004E4CEC" w:rsidP="004E4CEC">
      <w:pPr>
        <w:spacing w:line="480" w:lineRule="auto"/>
        <w:jc w:val="both"/>
        <w:rPr>
          <w:b/>
          <w:bCs/>
          <w:color w:val="000000"/>
        </w:rPr>
      </w:pPr>
      <w:r>
        <w:rPr>
          <w:b/>
          <w:bCs/>
          <w:color w:val="000000"/>
        </w:rPr>
        <w:br w:type="page"/>
      </w:r>
      <w:r w:rsidR="00247505" w:rsidRPr="003D0FC0">
        <w:rPr>
          <w:b/>
          <w:bCs/>
          <w:color w:val="000000"/>
        </w:rPr>
        <w:lastRenderedPageBreak/>
        <w:t>CHAPTER III</w:t>
      </w:r>
    </w:p>
    <w:p w14:paraId="12C46071" w14:textId="77777777" w:rsidR="00247505" w:rsidRPr="003D0FC0" w:rsidRDefault="00247505" w:rsidP="00247505">
      <w:pPr>
        <w:spacing w:line="480" w:lineRule="auto"/>
        <w:jc w:val="both"/>
      </w:pPr>
      <w:r w:rsidRPr="003D0FC0">
        <w:rPr>
          <w:b/>
          <w:bCs/>
          <w:color w:val="000000"/>
        </w:rPr>
        <w:t>METHODOLOGY</w:t>
      </w:r>
    </w:p>
    <w:p w14:paraId="12B47A83" w14:textId="77777777" w:rsidR="00247505" w:rsidRPr="004E4CEC" w:rsidRDefault="00247505" w:rsidP="00247505">
      <w:pPr>
        <w:spacing w:line="480" w:lineRule="auto"/>
        <w:jc w:val="both"/>
        <w:rPr>
          <w:b/>
          <w:bCs/>
        </w:rPr>
      </w:pPr>
      <w:r w:rsidRPr="004E4CEC">
        <w:rPr>
          <w:b/>
          <w:bCs/>
          <w:color w:val="000000"/>
        </w:rPr>
        <w:t>Introduction</w:t>
      </w:r>
    </w:p>
    <w:p w14:paraId="30CCB48E" w14:textId="77777777" w:rsidR="00247505" w:rsidRPr="003D0FC0" w:rsidRDefault="00247505" w:rsidP="00247505">
      <w:pPr>
        <w:spacing w:line="480" w:lineRule="auto"/>
        <w:ind w:firstLine="720"/>
        <w:jc w:val="both"/>
      </w:pPr>
      <w:r w:rsidRPr="003D0FC0">
        <w:rPr>
          <w:color w:val="000000"/>
        </w:rPr>
        <w:t>The following chapter will discuss the steps that were used to evaluate the relationship among body composition, osteoarthritis, physical activity, and pain upon movement using data collected from the 2011-2012 National Health and Nutrition Examination Survey (NHANES).</w:t>
      </w:r>
    </w:p>
    <w:p w14:paraId="38377192" w14:textId="77777777" w:rsidR="00247505" w:rsidRPr="004E4CEC" w:rsidRDefault="00247505" w:rsidP="00247505">
      <w:pPr>
        <w:spacing w:line="480" w:lineRule="auto"/>
        <w:jc w:val="both"/>
      </w:pPr>
      <w:r w:rsidRPr="004E4CEC">
        <w:rPr>
          <w:b/>
          <w:bCs/>
          <w:color w:val="000000"/>
        </w:rPr>
        <w:t>Sample Population</w:t>
      </w:r>
    </w:p>
    <w:p w14:paraId="420CBA8B" w14:textId="22767F48" w:rsidR="00247505" w:rsidRPr="003D0FC0" w:rsidRDefault="00247505" w:rsidP="00247505">
      <w:pPr>
        <w:spacing w:line="480" w:lineRule="auto"/>
        <w:jc w:val="both"/>
      </w:pPr>
      <w:r w:rsidRPr="003D0FC0">
        <w:rPr>
          <w:color w:val="000000"/>
        </w:rPr>
        <w:tab/>
        <w:t xml:space="preserve">The data utilized were collected from the 2011-2012 NHANES </w:t>
      </w:r>
      <w:r w:rsidR="00F402B6">
        <w:rPr>
          <w:color w:val="000000"/>
        </w:rPr>
        <w:t>report</w:t>
      </w:r>
      <w:r w:rsidRPr="003D0FC0">
        <w:rPr>
          <w:color w:val="000000"/>
        </w:rPr>
        <w:t>. NHANES involves interviews and surveys that assess demographic, socioeconomic, health, medical and dietary variables, as well as physical examinations and measurements, and laboratory data.</w:t>
      </w:r>
      <w:r>
        <w:rPr>
          <w:color w:val="000000"/>
        </w:rPr>
        <w:t xml:space="preserve"> The data were collected in a manner that allows for it to be a nationally representative sample of the US civilian population, which makes our study unique because our results will be generalizable to the US adult population; a characteristic that previous studies do not possess. </w:t>
      </w:r>
      <w:r w:rsidRPr="003D0FC0">
        <w:rPr>
          <w:color w:val="000000"/>
        </w:rPr>
        <w:t>The specific variables that are measured vary from year</w:t>
      </w:r>
      <w:r>
        <w:rPr>
          <w:color w:val="000000"/>
        </w:rPr>
        <w:t>-</w:t>
      </w:r>
      <w:r w:rsidRPr="003D0FC0">
        <w:rPr>
          <w:color w:val="000000"/>
        </w:rPr>
        <w:t>to</w:t>
      </w:r>
      <w:r>
        <w:rPr>
          <w:color w:val="000000"/>
        </w:rPr>
        <w:t>-</w:t>
      </w:r>
      <w:r w:rsidRPr="003D0FC0">
        <w:rPr>
          <w:color w:val="000000"/>
        </w:rPr>
        <w:t>year depending on the particular study objective for that year. The major survey objectives each year are typically:</w:t>
      </w:r>
    </w:p>
    <w:p w14:paraId="7D5D2B6D"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t>To determine the number/percentage of the U.S. population and of the specified subgroups that have chosen disease(s) and risk factors.</w:t>
      </w:r>
    </w:p>
    <w:p w14:paraId="7A57F8FE"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t>Monitor the fluctuations in prevalence, awareness, treatment and control of the chosen disease(s)</w:t>
      </w:r>
    </w:p>
    <w:p w14:paraId="1BF826FB"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t>Monitor risk behavior trends as well as environmental exposures</w:t>
      </w:r>
    </w:p>
    <w:p w14:paraId="19FC24A8"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t>Study how diet, nutrition, and health interact with each other</w:t>
      </w:r>
    </w:p>
    <w:p w14:paraId="791700B8"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t>Analyze new public health issues as well as emerging technologies</w:t>
      </w:r>
    </w:p>
    <w:p w14:paraId="02837BD3" w14:textId="77777777" w:rsidR="00247505" w:rsidRPr="003D0FC0" w:rsidRDefault="00247505" w:rsidP="00152FD6">
      <w:pPr>
        <w:numPr>
          <w:ilvl w:val="0"/>
          <w:numId w:val="8"/>
        </w:numPr>
        <w:spacing w:line="480" w:lineRule="auto"/>
        <w:jc w:val="both"/>
        <w:textAlignment w:val="baseline"/>
        <w:rPr>
          <w:color w:val="000000"/>
        </w:rPr>
      </w:pPr>
      <w:r w:rsidRPr="003D0FC0">
        <w:rPr>
          <w:color w:val="000000"/>
        </w:rPr>
        <w:lastRenderedPageBreak/>
        <w:t>Determine health characteristics that are linked to modality data across a wide array of individuals</w:t>
      </w:r>
    </w:p>
    <w:p w14:paraId="0931ED33" w14:textId="77777777" w:rsidR="00247505" w:rsidRPr="003D0FC0" w:rsidRDefault="00247505" w:rsidP="00247505">
      <w:pPr>
        <w:spacing w:line="480" w:lineRule="auto"/>
        <w:jc w:val="both"/>
      </w:pPr>
      <w:r w:rsidRPr="003D0FC0">
        <w:rPr>
          <w:color w:val="000000"/>
        </w:rPr>
        <w:t>In order to select a sample that was representative of all 50 states NHANES uses the following multistage probability design:</w:t>
      </w:r>
    </w:p>
    <w:p w14:paraId="5B658310" w14:textId="77777777" w:rsidR="00247505" w:rsidRPr="003D0FC0" w:rsidRDefault="00247505" w:rsidP="00152FD6">
      <w:pPr>
        <w:numPr>
          <w:ilvl w:val="0"/>
          <w:numId w:val="9"/>
        </w:numPr>
        <w:spacing w:line="480" w:lineRule="auto"/>
        <w:jc w:val="both"/>
        <w:textAlignment w:val="baseline"/>
        <w:rPr>
          <w:color w:val="000000"/>
        </w:rPr>
      </w:pPr>
      <w:r w:rsidRPr="003D0FC0">
        <w:rPr>
          <w:color w:val="000000"/>
        </w:rPr>
        <w:t>Selection of small counties/small groups of adjacent counties as primary sampling units (PSUs)</w:t>
      </w:r>
    </w:p>
    <w:p w14:paraId="6061DCDC" w14:textId="77777777" w:rsidR="00247505" w:rsidRPr="003D0FC0" w:rsidRDefault="00247505" w:rsidP="00152FD6">
      <w:pPr>
        <w:numPr>
          <w:ilvl w:val="0"/>
          <w:numId w:val="9"/>
        </w:numPr>
        <w:spacing w:line="480" w:lineRule="auto"/>
        <w:jc w:val="both"/>
        <w:textAlignment w:val="baseline"/>
        <w:rPr>
          <w:color w:val="000000"/>
        </w:rPr>
      </w:pPr>
      <w:r w:rsidRPr="003D0FC0">
        <w:rPr>
          <w:color w:val="000000"/>
        </w:rPr>
        <w:t>Selection of a block/group of blocks within PSUs that contain a cluster of households </w:t>
      </w:r>
    </w:p>
    <w:p w14:paraId="2562CF99" w14:textId="77777777" w:rsidR="00247505" w:rsidRPr="003D0FC0" w:rsidRDefault="00247505" w:rsidP="00152FD6">
      <w:pPr>
        <w:numPr>
          <w:ilvl w:val="0"/>
          <w:numId w:val="9"/>
        </w:numPr>
        <w:spacing w:line="480" w:lineRule="auto"/>
        <w:jc w:val="both"/>
        <w:textAlignment w:val="baseline"/>
        <w:rPr>
          <w:color w:val="000000"/>
        </w:rPr>
      </w:pPr>
      <w:r w:rsidRPr="003D0FC0">
        <w:rPr>
          <w:color w:val="000000"/>
        </w:rPr>
        <w:t>Selection of households within the blocks</w:t>
      </w:r>
    </w:p>
    <w:p w14:paraId="5AC2D4BB" w14:textId="77777777" w:rsidR="00247505" w:rsidRPr="003D0FC0" w:rsidRDefault="00247505" w:rsidP="00152FD6">
      <w:pPr>
        <w:numPr>
          <w:ilvl w:val="0"/>
          <w:numId w:val="9"/>
        </w:numPr>
        <w:spacing w:line="480" w:lineRule="auto"/>
        <w:jc w:val="both"/>
        <w:textAlignment w:val="baseline"/>
        <w:rPr>
          <w:color w:val="000000"/>
        </w:rPr>
      </w:pPr>
      <w:r w:rsidRPr="003D0FC0">
        <w:rPr>
          <w:color w:val="000000"/>
        </w:rPr>
        <w:t>Selection of individuals within a given household</w:t>
      </w:r>
    </w:p>
    <w:p w14:paraId="7F67F3F4" w14:textId="643F73F7" w:rsidR="00247505" w:rsidRPr="003D0FC0" w:rsidRDefault="00247505" w:rsidP="00247505">
      <w:pPr>
        <w:spacing w:line="480" w:lineRule="auto"/>
        <w:jc w:val="both"/>
      </w:pPr>
      <w:r>
        <w:rPr>
          <w:color w:val="000000"/>
        </w:rPr>
        <w:tab/>
      </w:r>
      <w:r w:rsidRPr="003D0FC0">
        <w:rPr>
          <w:color w:val="000000"/>
        </w:rPr>
        <w:t xml:space="preserve">For the 2011-2012 survey, a total of 13,431 individuals were chosen from 30 different locations to participate. Out of the 13,431 individuals selected, 9,756 participants or roughly 76% completed the interview process and 9,338 underwent a physical examination. Additionally, the 2011-2012 survey oversampled Non-Hispanic Asians, Non-Hispanic </w:t>
      </w:r>
      <w:r w:rsidR="00F402B6" w:rsidRPr="003D0FC0">
        <w:rPr>
          <w:color w:val="000000"/>
        </w:rPr>
        <w:t>African Americans</w:t>
      </w:r>
      <w:r w:rsidRPr="003D0FC0">
        <w:rPr>
          <w:color w:val="000000"/>
        </w:rPr>
        <w:t xml:space="preserve">, </w:t>
      </w:r>
      <w:r w:rsidR="00F402B6" w:rsidRPr="003D0FC0">
        <w:rPr>
          <w:color w:val="000000"/>
        </w:rPr>
        <w:t>low-income</w:t>
      </w:r>
      <w:r w:rsidRPr="003D0FC0">
        <w:rPr>
          <w:color w:val="000000"/>
        </w:rPr>
        <w:t xml:space="preserve"> Non-Hispanic Whites, and elderly Non-Hispanic adults. </w:t>
      </w:r>
    </w:p>
    <w:p w14:paraId="5206D8AB" w14:textId="77777777" w:rsidR="00247505" w:rsidRPr="004E4CEC" w:rsidRDefault="00247505" w:rsidP="00247505">
      <w:pPr>
        <w:spacing w:line="480" w:lineRule="auto"/>
        <w:jc w:val="both"/>
      </w:pPr>
      <w:r w:rsidRPr="004E4CEC">
        <w:rPr>
          <w:b/>
          <w:bCs/>
          <w:color w:val="000000"/>
        </w:rPr>
        <w:t>Interview Process</w:t>
      </w:r>
    </w:p>
    <w:p w14:paraId="6BB2E9DE" w14:textId="77777777" w:rsidR="00247505" w:rsidRPr="003D0FC0" w:rsidRDefault="00247505" w:rsidP="00247505">
      <w:pPr>
        <w:spacing w:line="480" w:lineRule="auto"/>
        <w:ind w:firstLine="720"/>
        <w:jc w:val="both"/>
      </w:pPr>
      <w:r w:rsidRPr="003D0FC0">
        <w:rPr>
          <w:color w:val="000000"/>
        </w:rPr>
        <w:t xml:space="preserve">The first portion of the survey was the household interview questionnaire, which consisted of four separate sub-questionnaires. The first being a screener questionnaire, or “Screener Module 1”, which encompassed a doorstep interview of a selected household. The purpose of this screener was to determine if any household members were eligible to partake in the survey. The second questionnaire was the relationship questionnaire, or “Screener Module 2.” The relationship questionnaire was administered within each home to determine family units. The first two questionnaires were given to an adult member within the selected household that was at least 18 years old. The family questionnaire was then administered to each family unit within the household </w:t>
      </w:r>
      <w:r w:rsidRPr="003D0FC0">
        <w:rPr>
          <w:color w:val="000000"/>
        </w:rPr>
        <w:lastRenderedPageBreak/>
        <w:t xml:space="preserve">to determine information about each family such as insurance coverage, income, food security, etc. Lastly, the sample person questionnaire was administered individually to each participant to determine demographic, socioeconomic, health and dietary history. If the participant was 16 or </w:t>
      </w:r>
      <w:proofErr w:type="gramStart"/>
      <w:r w:rsidRPr="003D0FC0">
        <w:rPr>
          <w:color w:val="000000"/>
        </w:rPr>
        <w:t>older</w:t>
      </w:r>
      <w:proofErr w:type="gramEnd"/>
      <w:r w:rsidRPr="003D0FC0">
        <w:rPr>
          <w:color w:val="000000"/>
        </w:rPr>
        <w:t xml:space="preserve"> they were </w:t>
      </w:r>
      <w:r>
        <w:rPr>
          <w:color w:val="000000"/>
        </w:rPr>
        <w:t xml:space="preserve">then </w:t>
      </w:r>
      <w:r w:rsidRPr="003D0FC0">
        <w:rPr>
          <w:color w:val="000000"/>
        </w:rPr>
        <w:t>interviewed directly, however, participants under the age of 16 had an adult proxy answer for them.</w:t>
      </w:r>
    </w:p>
    <w:p w14:paraId="49C2CA02" w14:textId="77777777" w:rsidR="00247505" w:rsidRPr="003D0FC0" w:rsidRDefault="00247505" w:rsidP="00247505">
      <w:pPr>
        <w:spacing w:line="480" w:lineRule="auto"/>
        <w:ind w:firstLine="720"/>
        <w:jc w:val="both"/>
      </w:pPr>
      <w:r w:rsidRPr="003D0FC0">
        <w:rPr>
          <w:color w:val="000000"/>
        </w:rPr>
        <w:t>Once the household interview process was completed, the mobile examination center (MEC) questionnaires were administered. This portion of the interview consisted of topics like sexual health and substance use and consisted of two sub-questionnaires. The MEC was administered to subjects who were at least 8 years old. The computer-assisted personal interviewing (CAPI) questionnaire was administered first by a trained MEC interviewer. Then the audio-computer-assisted self-interviewing (ACASI) questionnaire was administered. During this portion of the interview the participant responds to questions that are heard via headphones and read on a computer touch screen. There is not an interviewer present during this portion of the MEC interview process. Additionally, no proxies could be used for the ACASI portion due to the sensitive nature of the questions. Thus, individuals who were mentally impaired or unable to understand any of the language options were not eligible to participate. </w:t>
      </w:r>
    </w:p>
    <w:p w14:paraId="6737CA76" w14:textId="77777777" w:rsidR="00247505" w:rsidRPr="004E4CEC" w:rsidRDefault="00247505" w:rsidP="00247505">
      <w:pPr>
        <w:spacing w:line="480" w:lineRule="auto"/>
        <w:jc w:val="both"/>
        <w:rPr>
          <w:b/>
          <w:bCs/>
          <w:color w:val="000000"/>
        </w:rPr>
      </w:pPr>
      <w:r w:rsidRPr="004E4CEC">
        <w:rPr>
          <w:b/>
          <w:bCs/>
          <w:color w:val="000000"/>
        </w:rPr>
        <w:t>Variable Selection</w:t>
      </w:r>
    </w:p>
    <w:p w14:paraId="625F0441" w14:textId="203F8A6C" w:rsidR="00247505" w:rsidRPr="003D0FC0" w:rsidRDefault="00247505" w:rsidP="00247505">
      <w:pPr>
        <w:spacing w:line="480" w:lineRule="auto"/>
        <w:jc w:val="both"/>
        <w:rPr>
          <w:bCs/>
          <w:color w:val="000000"/>
          <w:shd w:val="clear" w:color="auto" w:fill="FFE599"/>
        </w:rPr>
      </w:pPr>
      <w:r>
        <w:rPr>
          <w:color w:val="000000"/>
        </w:rPr>
        <w:tab/>
        <w:t>Given our interest in examining potential relationships among variables previously shown to be associated with pain and disability due/related to pain (</w:t>
      </w:r>
      <w:proofErr w:type="gramStart"/>
      <w:r>
        <w:rPr>
          <w:color w:val="000000"/>
        </w:rPr>
        <w:t>e.g.</w:t>
      </w:r>
      <w:proofErr w:type="gramEnd"/>
      <w:r>
        <w:rPr>
          <w:color w:val="000000"/>
        </w:rPr>
        <w:t xml:space="preserve"> age, </w:t>
      </w:r>
      <w:r w:rsidR="004E4CEC">
        <w:rPr>
          <w:color w:val="000000"/>
        </w:rPr>
        <w:t>sex,</w:t>
      </w:r>
      <w:r>
        <w:rPr>
          <w:color w:val="000000"/>
        </w:rPr>
        <w:t xml:space="preserve"> education, ethnicity, diagnosis of osteoarthritis, weight status) as well as DXA derived measures of body composition and self-reported physical activity on pain’s impact on physical function we chose data from the 2011-2012 report. While pain data was available in previous year’s reports, the 2011-2012 report </w:t>
      </w:r>
      <w:r>
        <w:rPr>
          <w:color w:val="000000"/>
        </w:rPr>
        <w:lastRenderedPageBreak/>
        <w:t xml:space="preserve">was the only report that included both pain and whole body DXA information, both of which were imperative for our study. </w:t>
      </w:r>
    </w:p>
    <w:p w14:paraId="72332753" w14:textId="77777777" w:rsidR="00247505" w:rsidRPr="003D0FC0" w:rsidRDefault="00247505" w:rsidP="00247505">
      <w:pPr>
        <w:spacing w:line="480" w:lineRule="auto"/>
        <w:ind w:firstLine="360"/>
        <w:jc w:val="both"/>
      </w:pPr>
      <w:r w:rsidRPr="003D0FC0">
        <w:rPr>
          <w:color w:val="000000"/>
        </w:rPr>
        <w:t>For this report, we selected the following questionnaires from the 2011-2012 NHANES to derive our variables of interest from:</w:t>
      </w:r>
    </w:p>
    <w:p w14:paraId="2F7882B4" w14:textId="77777777" w:rsidR="00247505" w:rsidRPr="003D0FC0" w:rsidRDefault="00247505" w:rsidP="00152FD6">
      <w:pPr>
        <w:numPr>
          <w:ilvl w:val="0"/>
          <w:numId w:val="10"/>
        </w:numPr>
        <w:spacing w:line="480" w:lineRule="auto"/>
        <w:jc w:val="both"/>
        <w:textAlignment w:val="baseline"/>
        <w:rPr>
          <w:color w:val="000000"/>
        </w:rPr>
      </w:pPr>
      <w:r w:rsidRPr="003D0FC0">
        <w:rPr>
          <w:color w:val="000000"/>
        </w:rPr>
        <w:t>Demographic Questionnaire </w:t>
      </w:r>
    </w:p>
    <w:p w14:paraId="3D3B0E6E" w14:textId="77777777" w:rsidR="00247505" w:rsidRPr="003D0FC0" w:rsidRDefault="00247505" w:rsidP="00152FD6">
      <w:pPr>
        <w:numPr>
          <w:ilvl w:val="0"/>
          <w:numId w:val="10"/>
        </w:numPr>
        <w:spacing w:line="480" w:lineRule="auto"/>
        <w:jc w:val="both"/>
        <w:textAlignment w:val="baseline"/>
        <w:rPr>
          <w:color w:val="000000"/>
        </w:rPr>
      </w:pPr>
      <w:r w:rsidRPr="003D0FC0">
        <w:rPr>
          <w:color w:val="000000"/>
        </w:rPr>
        <w:t>Current Health Status Questionnaire </w:t>
      </w:r>
    </w:p>
    <w:p w14:paraId="1DA5600A" w14:textId="77777777" w:rsidR="00247505" w:rsidRPr="003D0FC0" w:rsidRDefault="00247505" w:rsidP="00152FD6">
      <w:pPr>
        <w:numPr>
          <w:ilvl w:val="0"/>
          <w:numId w:val="10"/>
        </w:numPr>
        <w:spacing w:line="480" w:lineRule="auto"/>
        <w:jc w:val="both"/>
        <w:textAlignment w:val="baseline"/>
        <w:rPr>
          <w:color w:val="000000"/>
        </w:rPr>
      </w:pPr>
      <w:r w:rsidRPr="003D0FC0">
        <w:rPr>
          <w:color w:val="000000"/>
        </w:rPr>
        <w:t>Medical Conditions Questionnaire </w:t>
      </w:r>
    </w:p>
    <w:p w14:paraId="6C621D72" w14:textId="77777777" w:rsidR="00247505" w:rsidRPr="003D0FC0" w:rsidRDefault="00247505" w:rsidP="00152FD6">
      <w:pPr>
        <w:numPr>
          <w:ilvl w:val="0"/>
          <w:numId w:val="10"/>
        </w:numPr>
        <w:spacing w:line="480" w:lineRule="auto"/>
        <w:jc w:val="both"/>
        <w:textAlignment w:val="baseline"/>
        <w:rPr>
          <w:color w:val="000000"/>
        </w:rPr>
      </w:pPr>
      <w:r w:rsidRPr="003D0FC0">
        <w:rPr>
          <w:color w:val="000000"/>
        </w:rPr>
        <w:t>Body Mass Index Questionnaire </w:t>
      </w:r>
    </w:p>
    <w:p w14:paraId="0B109900" w14:textId="77777777" w:rsidR="00247505" w:rsidRPr="003D0FC0" w:rsidRDefault="00247505" w:rsidP="00152FD6">
      <w:pPr>
        <w:numPr>
          <w:ilvl w:val="0"/>
          <w:numId w:val="10"/>
        </w:numPr>
        <w:spacing w:line="480" w:lineRule="auto"/>
        <w:jc w:val="both"/>
        <w:textAlignment w:val="baseline"/>
        <w:rPr>
          <w:color w:val="000000"/>
        </w:rPr>
      </w:pPr>
      <w:r w:rsidRPr="003D0FC0">
        <w:rPr>
          <w:color w:val="000000"/>
        </w:rPr>
        <w:t>DEXA Questionnaire </w:t>
      </w:r>
    </w:p>
    <w:p w14:paraId="16CA4EC6" w14:textId="77777777" w:rsidR="00247505" w:rsidRDefault="00247505" w:rsidP="00152FD6">
      <w:pPr>
        <w:numPr>
          <w:ilvl w:val="0"/>
          <w:numId w:val="10"/>
        </w:numPr>
        <w:spacing w:line="480" w:lineRule="auto"/>
        <w:jc w:val="both"/>
        <w:textAlignment w:val="baseline"/>
        <w:rPr>
          <w:color w:val="000000"/>
        </w:rPr>
      </w:pPr>
      <w:r w:rsidRPr="003D0FC0">
        <w:rPr>
          <w:color w:val="000000"/>
        </w:rPr>
        <w:t>Physical Activity Questionnaire </w:t>
      </w:r>
    </w:p>
    <w:p w14:paraId="6A3CB720" w14:textId="77777777" w:rsidR="00247505" w:rsidRPr="000D7550" w:rsidRDefault="00247505" w:rsidP="00247505">
      <w:pPr>
        <w:spacing w:line="480" w:lineRule="auto"/>
        <w:jc w:val="both"/>
        <w:textAlignment w:val="baseline"/>
        <w:rPr>
          <w:b/>
          <w:iCs/>
          <w:color w:val="000000"/>
        </w:rPr>
      </w:pPr>
      <w:r w:rsidRPr="000D7550">
        <w:rPr>
          <w:b/>
          <w:iCs/>
          <w:color w:val="000000"/>
        </w:rPr>
        <w:t xml:space="preserve">Chronic Pain Assessment </w:t>
      </w:r>
    </w:p>
    <w:p w14:paraId="6668BD2F" w14:textId="30DC5DDD" w:rsidR="006E0ED3" w:rsidRPr="004E4CEC" w:rsidRDefault="00247505" w:rsidP="004E4CEC">
      <w:pPr>
        <w:spacing w:line="480" w:lineRule="auto"/>
        <w:ind w:firstLine="720"/>
        <w:jc w:val="both"/>
        <w:textAlignment w:val="baseline"/>
        <w:rPr>
          <w:color w:val="000000"/>
        </w:rPr>
      </w:pPr>
      <w:r>
        <w:rPr>
          <w:color w:val="000000"/>
        </w:rPr>
        <w:t>Pain was assessed using the responses from the</w:t>
      </w:r>
      <w:r w:rsidRPr="003D0FC0">
        <w:rPr>
          <w:color w:val="000000"/>
        </w:rPr>
        <w:t xml:space="preserve"> current health status questionnaire</w:t>
      </w:r>
      <w:r>
        <w:rPr>
          <w:color w:val="000000"/>
        </w:rPr>
        <w:t xml:space="preserve">. This questionnaire </w:t>
      </w:r>
      <w:r w:rsidRPr="003D0FC0">
        <w:rPr>
          <w:color w:val="000000"/>
        </w:rPr>
        <w:t xml:space="preserve">includes data collected from personal interviews regarding an overall assessment of health, quality of life over the past month, illness in the past month, blood donations and AIDS testing. From this questionnaire, we </w:t>
      </w:r>
      <w:r>
        <w:rPr>
          <w:color w:val="000000"/>
        </w:rPr>
        <w:t xml:space="preserve">specifically </w:t>
      </w:r>
      <w:r w:rsidRPr="003D0FC0">
        <w:rPr>
          <w:color w:val="000000"/>
        </w:rPr>
        <w:t>chose to include the variable that evaluates whether or not an individual felt that pain made it difficult for them to accomplish their usual activit</w:t>
      </w:r>
      <w:r>
        <w:rPr>
          <w:color w:val="000000"/>
        </w:rPr>
        <w:t>ies</w:t>
      </w:r>
      <w:r w:rsidRPr="003D0FC0">
        <w:rPr>
          <w:color w:val="000000"/>
        </w:rPr>
        <w:t>.</w:t>
      </w:r>
      <w:r>
        <w:rPr>
          <w:color w:val="000000"/>
        </w:rPr>
        <w:t xml:space="preserve"> Interviewees were asked to report on how many days within the past 30 days that pain made it hard for them to do usual activities. Participants answered with a number between 0-30 days</w:t>
      </w:r>
      <w:r w:rsidRPr="007F5992">
        <w:rPr>
          <w:color w:val="000000"/>
        </w:rPr>
        <w:t>.</w:t>
      </w:r>
      <w:r>
        <w:rPr>
          <w:color w:val="000000"/>
        </w:rPr>
        <w:t xml:space="preserve"> They way in which this variable was recorded was not continuous, thus, for statistical analysis pain status was split into “artificial” categories. These categories were as follows: 1) never/non (zero reported days of pain making it hard for usual activities), 2) sometimes (1-29 reported days of pain making it hard for usual activities), 3) always (30 reported days of pain </w:t>
      </w:r>
      <w:r>
        <w:rPr>
          <w:color w:val="000000"/>
        </w:rPr>
        <w:lastRenderedPageBreak/>
        <w:t>making hard for usual activities). These categories were selected based on a histogram that showed pain counts and a clustering effect was observed on each end of the histogram.</w:t>
      </w:r>
    </w:p>
    <w:p w14:paraId="5A584704" w14:textId="41975A1C" w:rsidR="00247505" w:rsidRPr="000D7550" w:rsidRDefault="00247505" w:rsidP="00247505">
      <w:pPr>
        <w:spacing w:line="480" w:lineRule="auto"/>
        <w:jc w:val="both"/>
        <w:textAlignment w:val="baseline"/>
        <w:rPr>
          <w:b/>
          <w:iCs/>
          <w:color w:val="000000"/>
        </w:rPr>
      </w:pPr>
      <w:r w:rsidRPr="000D7550">
        <w:rPr>
          <w:b/>
          <w:iCs/>
          <w:color w:val="000000"/>
        </w:rPr>
        <w:t>Self-Reported Physical Activity</w:t>
      </w:r>
    </w:p>
    <w:p w14:paraId="07A93B4C" w14:textId="77777777" w:rsidR="00247505" w:rsidRDefault="00247505" w:rsidP="00247505">
      <w:pPr>
        <w:spacing w:line="480" w:lineRule="auto"/>
        <w:ind w:firstLine="720"/>
        <w:jc w:val="both"/>
        <w:textAlignment w:val="baseline"/>
        <w:rPr>
          <w:color w:val="000000"/>
        </w:rPr>
      </w:pPr>
      <w:r>
        <w:rPr>
          <w:color w:val="000000"/>
        </w:rPr>
        <w:t>Self-reported p</w:t>
      </w:r>
      <w:r w:rsidRPr="003D0FC0">
        <w:rPr>
          <w:color w:val="000000"/>
        </w:rPr>
        <w:t>hysical activity was measured</w:t>
      </w:r>
      <w:r>
        <w:rPr>
          <w:color w:val="000000"/>
        </w:rPr>
        <w:t xml:space="preserve"> during the household interview</w:t>
      </w:r>
      <w:r w:rsidRPr="003D0FC0">
        <w:rPr>
          <w:color w:val="000000"/>
        </w:rPr>
        <w:t xml:space="preserve"> using the Physical Activity Questionnaire (PAQ). This particular questionnaire was modeled after the Global Physical Activity Questionnaire (GPAQ) from the World Health Organization (WHO). The PAQ asks questions that are related to an individual's daily activities, sedentary activity, leisure time and physical activity. We included all of the questions from this particular questionnaire in order to get a comprehensive view of each subject’s activity level. </w:t>
      </w:r>
      <w:r>
        <w:rPr>
          <w:color w:val="000000"/>
        </w:rPr>
        <w:t>The self-reported physical activity was used to calculate the MET (metabolic equivalents) minutes of physical activity accumulated by each participant. Based on the GPAQ recommendations, a MET value of 4 was assigned to moderate exercise and a MET value of 8 was assigned to vigorous exercise. Once the MET minutes of total activity were calculated, physical activity was further split into categories based on whether or not the ACSM physical activity guidelines had been met. For total physical activity the categories were as follows: 1) Met guidelines (&gt;600 MET minutes) or 2) Insufficiently active (599-0 MET minutes). Additionally, physical activity was further grouped based on recreational physical activity only. The groups were determined by whether or not an individual met the ACSM physical activity guidelines purely through recreational activity. The categories were as follows: 1) Met guidelines (&gt;600 MET minutes), 2) Insufficiently active (599-360 MET minutes), 3) None 0 MET minutes).</w:t>
      </w:r>
    </w:p>
    <w:p w14:paraId="02549A18" w14:textId="77777777" w:rsidR="00247505" w:rsidRPr="008C4ADE" w:rsidRDefault="00247505" w:rsidP="00247505">
      <w:pPr>
        <w:spacing w:line="480" w:lineRule="auto"/>
        <w:jc w:val="both"/>
        <w:textAlignment w:val="baseline"/>
        <w:rPr>
          <w:b/>
          <w:iCs/>
          <w:color w:val="000000"/>
        </w:rPr>
      </w:pPr>
      <w:r w:rsidRPr="008C4ADE">
        <w:rPr>
          <w:b/>
          <w:iCs/>
          <w:color w:val="000000"/>
        </w:rPr>
        <w:t>Body Composition Variables</w:t>
      </w:r>
    </w:p>
    <w:p w14:paraId="02A84923" w14:textId="680C4567" w:rsidR="00247505" w:rsidRDefault="00247505" w:rsidP="00247505">
      <w:pPr>
        <w:spacing w:line="480" w:lineRule="auto"/>
        <w:jc w:val="both"/>
        <w:rPr>
          <w:color w:val="000000"/>
        </w:rPr>
      </w:pPr>
      <w:r>
        <w:rPr>
          <w:color w:val="000000"/>
        </w:rPr>
        <w:tab/>
      </w:r>
      <w:r w:rsidRPr="003D0FC0">
        <w:rPr>
          <w:color w:val="000000"/>
        </w:rPr>
        <w:t xml:space="preserve">Body composition variables were drawn from the body measures and whole body DEXA physical examination portion of the survey. The body measures can be used to predict a variety of </w:t>
      </w:r>
      <w:r w:rsidRPr="003D0FC0">
        <w:rPr>
          <w:color w:val="000000"/>
        </w:rPr>
        <w:lastRenderedPageBreak/>
        <w:t xml:space="preserve">different health outcomes; however, we selected the variables that would tell us about body weight and obesity. </w:t>
      </w:r>
      <w:r>
        <w:rPr>
          <w:color w:val="000000"/>
        </w:rPr>
        <w:t xml:space="preserve">We specifically chose to use body mass index </w:t>
      </w:r>
      <w:r w:rsidRPr="003D0FC0">
        <w:rPr>
          <w:color w:val="000000"/>
        </w:rPr>
        <w:t>(kg/</w:t>
      </w:r>
      <w:r w:rsidR="009F2CD2">
        <w:rPr>
          <w:color w:val="000000"/>
        </w:rPr>
        <w:t>m</w:t>
      </w:r>
      <w:r w:rsidR="009F2CD2">
        <w:rPr>
          <w:color w:val="000000"/>
          <w:vertAlign w:val="superscript"/>
        </w:rPr>
        <w:t>2</w:t>
      </w:r>
      <w:r w:rsidRPr="003D0FC0">
        <w:rPr>
          <w:color w:val="000000"/>
        </w:rPr>
        <w:t>).</w:t>
      </w:r>
      <w:r>
        <w:rPr>
          <w:color w:val="000000"/>
        </w:rPr>
        <w:t xml:space="preserve"> For analysis, BMI was split into three categories based on the normative data. The categories include normal weight (&lt;25</w:t>
      </w:r>
      <w:r w:rsidR="009F2CD2" w:rsidRPr="009F2CD2">
        <w:rPr>
          <w:color w:val="000000"/>
        </w:rPr>
        <w:t xml:space="preserve"> </w:t>
      </w:r>
      <w:r w:rsidR="009F2CD2" w:rsidRPr="003D0FC0">
        <w:rPr>
          <w:color w:val="000000"/>
        </w:rPr>
        <w:t>kg/</w:t>
      </w:r>
      <w:r w:rsidR="009F2CD2">
        <w:rPr>
          <w:color w:val="000000"/>
        </w:rPr>
        <w:t>m</w:t>
      </w:r>
      <w:r w:rsidR="009F2CD2">
        <w:rPr>
          <w:color w:val="000000"/>
          <w:vertAlign w:val="superscript"/>
        </w:rPr>
        <w:t>2</w:t>
      </w:r>
      <w:r>
        <w:rPr>
          <w:color w:val="000000"/>
        </w:rPr>
        <w:t>), overweight</w:t>
      </w:r>
      <w:r w:rsidRPr="003D0FC0">
        <w:rPr>
          <w:color w:val="000000"/>
        </w:rPr>
        <w:t xml:space="preserve"> </w:t>
      </w:r>
      <w:r>
        <w:rPr>
          <w:color w:val="000000"/>
        </w:rPr>
        <w:t>(25-29.9</w:t>
      </w:r>
      <w:r w:rsidR="009F2CD2" w:rsidRPr="009F2CD2">
        <w:rPr>
          <w:color w:val="000000"/>
        </w:rPr>
        <w:t xml:space="preserve"> </w:t>
      </w:r>
      <w:r w:rsidR="009F2CD2" w:rsidRPr="003D0FC0">
        <w:rPr>
          <w:color w:val="000000"/>
        </w:rPr>
        <w:t>kg/</w:t>
      </w:r>
      <w:r w:rsidR="009F2CD2">
        <w:rPr>
          <w:color w:val="000000"/>
        </w:rPr>
        <w:t>m</w:t>
      </w:r>
      <w:r w:rsidR="009F2CD2">
        <w:rPr>
          <w:color w:val="000000"/>
          <w:vertAlign w:val="superscript"/>
        </w:rPr>
        <w:t>2</w:t>
      </w:r>
      <w:r>
        <w:rPr>
          <w:color w:val="000000"/>
        </w:rPr>
        <w:t>), and obese (&gt;30</w:t>
      </w:r>
      <w:r w:rsidR="009F2CD2" w:rsidRPr="009F2CD2">
        <w:rPr>
          <w:color w:val="000000"/>
        </w:rPr>
        <w:t xml:space="preserve"> </w:t>
      </w:r>
      <w:r w:rsidR="009F2CD2" w:rsidRPr="003D0FC0">
        <w:rPr>
          <w:color w:val="000000"/>
        </w:rPr>
        <w:t>kg/</w:t>
      </w:r>
      <w:r w:rsidR="009F2CD2">
        <w:rPr>
          <w:color w:val="000000"/>
        </w:rPr>
        <w:t>m</w:t>
      </w:r>
      <w:r w:rsidR="009F2CD2">
        <w:rPr>
          <w:color w:val="000000"/>
          <w:vertAlign w:val="superscript"/>
        </w:rPr>
        <w:t>2</w:t>
      </w:r>
      <w:r>
        <w:rPr>
          <w:color w:val="000000"/>
        </w:rPr>
        <w:t xml:space="preserve">). </w:t>
      </w:r>
      <w:r w:rsidRPr="003D0FC0">
        <w:rPr>
          <w:color w:val="000000"/>
        </w:rPr>
        <w:t xml:space="preserve">The DEXA </w:t>
      </w:r>
      <w:r>
        <w:rPr>
          <w:color w:val="000000"/>
        </w:rPr>
        <w:t>was</w:t>
      </w:r>
      <w:r w:rsidRPr="003D0FC0">
        <w:rPr>
          <w:color w:val="000000"/>
        </w:rPr>
        <w:t xml:space="preserve"> used to measure both lean and fat mass for the entire body. These measures include but are not limited to total body mass, bone mineral content, fat mass, lean body mass, etc. </w:t>
      </w:r>
      <w:r>
        <w:rPr>
          <w:color w:val="000000"/>
        </w:rPr>
        <w:t xml:space="preserve">For our analysis we chose to include the following variables: total fat mass, total lean mass (excluding bone mineral content), and percent body fat. </w:t>
      </w:r>
    </w:p>
    <w:p w14:paraId="0D0A82F6" w14:textId="77777777" w:rsidR="00247505" w:rsidRPr="008C4ADE" w:rsidRDefault="00247505" w:rsidP="00247505">
      <w:pPr>
        <w:spacing w:line="480" w:lineRule="auto"/>
        <w:jc w:val="both"/>
        <w:rPr>
          <w:b/>
          <w:iCs/>
        </w:rPr>
      </w:pPr>
      <w:r w:rsidRPr="008C4ADE">
        <w:rPr>
          <w:b/>
          <w:iCs/>
          <w:color w:val="000000"/>
        </w:rPr>
        <w:t>Other Variables</w:t>
      </w:r>
    </w:p>
    <w:p w14:paraId="674EC72A" w14:textId="7E900852" w:rsidR="00247505" w:rsidRPr="003D0FC0" w:rsidRDefault="00247505" w:rsidP="00247505">
      <w:pPr>
        <w:spacing w:line="480" w:lineRule="auto"/>
        <w:ind w:firstLine="720"/>
        <w:jc w:val="both"/>
      </w:pPr>
      <w:r w:rsidRPr="003D0FC0">
        <w:rPr>
          <w:color w:val="000000"/>
        </w:rPr>
        <w:t>Demographic variables assessed in the 2011-2012 NHANES survey include individual, family, and household information. We selected the variables that provided information on the subject’s</w:t>
      </w:r>
      <w:r w:rsidR="004E4CEC">
        <w:rPr>
          <w:color w:val="000000"/>
        </w:rPr>
        <w:t xml:space="preserve"> sex</w:t>
      </w:r>
      <w:r w:rsidRPr="003D0FC0">
        <w:rPr>
          <w:color w:val="000000"/>
        </w:rPr>
        <w:t xml:space="preserve">, </w:t>
      </w:r>
      <w:r>
        <w:rPr>
          <w:color w:val="000000"/>
        </w:rPr>
        <w:t>ethnicity</w:t>
      </w:r>
      <w:r w:rsidRPr="003D0FC0">
        <w:rPr>
          <w:color w:val="000000"/>
        </w:rPr>
        <w:t xml:space="preserve">, </w:t>
      </w:r>
      <w:r>
        <w:rPr>
          <w:color w:val="000000"/>
        </w:rPr>
        <w:t xml:space="preserve">education level, </w:t>
      </w:r>
      <w:r w:rsidRPr="003D0FC0">
        <w:rPr>
          <w:color w:val="000000"/>
        </w:rPr>
        <w:t>and age.</w:t>
      </w:r>
      <w:r>
        <w:rPr>
          <w:color w:val="000000"/>
        </w:rPr>
        <w:t xml:space="preserve"> Of these variables, age was further split into the following groups: young adults (20-35 yrs.), middle aged adults (36-55 yrs.), and older adults (56+). </w:t>
      </w:r>
      <w:r w:rsidRPr="003D0FC0">
        <w:rPr>
          <w:color w:val="000000"/>
        </w:rPr>
        <w:t xml:space="preserve"> </w:t>
      </w:r>
      <w:r>
        <w:rPr>
          <w:color w:val="000000"/>
        </w:rPr>
        <w:t xml:space="preserve">Arthritis was assessed using the medical conditions questionnaire, which included self-reported interview data that encompassed a wide array of medical conditions found in both children and adults. The particular question we chose asked participants whether or not a doctor or other health professional had ever told them that they have arthritis. The participant could answer with “yes” or “no”. </w:t>
      </w:r>
    </w:p>
    <w:p w14:paraId="543B8A7D" w14:textId="77777777" w:rsidR="00247505" w:rsidRPr="004E4CEC" w:rsidRDefault="00247505" w:rsidP="00247505">
      <w:pPr>
        <w:spacing w:line="480" w:lineRule="auto"/>
        <w:jc w:val="both"/>
      </w:pPr>
      <w:r w:rsidRPr="004E4CEC">
        <w:rPr>
          <w:b/>
          <w:bCs/>
          <w:color w:val="000000"/>
        </w:rPr>
        <w:t>Inclusion Criteria</w:t>
      </w:r>
    </w:p>
    <w:p w14:paraId="0B3CCB2F" w14:textId="77777777" w:rsidR="00247505" w:rsidRPr="003D0FC0" w:rsidRDefault="00247505" w:rsidP="00152FD6">
      <w:pPr>
        <w:numPr>
          <w:ilvl w:val="0"/>
          <w:numId w:val="11"/>
        </w:numPr>
        <w:spacing w:line="480" w:lineRule="auto"/>
        <w:jc w:val="both"/>
        <w:textAlignment w:val="baseline"/>
        <w:rPr>
          <w:color w:val="000000"/>
        </w:rPr>
      </w:pPr>
      <w:r w:rsidRPr="003D0FC0">
        <w:rPr>
          <w:color w:val="000000"/>
        </w:rPr>
        <w:t>U.S. Citizens who completed the 2011-2012 NHANES</w:t>
      </w:r>
    </w:p>
    <w:p w14:paraId="364B8186" w14:textId="77777777" w:rsidR="00247505" w:rsidRPr="004E4CEC" w:rsidRDefault="00247505" w:rsidP="00247505">
      <w:pPr>
        <w:spacing w:line="480" w:lineRule="auto"/>
        <w:jc w:val="both"/>
      </w:pPr>
      <w:r w:rsidRPr="004E4CEC">
        <w:rPr>
          <w:b/>
          <w:bCs/>
          <w:color w:val="000000"/>
        </w:rPr>
        <w:t>Exclusion Criteria</w:t>
      </w:r>
    </w:p>
    <w:p w14:paraId="09B4B50B" w14:textId="77777777" w:rsidR="00247505" w:rsidRDefault="00247505" w:rsidP="00152FD6">
      <w:pPr>
        <w:numPr>
          <w:ilvl w:val="0"/>
          <w:numId w:val="12"/>
        </w:numPr>
        <w:spacing w:line="480" w:lineRule="auto"/>
        <w:jc w:val="both"/>
        <w:textAlignment w:val="baseline"/>
        <w:rPr>
          <w:color w:val="000000"/>
        </w:rPr>
      </w:pPr>
      <w:r w:rsidRPr="003D0FC0">
        <w:rPr>
          <w:color w:val="000000"/>
        </w:rPr>
        <w:t>Individuals who did not complete all of the questionnaires and examinations for variables of interes</w:t>
      </w:r>
      <w:r>
        <w:rPr>
          <w:color w:val="000000"/>
        </w:rPr>
        <w:t>t</w:t>
      </w:r>
    </w:p>
    <w:p w14:paraId="749225C8" w14:textId="77777777" w:rsidR="00247505" w:rsidRDefault="00247505" w:rsidP="00152FD6">
      <w:pPr>
        <w:numPr>
          <w:ilvl w:val="0"/>
          <w:numId w:val="12"/>
        </w:numPr>
        <w:spacing w:line="480" w:lineRule="auto"/>
        <w:jc w:val="both"/>
        <w:textAlignment w:val="baseline"/>
        <w:rPr>
          <w:color w:val="000000"/>
        </w:rPr>
      </w:pPr>
      <w:r>
        <w:rPr>
          <w:color w:val="000000"/>
        </w:rPr>
        <w:lastRenderedPageBreak/>
        <w:t>Individuals younger than 20 years old</w:t>
      </w:r>
    </w:p>
    <w:p w14:paraId="3A68E869" w14:textId="77777777" w:rsidR="004E4CEC" w:rsidRDefault="00247505" w:rsidP="00247505">
      <w:pPr>
        <w:numPr>
          <w:ilvl w:val="0"/>
          <w:numId w:val="12"/>
        </w:numPr>
        <w:spacing w:line="480" w:lineRule="auto"/>
        <w:jc w:val="both"/>
        <w:textAlignment w:val="baseline"/>
        <w:rPr>
          <w:color w:val="000000"/>
        </w:rPr>
      </w:pPr>
      <w:r>
        <w:rPr>
          <w:color w:val="000000"/>
        </w:rPr>
        <w:t>Individuals who were pregnant at the time of the survey</w:t>
      </w:r>
    </w:p>
    <w:p w14:paraId="62E62071" w14:textId="039D08D8" w:rsidR="00247505" w:rsidRPr="004E4CEC" w:rsidRDefault="00247505" w:rsidP="004E4CEC">
      <w:pPr>
        <w:spacing w:line="480" w:lineRule="auto"/>
        <w:jc w:val="both"/>
        <w:textAlignment w:val="baseline"/>
        <w:rPr>
          <w:color w:val="000000"/>
        </w:rPr>
      </w:pPr>
      <w:r w:rsidRPr="004E4CEC">
        <w:rPr>
          <w:b/>
          <w:bCs/>
          <w:color w:val="000000"/>
        </w:rPr>
        <w:t>Statistical Methods</w:t>
      </w:r>
    </w:p>
    <w:p w14:paraId="3E5B123E" w14:textId="20DD90E3" w:rsidR="00C008A4" w:rsidRDefault="00247505" w:rsidP="00C008A4">
      <w:pPr>
        <w:spacing w:line="480" w:lineRule="auto"/>
        <w:ind w:firstLine="720"/>
        <w:jc w:val="both"/>
        <w:rPr>
          <w:color w:val="000000"/>
        </w:rPr>
      </w:pPr>
      <w:r>
        <w:rPr>
          <w:color w:val="000000"/>
        </w:rPr>
        <w:t xml:space="preserve">SPSS complex samples software was used for all analysis. Based upon recommendations from the CDC on proper analysis, the 2-year MEC weighting statistics were used to weight the sampled population. Differences in the frequency or percentage of the sample exhibiting a certain characteristic across the </w:t>
      </w:r>
      <w:r w:rsidR="00273B55">
        <w:rPr>
          <w:color w:val="000000"/>
        </w:rPr>
        <w:t>three pain</w:t>
      </w:r>
      <w:r>
        <w:rPr>
          <w:color w:val="000000"/>
        </w:rPr>
        <w:t xml:space="preserve"> making it hard for usual activity categories were examined using the Rao-Scott chi-square test. An ordinal logistic regression was used to estimate the relationship among PA categories, weight status, body composition, and appearance in a certain pain category while controlling for other covariates such as age, </w:t>
      </w:r>
      <w:r w:rsidR="004E4CEC">
        <w:rPr>
          <w:color w:val="000000"/>
        </w:rPr>
        <w:t>sex,</w:t>
      </w:r>
      <w:r>
        <w:rPr>
          <w:color w:val="000000"/>
        </w:rPr>
        <w:t xml:space="preserve"> ethnicity, and education level.</w:t>
      </w:r>
      <w:r w:rsidR="004E4CEC">
        <w:rPr>
          <w:color w:val="000000"/>
        </w:rPr>
        <w:t xml:space="preserve"> The data will be presented as frequencies/percentages and standard error (SE). The level of significance was set at P &lt; 0.05.</w:t>
      </w:r>
    </w:p>
    <w:p w14:paraId="4C2DF12B" w14:textId="77777777" w:rsidR="00C008A4" w:rsidRDefault="00C008A4">
      <w:pPr>
        <w:spacing w:after="200"/>
        <w:rPr>
          <w:color w:val="000000"/>
        </w:rPr>
      </w:pPr>
      <w:r>
        <w:rPr>
          <w:color w:val="000000"/>
        </w:rPr>
        <w:br w:type="page"/>
      </w:r>
    </w:p>
    <w:p w14:paraId="3D47DAC4" w14:textId="36FDB6D0" w:rsidR="00247505" w:rsidRDefault="00247505" w:rsidP="00247505">
      <w:pPr>
        <w:spacing w:after="200"/>
        <w:rPr>
          <w:b/>
          <w:bCs/>
        </w:rPr>
      </w:pPr>
      <w:r>
        <w:rPr>
          <w:b/>
          <w:bCs/>
        </w:rPr>
        <w:lastRenderedPageBreak/>
        <w:t>CHAPTER IV</w:t>
      </w:r>
    </w:p>
    <w:p w14:paraId="08A063A1" w14:textId="29526A1A" w:rsidR="00247505" w:rsidRDefault="00247505" w:rsidP="00247505">
      <w:pPr>
        <w:spacing w:line="480" w:lineRule="auto"/>
        <w:jc w:val="both"/>
        <w:rPr>
          <w:b/>
          <w:bCs/>
        </w:rPr>
      </w:pPr>
      <w:r>
        <w:rPr>
          <w:b/>
          <w:bCs/>
        </w:rPr>
        <w:t>RESULTS</w:t>
      </w:r>
      <w:r w:rsidR="00AA1251">
        <w:rPr>
          <w:b/>
          <w:bCs/>
        </w:rPr>
        <w:t xml:space="preserve"> &amp; DISCUSSION</w:t>
      </w:r>
    </w:p>
    <w:p w14:paraId="0C1AC37A" w14:textId="77777777" w:rsidR="00247505" w:rsidRPr="004E4CEC" w:rsidRDefault="00247505" w:rsidP="00247505">
      <w:pPr>
        <w:spacing w:line="480" w:lineRule="auto"/>
        <w:jc w:val="both"/>
        <w:rPr>
          <w:b/>
          <w:bCs/>
        </w:rPr>
      </w:pPr>
      <w:r w:rsidRPr="004E4CEC">
        <w:rPr>
          <w:b/>
          <w:bCs/>
        </w:rPr>
        <w:t>Participant Characteristics</w:t>
      </w:r>
    </w:p>
    <w:p w14:paraId="79C9C455" w14:textId="2FE9E065" w:rsidR="00247505" w:rsidRDefault="00247505" w:rsidP="00247505">
      <w:pPr>
        <w:spacing w:line="480" w:lineRule="auto"/>
        <w:jc w:val="both"/>
      </w:pPr>
      <w:r>
        <w:tab/>
        <w:t xml:space="preserve">Table 1 shows weighted means for the US population split by </w:t>
      </w:r>
      <w:r w:rsidR="004E4CEC">
        <w:t>sex</w:t>
      </w:r>
      <w:r>
        <w:t xml:space="preserve"> using a general linear model and t-test as well as a Rao-Scott Chi-Square test of independence. Significant differences between men and women were observed among age, D</w:t>
      </w:r>
      <w:r w:rsidR="004E4CEC">
        <w:t>E</w:t>
      </w:r>
      <w:r>
        <w:t>XA body composition variables, total physical activity, and recreational physical activity (</w:t>
      </w:r>
      <w:r>
        <w:rPr>
          <w:i/>
          <w:iCs/>
        </w:rPr>
        <w:t>P</w:t>
      </w:r>
      <w:r>
        <w:t xml:space="preserve"> &lt; 0.05). In general, the women (48.3</w:t>
      </w:r>
      <w:r w:rsidRPr="00AB6604">
        <w:t>± 0.80</w:t>
      </w:r>
      <w:r w:rsidR="004E4CEC">
        <w:t xml:space="preserve"> yrs</w:t>
      </w:r>
      <w:r>
        <w:t>) were older than the men (</w:t>
      </w:r>
      <w:r w:rsidRPr="00AB6604">
        <w:t>46.7 ± 0.89</w:t>
      </w:r>
      <w:r w:rsidR="004E4CEC">
        <w:t xml:space="preserve"> yrs</w:t>
      </w:r>
      <w:r>
        <w:t>). Females had both higher percent body fat (</w:t>
      </w:r>
      <w:r w:rsidRPr="00AB6604">
        <w:t>38.7 ± 0.37</w:t>
      </w:r>
      <w:r w:rsidR="004E4CEC">
        <w:t xml:space="preserve"> kg</w:t>
      </w:r>
      <w:r>
        <w:t>) and fat mass (</w:t>
      </w:r>
      <w:r w:rsidRPr="00AB6604">
        <w:t>30.3 ± 0.50</w:t>
      </w:r>
      <w:r w:rsidR="004E4CEC">
        <w:t xml:space="preserve"> kg</w:t>
      </w:r>
      <w:r>
        <w:t>) than males (</w:t>
      </w:r>
      <w:r w:rsidRPr="00AB6604">
        <w:t>27.1 ± 0.25</w:t>
      </w:r>
      <w:r w:rsidR="004E4CEC">
        <w:t xml:space="preserve"> kg</w:t>
      </w:r>
      <w:r>
        <w:t>) and (</w:t>
      </w:r>
      <w:r w:rsidRPr="00AB6604">
        <w:t>24.6 ± 0.44</w:t>
      </w:r>
      <w:r w:rsidR="004E4CEC">
        <w:t xml:space="preserve"> kg</w:t>
      </w:r>
      <w:r>
        <w:t>) respectively. Conversely, males had a higher lean mass (</w:t>
      </w:r>
      <w:r w:rsidRPr="00AB6604">
        <w:t>61.0 ± 0.40</w:t>
      </w:r>
      <w:r>
        <w:t>) compared to females (</w:t>
      </w:r>
      <w:r w:rsidRPr="00AB6604">
        <w:t>43.9 ± 0.3</w:t>
      </w:r>
      <w:r w:rsidR="004E4CEC">
        <w:t>1 kg</w:t>
      </w:r>
      <w:r>
        <w:t xml:space="preserve">).  </w:t>
      </w:r>
    </w:p>
    <w:p w14:paraId="632050E3" w14:textId="21059A42" w:rsidR="00247505" w:rsidRDefault="00247505" w:rsidP="00247505">
      <w:pPr>
        <w:spacing w:line="480" w:lineRule="auto"/>
        <w:jc w:val="both"/>
      </w:pPr>
      <w:r>
        <w:tab/>
        <w:t>When comparing physical activity, men had a higher prevalence of being sufficiently active (</w:t>
      </w:r>
      <w:r w:rsidRPr="00AB6604">
        <w:t>71.8 ± 1.6</w:t>
      </w:r>
      <w:r w:rsidR="004E4CEC">
        <w:t xml:space="preserve"> %)</w:t>
      </w:r>
      <w:r>
        <w:t xml:space="preserve"> and a lower prevalence of being insufficiently active (</w:t>
      </w:r>
      <w:r w:rsidRPr="00AB6604">
        <w:t>28.2 ± 1.6</w:t>
      </w:r>
      <w:r w:rsidR="004E4CEC">
        <w:t xml:space="preserve"> %</w:t>
      </w:r>
      <w:r>
        <w:t>) based on total activity than women (</w:t>
      </w:r>
      <w:r w:rsidRPr="00AB6604">
        <w:t>58.5 ± 1.8</w:t>
      </w:r>
      <w:r w:rsidR="004E4CEC">
        <w:t xml:space="preserve"> %</w:t>
      </w:r>
      <w:r>
        <w:t>) and (</w:t>
      </w:r>
      <w:r w:rsidRPr="00AB6604">
        <w:t>41.5 ± 1.8</w:t>
      </w:r>
      <w:r w:rsidR="004E4CEC">
        <w:t xml:space="preserve"> %</w:t>
      </w:r>
      <w:r>
        <w:t>) respectively. Additionally, the same trend between men and women was observed for recreational physical activity only. Women had a slightly higher prevalence of having no recreational activity (</w:t>
      </w:r>
      <w:r w:rsidRPr="00AB6604">
        <w:t>46.7 ± 2.5</w:t>
      </w:r>
      <w:r w:rsidR="004E4CEC">
        <w:t xml:space="preserve"> %</w:t>
      </w:r>
      <w:r>
        <w:t>) than men did (</w:t>
      </w:r>
      <w:r w:rsidRPr="00AB6604">
        <w:t>42.8 ± 2.6</w:t>
      </w:r>
      <w:r w:rsidR="004E4CEC">
        <w:t xml:space="preserve"> %</w:t>
      </w:r>
      <w:r>
        <w:t xml:space="preserve">). Lastly, no significant differences were found for BMI between males and females. </w:t>
      </w:r>
    </w:p>
    <w:p w14:paraId="651A7550" w14:textId="43135F05" w:rsidR="00C008A4" w:rsidRDefault="00C008A4" w:rsidP="00247505">
      <w:pPr>
        <w:spacing w:line="480" w:lineRule="auto"/>
        <w:jc w:val="both"/>
      </w:pPr>
    </w:p>
    <w:p w14:paraId="59311E4D" w14:textId="4C6467DC" w:rsidR="00C008A4" w:rsidRDefault="00C008A4" w:rsidP="00247505">
      <w:pPr>
        <w:spacing w:line="480" w:lineRule="auto"/>
        <w:jc w:val="both"/>
      </w:pPr>
    </w:p>
    <w:p w14:paraId="42F12E60" w14:textId="398CEF58" w:rsidR="00C008A4" w:rsidRDefault="00C008A4" w:rsidP="00247505">
      <w:pPr>
        <w:spacing w:line="480" w:lineRule="auto"/>
        <w:jc w:val="both"/>
      </w:pPr>
    </w:p>
    <w:p w14:paraId="6EC6CDF8" w14:textId="5BD89C7A" w:rsidR="00C008A4" w:rsidRDefault="00C008A4" w:rsidP="00247505">
      <w:pPr>
        <w:spacing w:line="480" w:lineRule="auto"/>
        <w:jc w:val="both"/>
      </w:pPr>
    </w:p>
    <w:p w14:paraId="1FF7D80D" w14:textId="02283B80" w:rsidR="00C008A4" w:rsidRDefault="00C008A4" w:rsidP="00247505">
      <w:pPr>
        <w:spacing w:line="480" w:lineRule="auto"/>
        <w:jc w:val="both"/>
      </w:pPr>
    </w:p>
    <w:p w14:paraId="5C7F49A2" w14:textId="1A38A52C" w:rsidR="00C008A4" w:rsidRDefault="00C008A4" w:rsidP="00247505">
      <w:pPr>
        <w:spacing w:line="480" w:lineRule="auto"/>
        <w:jc w:val="both"/>
      </w:pPr>
    </w:p>
    <w:p w14:paraId="0A2540E2" w14:textId="5236E4E8" w:rsidR="00C008A4" w:rsidRDefault="00C008A4" w:rsidP="00247505">
      <w:pPr>
        <w:spacing w:line="480" w:lineRule="auto"/>
        <w:jc w:val="both"/>
      </w:pPr>
    </w:p>
    <w:p w14:paraId="1EF88B13" w14:textId="77777777" w:rsidR="00C008A4" w:rsidRDefault="00C008A4" w:rsidP="00247505">
      <w:pPr>
        <w:spacing w:line="480" w:lineRule="auto"/>
        <w:jc w:val="both"/>
      </w:pPr>
    </w:p>
    <w:tbl>
      <w:tblPr>
        <w:tblStyle w:val="TableGrid"/>
        <w:tblW w:w="8641" w:type="dxa"/>
        <w:tblLook w:val="04A0" w:firstRow="1" w:lastRow="0" w:firstColumn="1" w:lastColumn="0" w:noHBand="0" w:noVBand="1"/>
      </w:tblPr>
      <w:tblGrid>
        <w:gridCol w:w="2790"/>
        <w:gridCol w:w="1922"/>
        <w:gridCol w:w="1226"/>
        <w:gridCol w:w="1226"/>
        <w:gridCol w:w="1005"/>
        <w:gridCol w:w="472"/>
      </w:tblGrid>
      <w:tr w:rsidR="00247505" w:rsidRPr="005F7B0F" w14:paraId="50F1E774" w14:textId="77777777" w:rsidTr="001629CC">
        <w:tc>
          <w:tcPr>
            <w:tcW w:w="8641" w:type="dxa"/>
            <w:gridSpan w:val="6"/>
            <w:tcBorders>
              <w:top w:val="nil"/>
              <w:left w:val="nil"/>
              <w:bottom w:val="double" w:sz="4" w:space="0" w:color="auto"/>
              <w:right w:val="nil"/>
            </w:tcBorders>
          </w:tcPr>
          <w:p w14:paraId="69CBF7E4"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b/>
                <w:sz w:val="20"/>
                <w:szCs w:val="20"/>
              </w:rPr>
              <w:t>Table 1</w:t>
            </w:r>
            <w:r w:rsidRPr="005F7B0F">
              <w:rPr>
                <w:rFonts w:ascii="Times New Roman" w:hAnsi="Times New Roman"/>
                <w:sz w:val="20"/>
                <w:szCs w:val="20"/>
              </w:rPr>
              <w:t xml:space="preserve">. – Participant characteristics </w:t>
            </w:r>
          </w:p>
        </w:tc>
      </w:tr>
      <w:tr w:rsidR="00247505" w:rsidRPr="005F7B0F" w14:paraId="1151ABDB" w14:textId="77777777" w:rsidTr="001629CC">
        <w:trPr>
          <w:gridAfter w:val="1"/>
          <w:wAfter w:w="472" w:type="dxa"/>
        </w:trPr>
        <w:tc>
          <w:tcPr>
            <w:tcW w:w="2790" w:type="dxa"/>
            <w:tcBorders>
              <w:top w:val="double" w:sz="4" w:space="0" w:color="auto"/>
              <w:left w:val="nil"/>
              <w:bottom w:val="nil"/>
              <w:right w:val="nil"/>
            </w:tcBorders>
          </w:tcPr>
          <w:p w14:paraId="6B49301E" w14:textId="77777777" w:rsidR="00247505" w:rsidRPr="005F7B0F" w:rsidRDefault="00247505" w:rsidP="001629CC">
            <w:pPr>
              <w:spacing w:line="276" w:lineRule="auto"/>
              <w:jc w:val="both"/>
              <w:rPr>
                <w:rFonts w:ascii="Times New Roman" w:hAnsi="Times New Roman"/>
                <w:b/>
                <w:sz w:val="20"/>
                <w:szCs w:val="20"/>
                <w:u w:val="single"/>
              </w:rPr>
            </w:pPr>
            <w:r w:rsidRPr="005F7B0F">
              <w:rPr>
                <w:rFonts w:ascii="Times New Roman" w:hAnsi="Times New Roman"/>
                <w:b/>
                <w:sz w:val="20"/>
                <w:szCs w:val="20"/>
                <w:u w:val="single"/>
              </w:rPr>
              <w:t>Parameter</w:t>
            </w:r>
          </w:p>
        </w:tc>
        <w:tc>
          <w:tcPr>
            <w:tcW w:w="1922" w:type="dxa"/>
            <w:tcBorders>
              <w:top w:val="double" w:sz="4" w:space="0" w:color="auto"/>
              <w:left w:val="nil"/>
              <w:bottom w:val="nil"/>
              <w:right w:val="nil"/>
            </w:tcBorders>
          </w:tcPr>
          <w:p w14:paraId="71C7ED13"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Unweighted Count</w:t>
            </w:r>
          </w:p>
        </w:tc>
        <w:tc>
          <w:tcPr>
            <w:tcW w:w="1226" w:type="dxa"/>
            <w:tcBorders>
              <w:top w:val="double" w:sz="4" w:space="0" w:color="auto"/>
              <w:left w:val="nil"/>
              <w:bottom w:val="nil"/>
              <w:right w:val="nil"/>
            </w:tcBorders>
          </w:tcPr>
          <w:p w14:paraId="1DDEED9D"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Men</w:t>
            </w:r>
          </w:p>
        </w:tc>
        <w:tc>
          <w:tcPr>
            <w:tcW w:w="1226" w:type="dxa"/>
            <w:tcBorders>
              <w:top w:val="double" w:sz="4" w:space="0" w:color="auto"/>
              <w:left w:val="nil"/>
              <w:bottom w:val="nil"/>
              <w:right w:val="nil"/>
            </w:tcBorders>
          </w:tcPr>
          <w:p w14:paraId="0C4E4F52"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Women</w:t>
            </w:r>
          </w:p>
        </w:tc>
        <w:tc>
          <w:tcPr>
            <w:tcW w:w="1005" w:type="dxa"/>
            <w:tcBorders>
              <w:top w:val="double" w:sz="4" w:space="0" w:color="auto"/>
              <w:left w:val="nil"/>
              <w:bottom w:val="nil"/>
              <w:right w:val="nil"/>
            </w:tcBorders>
          </w:tcPr>
          <w:p w14:paraId="3345A181"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P-Value</w:t>
            </w:r>
          </w:p>
        </w:tc>
      </w:tr>
      <w:tr w:rsidR="00247505" w:rsidRPr="005F7B0F" w14:paraId="52FF6D01" w14:textId="77777777" w:rsidTr="001629CC">
        <w:trPr>
          <w:gridAfter w:val="1"/>
          <w:wAfter w:w="472" w:type="dxa"/>
        </w:trPr>
        <w:tc>
          <w:tcPr>
            <w:tcW w:w="2790" w:type="dxa"/>
            <w:tcBorders>
              <w:top w:val="nil"/>
              <w:left w:val="nil"/>
              <w:bottom w:val="nil"/>
              <w:right w:val="nil"/>
            </w:tcBorders>
          </w:tcPr>
          <w:p w14:paraId="053AA9CF"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Age (yrs)</w:t>
            </w:r>
          </w:p>
        </w:tc>
        <w:tc>
          <w:tcPr>
            <w:tcW w:w="1922" w:type="dxa"/>
            <w:tcBorders>
              <w:top w:val="nil"/>
              <w:left w:val="nil"/>
              <w:bottom w:val="nil"/>
              <w:right w:val="nil"/>
            </w:tcBorders>
          </w:tcPr>
          <w:p w14:paraId="369114FC"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5463</w:t>
            </w:r>
          </w:p>
        </w:tc>
        <w:tc>
          <w:tcPr>
            <w:tcW w:w="1226" w:type="dxa"/>
            <w:tcBorders>
              <w:top w:val="nil"/>
              <w:left w:val="nil"/>
              <w:bottom w:val="nil"/>
              <w:right w:val="nil"/>
            </w:tcBorders>
          </w:tcPr>
          <w:p w14:paraId="76DED685"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46.7 ± 0.89</w:t>
            </w:r>
          </w:p>
        </w:tc>
        <w:tc>
          <w:tcPr>
            <w:tcW w:w="1226" w:type="dxa"/>
            <w:tcBorders>
              <w:top w:val="nil"/>
              <w:left w:val="nil"/>
              <w:bottom w:val="nil"/>
              <w:right w:val="nil"/>
            </w:tcBorders>
          </w:tcPr>
          <w:p w14:paraId="5DD8976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48.3 ± 0.80</w:t>
            </w:r>
          </w:p>
        </w:tc>
        <w:tc>
          <w:tcPr>
            <w:tcW w:w="1005" w:type="dxa"/>
            <w:tcBorders>
              <w:top w:val="nil"/>
              <w:left w:val="nil"/>
              <w:bottom w:val="nil"/>
              <w:right w:val="nil"/>
            </w:tcBorders>
          </w:tcPr>
          <w:p w14:paraId="5934A088"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3D1D6FE5" w14:textId="77777777" w:rsidTr="001629CC">
        <w:trPr>
          <w:gridAfter w:val="1"/>
          <w:wAfter w:w="472" w:type="dxa"/>
        </w:trPr>
        <w:tc>
          <w:tcPr>
            <w:tcW w:w="2790" w:type="dxa"/>
            <w:tcBorders>
              <w:top w:val="nil"/>
              <w:left w:val="nil"/>
              <w:bottom w:val="nil"/>
              <w:right w:val="nil"/>
            </w:tcBorders>
          </w:tcPr>
          <w:p w14:paraId="2C0592E9"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BMI (kg/m</w:t>
            </w:r>
            <w:r w:rsidRPr="005F7B0F">
              <w:rPr>
                <w:rFonts w:ascii="Times New Roman" w:hAnsi="Times New Roman"/>
                <w:sz w:val="20"/>
                <w:szCs w:val="20"/>
                <w:vertAlign w:val="superscript"/>
              </w:rPr>
              <w:t>2</w:t>
            </w:r>
            <w:r w:rsidRPr="005F7B0F">
              <w:rPr>
                <w:rFonts w:ascii="Times New Roman" w:hAnsi="Times New Roman"/>
                <w:sz w:val="20"/>
                <w:szCs w:val="20"/>
              </w:rPr>
              <w:t>)</w:t>
            </w:r>
          </w:p>
        </w:tc>
        <w:tc>
          <w:tcPr>
            <w:tcW w:w="1922" w:type="dxa"/>
            <w:tcBorders>
              <w:top w:val="nil"/>
              <w:left w:val="nil"/>
              <w:bottom w:val="nil"/>
              <w:right w:val="nil"/>
            </w:tcBorders>
          </w:tcPr>
          <w:p w14:paraId="6CE1BC6C"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5146</w:t>
            </w:r>
          </w:p>
        </w:tc>
        <w:tc>
          <w:tcPr>
            <w:tcW w:w="1226" w:type="dxa"/>
            <w:tcBorders>
              <w:top w:val="nil"/>
              <w:left w:val="nil"/>
              <w:bottom w:val="nil"/>
              <w:right w:val="nil"/>
            </w:tcBorders>
          </w:tcPr>
          <w:p w14:paraId="2B067BE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28.5 ± 0.23</w:t>
            </w:r>
          </w:p>
        </w:tc>
        <w:tc>
          <w:tcPr>
            <w:tcW w:w="1226" w:type="dxa"/>
            <w:tcBorders>
              <w:top w:val="nil"/>
              <w:left w:val="nil"/>
              <w:bottom w:val="nil"/>
              <w:right w:val="nil"/>
            </w:tcBorders>
          </w:tcPr>
          <w:p w14:paraId="32CB88A9"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28.9 ± 0.24</w:t>
            </w:r>
          </w:p>
        </w:tc>
        <w:tc>
          <w:tcPr>
            <w:tcW w:w="1005" w:type="dxa"/>
            <w:tcBorders>
              <w:top w:val="nil"/>
              <w:left w:val="nil"/>
              <w:bottom w:val="nil"/>
              <w:right w:val="nil"/>
            </w:tcBorders>
          </w:tcPr>
          <w:p w14:paraId="45468307" w14:textId="073CBF62"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0.061</w:t>
            </w:r>
            <w:r w:rsidRPr="005F7B0F">
              <w:rPr>
                <w:rFonts w:ascii="Times New Roman" w:hAnsi="Times New Roman"/>
                <w:sz w:val="20"/>
                <w:szCs w:val="20"/>
                <w:vertAlign w:val="superscript"/>
              </w:rPr>
              <w:t>a</w:t>
            </w:r>
          </w:p>
        </w:tc>
      </w:tr>
      <w:tr w:rsidR="00247505" w:rsidRPr="005F7B0F" w14:paraId="4AE6CB03" w14:textId="77777777" w:rsidTr="001629CC">
        <w:trPr>
          <w:gridAfter w:val="1"/>
          <w:wAfter w:w="472" w:type="dxa"/>
        </w:trPr>
        <w:tc>
          <w:tcPr>
            <w:tcW w:w="2790" w:type="dxa"/>
            <w:tcBorders>
              <w:top w:val="nil"/>
              <w:left w:val="nil"/>
              <w:bottom w:val="nil"/>
              <w:right w:val="nil"/>
            </w:tcBorders>
          </w:tcPr>
          <w:p w14:paraId="2D5A818E"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DXA Body Fat Percent (%)</w:t>
            </w:r>
          </w:p>
        </w:tc>
        <w:tc>
          <w:tcPr>
            <w:tcW w:w="1922" w:type="dxa"/>
            <w:tcBorders>
              <w:top w:val="nil"/>
              <w:left w:val="nil"/>
              <w:bottom w:val="nil"/>
              <w:right w:val="nil"/>
            </w:tcBorders>
          </w:tcPr>
          <w:p w14:paraId="0428E481"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2708</w:t>
            </w:r>
          </w:p>
        </w:tc>
        <w:tc>
          <w:tcPr>
            <w:tcW w:w="1226" w:type="dxa"/>
            <w:tcBorders>
              <w:top w:val="nil"/>
              <w:left w:val="nil"/>
              <w:bottom w:val="nil"/>
              <w:right w:val="nil"/>
            </w:tcBorders>
          </w:tcPr>
          <w:p w14:paraId="2FD2DA04"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27.1 ± 0.25</w:t>
            </w:r>
          </w:p>
        </w:tc>
        <w:tc>
          <w:tcPr>
            <w:tcW w:w="1226" w:type="dxa"/>
            <w:tcBorders>
              <w:top w:val="nil"/>
              <w:left w:val="nil"/>
              <w:bottom w:val="nil"/>
              <w:right w:val="nil"/>
            </w:tcBorders>
          </w:tcPr>
          <w:p w14:paraId="4702AB49"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38.7 ± 0.37</w:t>
            </w:r>
          </w:p>
        </w:tc>
        <w:tc>
          <w:tcPr>
            <w:tcW w:w="1005" w:type="dxa"/>
            <w:tcBorders>
              <w:top w:val="nil"/>
              <w:left w:val="nil"/>
              <w:bottom w:val="nil"/>
              <w:right w:val="nil"/>
            </w:tcBorders>
          </w:tcPr>
          <w:p w14:paraId="4C71F592"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7B46D06A" w14:textId="77777777" w:rsidTr="001629CC">
        <w:trPr>
          <w:gridAfter w:val="1"/>
          <w:wAfter w:w="472" w:type="dxa"/>
        </w:trPr>
        <w:tc>
          <w:tcPr>
            <w:tcW w:w="2790" w:type="dxa"/>
            <w:tcBorders>
              <w:top w:val="nil"/>
              <w:left w:val="nil"/>
              <w:bottom w:val="nil"/>
              <w:right w:val="nil"/>
            </w:tcBorders>
          </w:tcPr>
          <w:p w14:paraId="13071E4A"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DXA Lean Mass (kg)</w:t>
            </w:r>
          </w:p>
        </w:tc>
        <w:tc>
          <w:tcPr>
            <w:tcW w:w="1922" w:type="dxa"/>
            <w:tcBorders>
              <w:top w:val="nil"/>
              <w:left w:val="nil"/>
              <w:bottom w:val="nil"/>
              <w:right w:val="nil"/>
            </w:tcBorders>
          </w:tcPr>
          <w:p w14:paraId="1321BB7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2725</w:t>
            </w:r>
          </w:p>
        </w:tc>
        <w:tc>
          <w:tcPr>
            <w:tcW w:w="1226" w:type="dxa"/>
            <w:tcBorders>
              <w:top w:val="nil"/>
              <w:left w:val="nil"/>
              <w:bottom w:val="nil"/>
              <w:right w:val="nil"/>
            </w:tcBorders>
          </w:tcPr>
          <w:p w14:paraId="1020F7F5"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61.0 ± 0.40</w:t>
            </w:r>
          </w:p>
        </w:tc>
        <w:tc>
          <w:tcPr>
            <w:tcW w:w="1226" w:type="dxa"/>
            <w:tcBorders>
              <w:top w:val="nil"/>
              <w:left w:val="nil"/>
              <w:bottom w:val="nil"/>
              <w:right w:val="nil"/>
            </w:tcBorders>
          </w:tcPr>
          <w:p w14:paraId="5BD528ED"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43.9 ± 0.31</w:t>
            </w:r>
          </w:p>
        </w:tc>
        <w:tc>
          <w:tcPr>
            <w:tcW w:w="1005" w:type="dxa"/>
            <w:tcBorders>
              <w:top w:val="nil"/>
              <w:left w:val="nil"/>
              <w:bottom w:val="nil"/>
              <w:right w:val="nil"/>
            </w:tcBorders>
          </w:tcPr>
          <w:p w14:paraId="1B8FEB69"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63265454" w14:textId="77777777" w:rsidTr="001629CC">
        <w:trPr>
          <w:gridAfter w:val="1"/>
          <w:wAfter w:w="472" w:type="dxa"/>
        </w:trPr>
        <w:tc>
          <w:tcPr>
            <w:tcW w:w="2790" w:type="dxa"/>
            <w:tcBorders>
              <w:top w:val="nil"/>
              <w:left w:val="nil"/>
              <w:bottom w:val="nil"/>
              <w:right w:val="nil"/>
            </w:tcBorders>
          </w:tcPr>
          <w:p w14:paraId="66B67854"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DXA Fat Mass (kg)</w:t>
            </w:r>
          </w:p>
        </w:tc>
        <w:tc>
          <w:tcPr>
            <w:tcW w:w="1922" w:type="dxa"/>
            <w:tcBorders>
              <w:top w:val="nil"/>
              <w:left w:val="nil"/>
              <w:bottom w:val="nil"/>
              <w:right w:val="nil"/>
            </w:tcBorders>
          </w:tcPr>
          <w:p w14:paraId="0133183E"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2708</w:t>
            </w:r>
          </w:p>
        </w:tc>
        <w:tc>
          <w:tcPr>
            <w:tcW w:w="1226" w:type="dxa"/>
            <w:tcBorders>
              <w:top w:val="nil"/>
              <w:left w:val="nil"/>
              <w:bottom w:val="nil"/>
              <w:right w:val="nil"/>
            </w:tcBorders>
          </w:tcPr>
          <w:p w14:paraId="2035C151"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24.6 ± 0.44</w:t>
            </w:r>
          </w:p>
        </w:tc>
        <w:tc>
          <w:tcPr>
            <w:tcW w:w="1226" w:type="dxa"/>
            <w:tcBorders>
              <w:top w:val="nil"/>
              <w:left w:val="nil"/>
              <w:bottom w:val="nil"/>
              <w:right w:val="nil"/>
            </w:tcBorders>
          </w:tcPr>
          <w:p w14:paraId="4945FC25"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30.3 ± 0.50</w:t>
            </w:r>
          </w:p>
        </w:tc>
        <w:tc>
          <w:tcPr>
            <w:tcW w:w="1005" w:type="dxa"/>
            <w:tcBorders>
              <w:top w:val="nil"/>
              <w:left w:val="nil"/>
              <w:bottom w:val="nil"/>
              <w:right w:val="nil"/>
            </w:tcBorders>
          </w:tcPr>
          <w:p w14:paraId="1CE6F3DE"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49699E15" w14:textId="77777777" w:rsidTr="001629CC">
        <w:trPr>
          <w:gridAfter w:val="1"/>
          <w:wAfter w:w="472" w:type="dxa"/>
        </w:trPr>
        <w:tc>
          <w:tcPr>
            <w:tcW w:w="2790" w:type="dxa"/>
            <w:tcBorders>
              <w:top w:val="nil"/>
              <w:left w:val="nil"/>
              <w:bottom w:val="nil"/>
              <w:right w:val="nil"/>
            </w:tcBorders>
          </w:tcPr>
          <w:p w14:paraId="507DFBB2" w14:textId="77777777" w:rsidR="00247505" w:rsidRPr="005F7B0F" w:rsidRDefault="00247505" w:rsidP="001629CC">
            <w:pPr>
              <w:spacing w:line="276" w:lineRule="auto"/>
              <w:jc w:val="both"/>
              <w:rPr>
                <w:rFonts w:ascii="Times New Roman" w:hAnsi="Times New Roman"/>
                <w:sz w:val="20"/>
                <w:szCs w:val="20"/>
              </w:rPr>
            </w:pPr>
          </w:p>
        </w:tc>
        <w:tc>
          <w:tcPr>
            <w:tcW w:w="1922" w:type="dxa"/>
            <w:tcBorders>
              <w:top w:val="nil"/>
              <w:left w:val="nil"/>
              <w:bottom w:val="nil"/>
              <w:right w:val="nil"/>
            </w:tcBorders>
          </w:tcPr>
          <w:p w14:paraId="0C2DCC0F"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53FA209B"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3DC1CD40" w14:textId="77777777" w:rsidR="00247505" w:rsidRPr="005F7B0F" w:rsidRDefault="00247505" w:rsidP="0047668E">
            <w:pPr>
              <w:spacing w:line="276" w:lineRule="auto"/>
              <w:jc w:val="center"/>
              <w:rPr>
                <w:rFonts w:ascii="Times New Roman" w:hAnsi="Times New Roman"/>
                <w:sz w:val="20"/>
                <w:szCs w:val="20"/>
              </w:rPr>
            </w:pPr>
          </w:p>
        </w:tc>
        <w:tc>
          <w:tcPr>
            <w:tcW w:w="1005" w:type="dxa"/>
            <w:tcBorders>
              <w:top w:val="nil"/>
              <w:left w:val="nil"/>
              <w:bottom w:val="nil"/>
              <w:right w:val="nil"/>
            </w:tcBorders>
          </w:tcPr>
          <w:p w14:paraId="4EEBDC27"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583C7700" w14:textId="77777777" w:rsidTr="001629CC">
        <w:trPr>
          <w:gridAfter w:val="1"/>
          <w:wAfter w:w="472" w:type="dxa"/>
        </w:trPr>
        <w:tc>
          <w:tcPr>
            <w:tcW w:w="2790" w:type="dxa"/>
            <w:tcBorders>
              <w:top w:val="nil"/>
              <w:left w:val="nil"/>
              <w:bottom w:val="nil"/>
              <w:right w:val="nil"/>
            </w:tcBorders>
          </w:tcPr>
          <w:p w14:paraId="73E26444" w14:textId="77777777" w:rsidR="00247505" w:rsidRPr="005F7B0F" w:rsidRDefault="00247505" w:rsidP="001629CC">
            <w:pPr>
              <w:spacing w:line="276" w:lineRule="auto"/>
              <w:jc w:val="both"/>
              <w:rPr>
                <w:rFonts w:ascii="Times New Roman" w:hAnsi="Times New Roman"/>
                <w:sz w:val="20"/>
                <w:szCs w:val="20"/>
                <w:u w:val="single"/>
              </w:rPr>
            </w:pPr>
            <w:r w:rsidRPr="005F7B0F">
              <w:rPr>
                <w:rFonts w:ascii="Times New Roman" w:hAnsi="Times New Roman"/>
                <w:sz w:val="20"/>
                <w:szCs w:val="20"/>
                <w:u w:val="single"/>
              </w:rPr>
              <w:t>Total Physical Activity</w:t>
            </w:r>
          </w:p>
        </w:tc>
        <w:tc>
          <w:tcPr>
            <w:tcW w:w="1922" w:type="dxa"/>
            <w:tcBorders>
              <w:top w:val="nil"/>
              <w:left w:val="nil"/>
              <w:bottom w:val="nil"/>
              <w:right w:val="nil"/>
            </w:tcBorders>
          </w:tcPr>
          <w:p w14:paraId="4F2D8056"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1FA131FE"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0607B372" w14:textId="77777777" w:rsidR="00247505" w:rsidRPr="005F7B0F" w:rsidRDefault="00247505" w:rsidP="0047668E">
            <w:pPr>
              <w:spacing w:line="276" w:lineRule="auto"/>
              <w:jc w:val="center"/>
              <w:rPr>
                <w:rFonts w:ascii="Times New Roman" w:hAnsi="Times New Roman"/>
                <w:sz w:val="20"/>
                <w:szCs w:val="20"/>
              </w:rPr>
            </w:pPr>
          </w:p>
        </w:tc>
        <w:tc>
          <w:tcPr>
            <w:tcW w:w="1005" w:type="dxa"/>
            <w:tcBorders>
              <w:top w:val="nil"/>
              <w:left w:val="nil"/>
              <w:bottom w:val="nil"/>
              <w:right w:val="nil"/>
            </w:tcBorders>
          </w:tcPr>
          <w:p w14:paraId="707BCB8B"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3DB26992" w14:textId="77777777" w:rsidTr="001629CC">
        <w:trPr>
          <w:gridAfter w:val="1"/>
          <w:wAfter w:w="472" w:type="dxa"/>
        </w:trPr>
        <w:tc>
          <w:tcPr>
            <w:tcW w:w="2790" w:type="dxa"/>
            <w:tcBorders>
              <w:top w:val="nil"/>
              <w:left w:val="nil"/>
              <w:bottom w:val="nil"/>
              <w:right w:val="nil"/>
            </w:tcBorders>
          </w:tcPr>
          <w:p w14:paraId="22AE1D3C"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     Sufficiently Active (%)</w:t>
            </w:r>
          </w:p>
        </w:tc>
        <w:tc>
          <w:tcPr>
            <w:tcW w:w="1922" w:type="dxa"/>
            <w:tcBorders>
              <w:top w:val="nil"/>
              <w:left w:val="nil"/>
              <w:bottom w:val="nil"/>
              <w:right w:val="nil"/>
            </w:tcBorders>
          </w:tcPr>
          <w:p w14:paraId="0CA43F4C"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3162</w:t>
            </w:r>
          </w:p>
        </w:tc>
        <w:tc>
          <w:tcPr>
            <w:tcW w:w="1226" w:type="dxa"/>
            <w:tcBorders>
              <w:top w:val="nil"/>
              <w:left w:val="nil"/>
              <w:bottom w:val="nil"/>
              <w:right w:val="nil"/>
            </w:tcBorders>
          </w:tcPr>
          <w:p w14:paraId="141CF871"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71.8 ± 1.6</w:t>
            </w:r>
          </w:p>
        </w:tc>
        <w:tc>
          <w:tcPr>
            <w:tcW w:w="1226" w:type="dxa"/>
            <w:tcBorders>
              <w:top w:val="nil"/>
              <w:left w:val="nil"/>
              <w:bottom w:val="nil"/>
              <w:right w:val="nil"/>
            </w:tcBorders>
          </w:tcPr>
          <w:p w14:paraId="3673B28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58.5 ± 1.8</w:t>
            </w:r>
          </w:p>
        </w:tc>
        <w:tc>
          <w:tcPr>
            <w:tcW w:w="1005" w:type="dxa"/>
            <w:tcBorders>
              <w:top w:val="nil"/>
              <w:left w:val="nil"/>
              <w:bottom w:val="nil"/>
              <w:right w:val="nil"/>
            </w:tcBorders>
          </w:tcPr>
          <w:p w14:paraId="0F940C8E"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b</w:t>
            </w:r>
          </w:p>
        </w:tc>
      </w:tr>
      <w:tr w:rsidR="00247505" w:rsidRPr="005F7B0F" w14:paraId="74886D2C" w14:textId="77777777" w:rsidTr="001629CC">
        <w:trPr>
          <w:gridAfter w:val="1"/>
          <w:wAfter w:w="472" w:type="dxa"/>
        </w:trPr>
        <w:tc>
          <w:tcPr>
            <w:tcW w:w="2790" w:type="dxa"/>
            <w:tcBorders>
              <w:top w:val="nil"/>
              <w:left w:val="nil"/>
              <w:bottom w:val="nil"/>
              <w:right w:val="nil"/>
            </w:tcBorders>
          </w:tcPr>
          <w:p w14:paraId="0088D28C"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     Insufficiently Active (%)</w:t>
            </w:r>
          </w:p>
        </w:tc>
        <w:tc>
          <w:tcPr>
            <w:tcW w:w="1922" w:type="dxa"/>
            <w:tcBorders>
              <w:top w:val="nil"/>
              <w:left w:val="nil"/>
              <w:bottom w:val="nil"/>
              <w:right w:val="nil"/>
            </w:tcBorders>
          </w:tcPr>
          <w:p w14:paraId="1C01E36F"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2062</w:t>
            </w:r>
          </w:p>
        </w:tc>
        <w:tc>
          <w:tcPr>
            <w:tcW w:w="1226" w:type="dxa"/>
            <w:tcBorders>
              <w:top w:val="nil"/>
              <w:left w:val="nil"/>
              <w:bottom w:val="nil"/>
              <w:right w:val="nil"/>
            </w:tcBorders>
          </w:tcPr>
          <w:p w14:paraId="0F7ED100"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28.2 ± 1.6</w:t>
            </w:r>
          </w:p>
        </w:tc>
        <w:tc>
          <w:tcPr>
            <w:tcW w:w="1226" w:type="dxa"/>
            <w:tcBorders>
              <w:top w:val="nil"/>
              <w:left w:val="nil"/>
              <w:bottom w:val="nil"/>
              <w:right w:val="nil"/>
            </w:tcBorders>
          </w:tcPr>
          <w:p w14:paraId="0F24AA68"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41.5 ± 1.8</w:t>
            </w:r>
          </w:p>
        </w:tc>
        <w:tc>
          <w:tcPr>
            <w:tcW w:w="1005" w:type="dxa"/>
            <w:tcBorders>
              <w:top w:val="nil"/>
              <w:left w:val="nil"/>
              <w:bottom w:val="nil"/>
              <w:right w:val="nil"/>
            </w:tcBorders>
          </w:tcPr>
          <w:p w14:paraId="0CAA18DC"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11EAD46B" w14:textId="77777777" w:rsidTr="001629CC">
        <w:trPr>
          <w:gridAfter w:val="1"/>
          <w:wAfter w:w="472" w:type="dxa"/>
        </w:trPr>
        <w:tc>
          <w:tcPr>
            <w:tcW w:w="2790" w:type="dxa"/>
            <w:tcBorders>
              <w:top w:val="nil"/>
              <w:left w:val="nil"/>
              <w:bottom w:val="nil"/>
              <w:right w:val="nil"/>
            </w:tcBorders>
          </w:tcPr>
          <w:p w14:paraId="30D130DA" w14:textId="77777777" w:rsidR="00247505" w:rsidRPr="005F7B0F" w:rsidRDefault="00247505" w:rsidP="001629CC">
            <w:pPr>
              <w:spacing w:line="276" w:lineRule="auto"/>
              <w:jc w:val="both"/>
              <w:rPr>
                <w:rFonts w:ascii="Times New Roman" w:hAnsi="Times New Roman"/>
                <w:sz w:val="20"/>
                <w:szCs w:val="20"/>
              </w:rPr>
            </w:pPr>
          </w:p>
        </w:tc>
        <w:tc>
          <w:tcPr>
            <w:tcW w:w="1922" w:type="dxa"/>
            <w:tcBorders>
              <w:top w:val="nil"/>
              <w:left w:val="nil"/>
              <w:bottom w:val="nil"/>
              <w:right w:val="nil"/>
            </w:tcBorders>
          </w:tcPr>
          <w:p w14:paraId="644BE0CD"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4DFC0EDC"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59D2E776" w14:textId="77777777" w:rsidR="00247505" w:rsidRPr="005F7B0F" w:rsidRDefault="00247505" w:rsidP="0047668E">
            <w:pPr>
              <w:spacing w:line="276" w:lineRule="auto"/>
              <w:jc w:val="center"/>
              <w:rPr>
                <w:rFonts w:ascii="Times New Roman" w:hAnsi="Times New Roman"/>
                <w:sz w:val="20"/>
                <w:szCs w:val="20"/>
              </w:rPr>
            </w:pPr>
          </w:p>
        </w:tc>
        <w:tc>
          <w:tcPr>
            <w:tcW w:w="1005" w:type="dxa"/>
            <w:tcBorders>
              <w:top w:val="nil"/>
              <w:left w:val="nil"/>
              <w:bottom w:val="nil"/>
              <w:right w:val="nil"/>
            </w:tcBorders>
          </w:tcPr>
          <w:p w14:paraId="0B067608"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30DEC713" w14:textId="77777777" w:rsidTr="001629CC">
        <w:trPr>
          <w:gridAfter w:val="1"/>
          <w:wAfter w:w="472" w:type="dxa"/>
        </w:trPr>
        <w:tc>
          <w:tcPr>
            <w:tcW w:w="2790" w:type="dxa"/>
            <w:tcBorders>
              <w:top w:val="nil"/>
              <w:left w:val="nil"/>
              <w:bottom w:val="nil"/>
              <w:right w:val="nil"/>
            </w:tcBorders>
          </w:tcPr>
          <w:p w14:paraId="78E3D998" w14:textId="77777777" w:rsidR="00247505" w:rsidRPr="005F7B0F" w:rsidRDefault="00247505" w:rsidP="001629CC">
            <w:pPr>
              <w:spacing w:line="276" w:lineRule="auto"/>
              <w:jc w:val="both"/>
              <w:rPr>
                <w:rFonts w:ascii="Times New Roman" w:hAnsi="Times New Roman"/>
                <w:sz w:val="20"/>
                <w:szCs w:val="20"/>
                <w:u w:val="single"/>
              </w:rPr>
            </w:pPr>
            <w:r w:rsidRPr="005F7B0F">
              <w:rPr>
                <w:rFonts w:ascii="Times New Roman" w:hAnsi="Times New Roman"/>
                <w:sz w:val="20"/>
                <w:szCs w:val="20"/>
                <w:u w:val="single"/>
              </w:rPr>
              <w:t>Recreational Physical Activity</w:t>
            </w:r>
          </w:p>
        </w:tc>
        <w:tc>
          <w:tcPr>
            <w:tcW w:w="1922" w:type="dxa"/>
            <w:tcBorders>
              <w:top w:val="nil"/>
              <w:left w:val="nil"/>
              <w:bottom w:val="nil"/>
              <w:right w:val="nil"/>
            </w:tcBorders>
          </w:tcPr>
          <w:p w14:paraId="581F9C6B"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4FC0ACFB" w14:textId="77777777" w:rsidR="00247505" w:rsidRPr="005F7B0F" w:rsidRDefault="00247505" w:rsidP="0047668E">
            <w:pPr>
              <w:spacing w:line="276" w:lineRule="auto"/>
              <w:jc w:val="center"/>
              <w:rPr>
                <w:rFonts w:ascii="Times New Roman" w:hAnsi="Times New Roman"/>
                <w:sz w:val="20"/>
                <w:szCs w:val="20"/>
              </w:rPr>
            </w:pPr>
          </w:p>
        </w:tc>
        <w:tc>
          <w:tcPr>
            <w:tcW w:w="1226" w:type="dxa"/>
            <w:tcBorders>
              <w:top w:val="nil"/>
              <w:left w:val="nil"/>
              <w:bottom w:val="nil"/>
              <w:right w:val="nil"/>
            </w:tcBorders>
          </w:tcPr>
          <w:p w14:paraId="2DB8F98B" w14:textId="77777777" w:rsidR="00247505" w:rsidRPr="005F7B0F" w:rsidRDefault="00247505" w:rsidP="0047668E">
            <w:pPr>
              <w:spacing w:line="276" w:lineRule="auto"/>
              <w:jc w:val="center"/>
              <w:rPr>
                <w:rFonts w:ascii="Times New Roman" w:hAnsi="Times New Roman"/>
                <w:sz w:val="20"/>
                <w:szCs w:val="20"/>
              </w:rPr>
            </w:pPr>
          </w:p>
        </w:tc>
        <w:tc>
          <w:tcPr>
            <w:tcW w:w="1005" w:type="dxa"/>
            <w:tcBorders>
              <w:top w:val="nil"/>
              <w:left w:val="nil"/>
              <w:bottom w:val="nil"/>
              <w:right w:val="nil"/>
            </w:tcBorders>
          </w:tcPr>
          <w:p w14:paraId="2C4A139A"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41A96404" w14:textId="77777777" w:rsidTr="001629CC">
        <w:trPr>
          <w:gridAfter w:val="1"/>
          <w:wAfter w:w="472" w:type="dxa"/>
        </w:trPr>
        <w:tc>
          <w:tcPr>
            <w:tcW w:w="2790" w:type="dxa"/>
            <w:tcBorders>
              <w:top w:val="nil"/>
              <w:left w:val="nil"/>
              <w:bottom w:val="nil"/>
              <w:right w:val="nil"/>
            </w:tcBorders>
          </w:tcPr>
          <w:p w14:paraId="6D87EC5B"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     Sufficiently Active (%)</w:t>
            </w:r>
          </w:p>
        </w:tc>
        <w:tc>
          <w:tcPr>
            <w:tcW w:w="1922" w:type="dxa"/>
            <w:tcBorders>
              <w:top w:val="nil"/>
              <w:left w:val="nil"/>
              <w:bottom w:val="nil"/>
              <w:right w:val="nil"/>
            </w:tcBorders>
          </w:tcPr>
          <w:p w14:paraId="128351B4"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1796</w:t>
            </w:r>
          </w:p>
        </w:tc>
        <w:tc>
          <w:tcPr>
            <w:tcW w:w="1226" w:type="dxa"/>
            <w:tcBorders>
              <w:top w:val="nil"/>
              <w:left w:val="nil"/>
              <w:bottom w:val="nil"/>
              <w:right w:val="nil"/>
            </w:tcBorders>
          </w:tcPr>
          <w:p w14:paraId="52E21692"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43.2 ± 2.1</w:t>
            </w:r>
          </w:p>
        </w:tc>
        <w:tc>
          <w:tcPr>
            <w:tcW w:w="1226" w:type="dxa"/>
            <w:tcBorders>
              <w:top w:val="nil"/>
              <w:left w:val="nil"/>
              <w:bottom w:val="nil"/>
              <w:right w:val="nil"/>
            </w:tcBorders>
          </w:tcPr>
          <w:p w14:paraId="4688B10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35.4 ± 1.8</w:t>
            </w:r>
          </w:p>
        </w:tc>
        <w:tc>
          <w:tcPr>
            <w:tcW w:w="1005" w:type="dxa"/>
            <w:tcBorders>
              <w:top w:val="nil"/>
              <w:left w:val="nil"/>
              <w:bottom w:val="nil"/>
              <w:right w:val="nil"/>
            </w:tcBorders>
          </w:tcPr>
          <w:p w14:paraId="04FB8EFE"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&lt; 0.006</w:t>
            </w:r>
            <w:r w:rsidRPr="005F7B0F">
              <w:rPr>
                <w:rFonts w:ascii="Times New Roman" w:hAnsi="Times New Roman"/>
                <w:sz w:val="20"/>
                <w:szCs w:val="20"/>
                <w:vertAlign w:val="superscript"/>
              </w:rPr>
              <w:t>b</w:t>
            </w:r>
          </w:p>
        </w:tc>
      </w:tr>
      <w:tr w:rsidR="00247505" w:rsidRPr="005F7B0F" w14:paraId="2D23A129" w14:textId="77777777" w:rsidTr="001629CC">
        <w:trPr>
          <w:gridAfter w:val="1"/>
          <w:wAfter w:w="472" w:type="dxa"/>
        </w:trPr>
        <w:tc>
          <w:tcPr>
            <w:tcW w:w="2790" w:type="dxa"/>
            <w:tcBorders>
              <w:top w:val="nil"/>
              <w:left w:val="nil"/>
              <w:bottom w:val="nil"/>
              <w:right w:val="nil"/>
            </w:tcBorders>
          </w:tcPr>
          <w:p w14:paraId="1A6EBAB5"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     Insufficiently Active (%)</w:t>
            </w:r>
          </w:p>
        </w:tc>
        <w:tc>
          <w:tcPr>
            <w:tcW w:w="1922" w:type="dxa"/>
            <w:tcBorders>
              <w:top w:val="nil"/>
              <w:left w:val="nil"/>
              <w:bottom w:val="nil"/>
              <w:right w:val="nil"/>
            </w:tcBorders>
          </w:tcPr>
          <w:p w14:paraId="24FD6FA6"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794</w:t>
            </w:r>
          </w:p>
        </w:tc>
        <w:tc>
          <w:tcPr>
            <w:tcW w:w="1226" w:type="dxa"/>
            <w:tcBorders>
              <w:top w:val="nil"/>
              <w:left w:val="nil"/>
              <w:bottom w:val="nil"/>
              <w:right w:val="nil"/>
            </w:tcBorders>
          </w:tcPr>
          <w:p w14:paraId="29B0E821"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14.0 ± 1.3</w:t>
            </w:r>
          </w:p>
        </w:tc>
        <w:tc>
          <w:tcPr>
            <w:tcW w:w="1226" w:type="dxa"/>
            <w:tcBorders>
              <w:top w:val="nil"/>
              <w:left w:val="nil"/>
              <w:bottom w:val="nil"/>
              <w:right w:val="nil"/>
            </w:tcBorders>
          </w:tcPr>
          <w:p w14:paraId="02C61601"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17.9 ± 1.1</w:t>
            </w:r>
          </w:p>
        </w:tc>
        <w:tc>
          <w:tcPr>
            <w:tcW w:w="1005" w:type="dxa"/>
            <w:tcBorders>
              <w:top w:val="nil"/>
              <w:left w:val="nil"/>
              <w:bottom w:val="nil"/>
              <w:right w:val="nil"/>
            </w:tcBorders>
          </w:tcPr>
          <w:p w14:paraId="0446D9F1"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69558B9F" w14:textId="77777777" w:rsidTr="001629CC">
        <w:trPr>
          <w:gridAfter w:val="1"/>
          <w:wAfter w:w="472" w:type="dxa"/>
        </w:trPr>
        <w:tc>
          <w:tcPr>
            <w:tcW w:w="2790" w:type="dxa"/>
            <w:tcBorders>
              <w:top w:val="nil"/>
              <w:left w:val="nil"/>
              <w:bottom w:val="single" w:sz="4" w:space="0" w:color="auto"/>
              <w:right w:val="nil"/>
            </w:tcBorders>
          </w:tcPr>
          <w:p w14:paraId="4AEA6B9D"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     None (%)</w:t>
            </w:r>
          </w:p>
        </w:tc>
        <w:tc>
          <w:tcPr>
            <w:tcW w:w="1922" w:type="dxa"/>
            <w:tcBorders>
              <w:top w:val="nil"/>
              <w:left w:val="nil"/>
              <w:bottom w:val="single" w:sz="4" w:space="0" w:color="auto"/>
              <w:right w:val="nil"/>
            </w:tcBorders>
          </w:tcPr>
          <w:p w14:paraId="1E2F4CCD"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2636</w:t>
            </w:r>
          </w:p>
        </w:tc>
        <w:tc>
          <w:tcPr>
            <w:tcW w:w="1226" w:type="dxa"/>
            <w:tcBorders>
              <w:top w:val="nil"/>
              <w:left w:val="nil"/>
              <w:bottom w:val="single" w:sz="4" w:space="0" w:color="auto"/>
              <w:right w:val="nil"/>
            </w:tcBorders>
          </w:tcPr>
          <w:p w14:paraId="17A21FB4"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42.8 ± 2.6</w:t>
            </w:r>
          </w:p>
        </w:tc>
        <w:tc>
          <w:tcPr>
            <w:tcW w:w="1226" w:type="dxa"/>
            <w:tcBorders>
              <w:top w:val="nil"/>
              <w:left w:val="nil"/>
              <w:bottom w:val="single" w:sz="4" w:space="0" w:color="auto"/>
              <w:right w:val="nil"/>
            </w:tcBorders>
          </w:tcPr>
          <w:p w14:paraId="41A6FDF4"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46.7 ± 2.5</w:t>
            </w:r>
          </w:p>
        </w:tc>
        <w:tc>
          <w:tcPr>
            <w:tcW w:w="1005" w:type="dxa"/>
            <w:tcBorders>
              <w:top w:val="nil"/>
              <w:left w:val="nil"/>
              <w:bottom w:val="single" w:sz="4" w:space="0" w:color="auto"/>
              <w:right w:val="nil"/>
            </w:tcBorders>
          </w:tcPr>
          <w:p w14:paraId="3E695102" w14:textId="77777777" w:rsidR="00247505" w:rsidRPr="005F7B0F" w:rsidRDefault="00247505" w:rsidP="0047668E">
            <w:pPr>
              <w:spacing w:line="276" w:lineRule="auto"/>
              <w:jc w:val="center"/>
              <w:rPr>
                <w:rFonts w:ascii="Times New Roman" w:hAnsi="Times New Roman"/>
                <w:sz w:val="20"/>
                <w:szCs w:val="20"/>
              </w:rPr>
            </w:pPr>
          </w:p>
        </w:tc>
      </w:tr>
      <w:tr w:rsidR="00247505" w:rsidRPr="005F7B0F" w14:paraId="2197F21D" w14:textId="77777777" w:rsidTr="001629CC">
        <w:tc>
          <w:tcPr>
            <w:tcW w:w="8641" w:type="dxa"/>
            <w:gridSpan w:val="6"/>
            <w:tcBorders>
              <w:left w:val="nil"/>
              <w:bottom w:val="nil"/>
              <w:right w:val="nil"/>
            </w:tcBorders>
          </w:tcPr>
          <w:p w14:paraId="11DA410F"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Values are presented as weighted means or frequencies ± SE of US population. </w:t>
            </w:r>
            <w:r w:rsidRPr="005F7B0F">
              <w:rPr>
                <w:rFonts w:ascii="Times New Roman" w:hAnsi="Times New Roman"/>
                <w:sz w:val="20"/>
                <w:szCs w:val="20"/>
                <w:u w:val="single"/>
              </w:rPr>
              <w:t>BMI</w:t>
            </w:r>
            <w:r w:rsidRPr="005F7B0F">
              <w:rPr>
                <w:rFonts w:ascii="Times New Roman" w:hAnsi="Times New Roman"/>
                <w:sz w:val="20"/>
                <w:szCs w:val="20"/>
              </w:rPr>
              <w:t xml:space="preserve"> – Body mass </w:t>
            </w:r>
            <w:proofErr w:type="gramStart"/>
            <w:r w:rsidRPr="005F7B0F">
              <w:rPr>
                <w:rFonts w:ascii="Times New Roman" w:hAnsi="Times New Roman"/>
                <w:sz w:val="20"/>
                <w:szCs w:val="20"/>
              </w:rPr>
              <w:t>index;</w:t>
            </w:r>
            <w:proofErr w:type="gramEnd"/>
            <w:r w:rsidRPr="005F7B0F">
              <w:rPr>
                <w:rFonts w:ascii="Times New Roman" w:hAnsi="Times New Roman"/>
                <w:sz w:val="20"/>
                <w:szCs w:val="20"/>
              </w:rPr>
              <w:t xml:space="preserve"> </w:t>
            </w:r>
          </w:p>
          <w:p w14:paraId="7CFE9E4F"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u w:val="single"/>
              </w:rPr>
              <w:t>Total physical activity</w:t>
            </w:r>
            <w:r w:rsidRPr="005F7B0F">
              <w:rPr>
                <w:rFonts w:ascii="Times New Roman" w:hAnsi="Times New Roman"/>
                <w:sz w:val="20"/>
                <w:szCs w:val="20"/>
              </w:rPr>
              <w:t xml:space="preserve"> – self-reported from the GPAQ and calculated as </w:t>
            </w:r>
            <w:proofErr w:type="spellStart"/>
            <w:r w:rsidRPr="005F7B0F">
              <w:rPr>
                <w:rFonts w:ascii="Times New Roman" w:hAnsi="Times New Roman"/>
                <w:sz w:val="20"/>
                <w:szCs w:val="20"/>
              </w:rPr>
              <w:t>MET∙min</w:t>
            </w:r>
            <w:proofErr w:type="spellEnd"/>
            <w:r w:rsidRPr="005F7B0F">
              <w:rPr>
                <w:rFonts w:ascii="Times New Roman" w:hAnsi="Times New Roman"/>
                <w:sz w:val="20"/>
                <w:szCs w:val="20"/>
              </w:rPr>
              <w:t xml:space="preserve"> of activity per week. </w:t>
            </w:r>
            <w:r w:rsidRPr="005F7B0F">
              <w:rPr>
                <w:rFonts w:ascii="Times New Roman" w:hAnsi="Times New Roman"/>
                <w:sz w:val="20"/>
                <w:szCs w:val="20"/>
                <w:u w:val="single"/>
              </w:rPr>
              <w:t>Recreational physical activity</w:t>
            </w:r>
            <w:r w:rsidRPr="005F7B0F">
              <w:rPr>
                <w:rFonts w:ascii="Times New Roman" w:hAnsi="Times New Roman"/>
                <w:sz w:val="20"/>
                <w:szCs w:val="20"/>
              </w:rPr>
              <w:t xml:space="preserve"> - self-reported from the GPAQ and calculated as </w:t>
            </w:r>
            <w:proofErr w:type="spellStart"/>
            <w:r w:rsidRPr="005F7B0F">
              <w:rPr>
                <w:rFonts w:ascii="Times New Roman" w:hAnsi="Times New Roman"/>
                <w:sz w:val="20"/>
                <w:szCs w:val="20"/>
              </w:rPr>
              <w:t>MET∙min</w:t>
            </w:r>
            <w:proofErr w:type="spellEnd"/>
            <w:r w:rsidRPr="005F7B0F">
              <w:rPr>
                <w:rFonts w:ascii="Times New Roman" w:hAnsi="Times New Roman"/>
                <w:sz w:val="20"/>
                <w:szCs w:val="20"/>
              </w:rPr>
              <w:t xml:space="preserve"> of activity per week. </w:t>
            </w:r>
            <w:r w:rsidRPr="005F7B0F">
              <w:rPr>
                <w:rFonts w:ascii="Times New Roman" w:hAnsi="Times New Roman"/>
                <w:sz w:val="20"/>
                <w:szCs w:val="20"/>
                <w:vertAlign w:val="superscript"/>
              </w:rPr>
              <w:t xml:space="preserve">a </w:t>
            </w:r>
            <w:r w:rsidRPr="005F7B0F">
              <w:rPr>
                <w:rFonts w:ascii="Times New Roman" w:hAnsi="Times New Roman"/>
                <w:sz w:val="20"/>
                <w:szCs w:val="20"/>
              </w:rPr>
              <w:t xml:space="preserve">comparison of men vs. women using a general linear model and t-test. </w:t>
            </w:r>
            <w:r w:rsidRPr="005F7B0F">
              <w:rPr>
                <w:rFonts w:ascii="Times New Roman" w:hAnsi="Times New Roman"/>
                <w:sz w:val="20"/>
                <w:szCs w:val="20"/>
                <w:vertAlign w:val="superscript"/>
              </w:rPr>
              <w:t>b</w:t>
            </w:r>
            <w:r w:rsidRPr="005F7B0F">
              <w:rPr>
                <w:rFonts w:ascii="Times New Roman" w:hAnsi="Times New Roman"/>
                <w:sz w:val="20"/>
                <w:szCs w:val="20"/>
              </w:rPr>
              <w:t xml:space="preserve"> comparison of men vs. women across activity levels using a Rao-Scott Chi-square test of independence. </w:t>
            </w:r>
          </w:p>
          <w:p w14:paraId="4F0C2FF0" w14:textId="77777777" w:rsidR="00247505" w:rsidRPr="005F7B0F" w:rsidRDefault="00247505" w:rsidP="001629CC">
            <w:pPr>
              <w:spacing w:line="276" w:lineRule="auto"/>
              <w:jc w:val="both"/>
              <w:rPr>
                <w:rFonts w:ascii="Times New Roman" w:hAnsi="Times New Roman"/>
                <w:sz w:val="20"/>
                <w:szCs w:val="20"/>
              </w:rPr>
            </w:pPr>
          </w:p>
        </w:tc>
      </w:tr>
    </w:tbl>
    <w:p w14:paraId="195E84D1" w14:textId="77777777" w:rsidR="00247505" w:rsidRPr="004E4CEC" w:rsidRDefault="00247505" w:rsidP="00247505">
      <w:pPr>
        <w:spacing w:line="480" w:lineRule="auto"/>
        <w:jc w:val="both"/>
        <w:rPr>
          <w:b/>
          <w:bCs/>
        </w:rPr>
      </w:pPr>
      <w:r w:rsidRPr="004E4CEC">
        <w:rPr>
          <w:b/>
          <w:bCs/>
        </w:rPr>
        <w:t>Physical Activity Levels</w:t>
      </w:r>
    </w:p>
    <w:p w14:paraId="1A43678D" w14:textId="1ED34C5A" w:rsidR="00C008A4" w:rsidRDefault="00247505" w:rsidP="00247505">
      <w:pPr>
        <w:spacing w:line="480" w:lineRule="auto"/>
        <w:jc w:val="both"/>
      </w:pPr>
      <w:r>
        <w:tab/>
        <w:t xml:space="preserve">The weighted mean MET minutes of physical activity per week, split by </w:t>
      </w:r>
      <w:r w:rsidR="004E4CEC">
        <w:t xml:space="preserve">sex, </w:t>
      </w:r>
      <w:r>
        <w:t>are displayed in table 2. Men averaged significantly more total MET minutes of physical activity (4517.7</w:t>
      </w:r>
      <w:r w:rsidRPr="00AB6604">
        <w:t xml:space="preserve"> </w:t>
      </w:r>
      <w:r>
        <w:t>± 245.7</w:t>
      </w:r>
      <w:r w:rsidR="004E4CEC">
        <w:t xml:space="preserve"> min</w:t>
      </w:r>
      <w:r>
        <w:t>) than females (2245.3</w:t>
      </w:r>
      <w:r w:rsidRPr="00AB6604">
        <w:t xml:space="preserve"> ±</w:t>
      </w:r>
      <w:r>
        <w:t xml:space="preserve"> 126.0</w:t>
      </w:r>
      <w:r w:rsidR="004E4CEC">
        <w:t xml:space="preserve"> min</w:t>
      </w:r>
      <w:r>
        <w:t>). When physical activity was split into moderate and vigorous activity, males had significantly more MET minutes of both vigorous work physical activity (1773.9</w:t>
      </w:r>
      <w:r w:rsidRPr="00AB6604">
        <w:t xml:space="preserve"> </w:t>
      </w:r>
      <w:r>
        <w:t>± 170.</w:t>
      </w:r>
      <w:r w:rsidR="004E4CEC">
        <w:t>0 min</w:t>
      </w:r>
      <w:r>
        <w:t>) and vigorous recreational physical activity (660.1</w:t>
      </w:r>
      <w:r w:rsidRPr="00AB6604">
        <w:t xml:space="preserve"> </w:t>
      </w:r>
      <w:r>
        <w:t>± 71.1</w:t>
      </w:r>
      <w:r w:rsidR="004E4CEC">
        <w:t xml:space="preserve"> min</w:t>
      </w:r>
      <w:r>
        <w:t>) than women (443.9</w:t>
      </w:r>
      <w:r w:rsidRPr="00AB6604">
        <w:t xml:space="preserve"> ±</w:t>
      </w:r>
      <w:r>
        <w:t xml:space="preserve"> 47.2</w:t>
      </w:r>
      <w:r w:rsidR="004E4CEC">
        <w:t xml:space="preserve"> min</w:t>
      </w:r>
      <w:r>
        <w:t>) and (355.7</w:t>
      </w:r>
      <w:r w:rsidRPr="00AB6604">
        <w:t xml:space="preserve"> ±</w:t>
      </w:r>
      <w:r>
        <w:t xml:space="preserve"> 50.5</w:t>
      </w:r>
      <w:r w:rsidR="004E4CEC">
        <w:t xml:space="preserve"> min</w:t>
      </w:r>
      <w:r>
        <w:t>) respectively. Additionally, men were found to have significantly greater moderate work physical activity (1181.6</w:t>
      </w:r>
      <w:r w:rsidRPr="00AB6604">
        <w:t xml:space="preserve"> </w:t>
      </w:r>
      <w:r>
        <w:t>± 83.0</w:t>
      </w:r>
      <w:r w:rsidR="004E4CEC">
        <w:t xml:space="preserve"> min</w:t>
      </w:r>
      <w:r>
        <w:t>) and moderate travel physical activity (478.0</w:t>
      </w:r>
      <w:r w:rsidRPr="00AB6604">
        <w:t xml:space="preserve"> </w:t>
      </w:r>
      <w:r>
        <w:t>± 40.2</w:t>
      </w:r>
      <w:r w:rsidR="004E4CEC">
        <w:t xml:space="preserve"> min</w:t>
      </w:r>
      <w:r>
        <w:t>) than females (705.3</w:t>
      </w:r>
      <w:r w:rsidRPr="00AB6604">
        <w:t xml:space="preserve"> ±</w:t>
      </w:r>
      <w:r>
        <w:t xml:space="preserve"> 41.9</w:t>
      </w:r>
      <w:r w:rsidR="004E4CEC">
        <w:t xml:space="preserve"> min</w:t>
      </w:r>
      <w:r>
        <w:t>) and (342.3</w:t>
      </w:r>
      <w:r w:rsidRPr="00AB6604">
        <w:t xml:space="preserve"> ±</w:t>
      </w:r>
      <w:r>
        <w:t xml:space="preserve"> 46.9</w:t>
      </w:r>
      <w:r w:rsidR="004E4CEC">
        <w:t xml:space="preserve"> min</w:t>
      </w:r>
      <w:r>
        <w:t xml:space="preserve">) respectively. However, no significant differences were found in total MET minutes of moderate recreational physical activity between males and females. Additionally, no significant differences were found between males and females for total sitting time. </w:t>
      </w:r>
    </w:p>
    <w:tbl>
      <w:tblPr>
        <w:tblStyle w:val="TableGrid"/>
        <w:tblW w:w="9299" w:type="dxa"/>
        <w:tblLook w:val="04A0" w:firstRow="1" w:lastRow="0" w:firstColumn="1" w:lastColumn="0" w:noHBand="0" w:noVBand="1"/>
      </w:tblPr>
      <w:tblGrid>
        <w:gridCol w:w="3215"/>
        <w:gridCol w:w="1858"/>
        <w:gridCol w:w="1571"/>
        <w:gridCol w:w="1571"/>
        <w:gridCol w:w="974"/>
        <w:gridCol w:w="110"/>
      </w:tblGrid>
      <w:tr w:rsidR="00247505" w:rsidRPr="005F7B0F" w14:paraId="4BCE19F7" w14:textId="77777777" w:rsidTr="00463812">
        <w:trPr>
          <w:trHeight w:val="304"/>
        </w:trPr>
        <w:tc>
          <w:tcPr>
            <w:tcW w:w="9299" w:type="dxa"/>
            <w:gridSpan w:val="6"/>
            <w:tcBorders>
              <w:top w:val="nil"/>
              <w:left w:val="nil"/>
              <w:bottom w:val="double" w:sz="4" w:space="0" w:color="auto"/>
              <w:right w:val="nil"/>
            </w:tcBorders>
          </w:tcPr>
          <w:p w14:paraId="714A55E5"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b/>
                <w:sz w:val="20"/>
                <w:szCs w:val="20"/>
              </w:rPr>
              <w:lastRenderedPageBreak/>
              <w:t>Table 2</w:t>
            </w:r>
            <w:r w:rsidRPr="005F7B0F">
              <w:rPr>
                <w:rFonts w:ascii="Times New Roman" w:hAnsi="Times New Roman"/>
                <w:sz w:val="20"/>
                <w:szCs w:val="20"/>
              </w:rPr>
              <w:t xml:space="preserve">. – Self-reported physical activity levels  </w:t>
            </w:r>
          </w:p>
        </w:tc>
      </w:tr>
      <w:tr w:rsidR="00247505" w:rsidRPr="005F7B0F" w14:paraId="525A94A9" w14:textId="77777777" w:rsidTr="00463812">
        <w:trPr>
          <w:gridAfter w:val="1"/>
          <w:wAfter w:w="110" w:type="dxa"/>
          <w:trHeight w:val="304"/>
        </w:trPr>
        <w:tc>
          <w:tcPr>
            <w:tcW w:w="3216" w:type="dxa"/>
            <w:tcBorders>
              <w:top w:val="double" w:sz="4" w:space="0" w:color="auto"/>
              <w:left w:val="nil"/>
              <w:bottom w:val="nil"/>
              <w:right w:val="nil"/>
            </w:tcBorders>
          </w:tcPr>
          <w:p w14:paraId="3CC70899" w14:textId="77777777" w:rsidR="00247505" w:rsidRPr="005F7B0F" w:rsidRDefault="00247505" w:rsidP="001629CC">
            <w:pPr>
              <w:spacing w:line="276" w:lineRule="auto"/>
              <w:jc w:val="both"/>
              <w:rPr>
                <w:rFonts w:ascii="Times New Roman" w:hAnsi="Times New Roman"/>
                <w:b/>
                <w:sz w:val="20"/>
                <w:szCs w:val="20"/>
                <w:u w:val="single"/>
              </w:rPr>
            </w:pPr>
            <w:r w:rsidRPr="005F7B0F">
              <w:rPr>
                <w:rFonts w:ascii="Times New Roman" w:hAnsi="Times New Roman"/>
                <w:b/>
                <w:sz w:val="20"/>
                <w:szCs w:val="20"/>
                <w:u w:val="single"/>
              </w:rPr>
              <w:t>Parameter</w:t>
            </w:r>
          </w:p>
        </w:tc>
        <w:tc>
          <w:tcPr>
            <w:tcW w:w="1858" w:type="dxa"/>
            <w:tcBorders>
              <w:top w:val="double" w:sz="4" w:space="0" w:color="auto"/>
              <w:left w:val="nil"/>
              <w:bottom w:val="nil"/>
              <w:right w:val="nil"/>
            </w:tcBorders>
          </w:tcPr>
          <w:p w14:paraId="3AA1B6B1" w14:textId="77777777" w:rsidR="00247505" w:rsidRPr="005F7B0F" w:rsidRDefault="00247505" w:rsidP="001629CC">
            <w:pPr>
              <w:spacing w:line="276" w:lineRule="auto"/>
              <w:jc w:val="both"/>
              <w:rPr>
                <w:rFonts w:ascii="Times New Roman" w:hAnsi="Times New Roman"/>
                <w:b/>
                <w:sz w:val="20"/>
                <w:szCs w:val="20"/>
                <w:u w:val="single"/>
              </w:rPr>
            </w:pPr>
            <w:r w:rsidRPr="005F7B0F">
              <w:rPr>
                <w:rFonts w:ascii="Times New Roman" w:hAnsi="Times New Roman"/>
                <w:b/>
                <w:sz w:val="20"/>
                <w:szCs w:val="20"/>
                <w:u w:val="single"/>
              </w:rPr>
              <w:t>Unweighted Count</w:t>
            </w:r>
          </w:p>
        </w:tc>
        <w:tc>
          <w:tcPr>
            <w:tcW w:w="1571" w:type="dxa"/>
            <w:tcBorders>
              <w:top w:val="double" w:sz="4" w:space="0" w:color="auto"/>
              <w:left w:val="nil"/>
              <w:bottom w:val="nil"/>
              <w:right w:val="nil"/>
            </w:tcBorders>
          </w:tcPr>
          <w:p w14:paraId="68EA675C"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Men</w:t>
            </w:r>
          </w:p>
        </w:tc>
        <w:tc>
          <w:tcPr>
            <w:tcW w:w="1571" w:type="dxa"/>
            <w:tcBorders>
              <w:top w:val="double" w:sz="4" w:space="0" w:color="auto"/>
              <w:left w:val="nil"/>
              <w:bottom w:val="nil"/>
              <w:right w:val="nil"/>
            </w:tcBorders>
          </w:tcPr>
          <w:p w14:paraId="038C2412" w14:textId="77777777" w:rsidR="00247505" w:rsidRPr="005F7B0F" w:rsidRDefault="00247505" w:rsidP="0047668E">
            <w:pPr>
              <w:spacing w:line="276" w:lineRule="auto"/>
              <w:jc w:val="center"/>
              <w:rPr>
                <w:rFonts w:ascii="Times New Roman" w:hAnsi="Times New Roman"/>
                <w:b/>
                <w:sz w:val="20"/>
                <w:szCs w:val="20"/>
                <w:u w:val="single"/>
              </w:rPr>
            </w:pPr>
            <w:r w:rsidRPr="005F7B0F">
              <w:rPr>
                <w:rFonts w:ascii="Times New Roman" w:hAnsi="Times New Roman"/>
                <w:b/>
                <w:sz w:val="20"/>
                <w:szCs w:val="20"/>
                <w:u w:val="single"/>
              </w:rPr>
              <w:t>Women</w:t>
            </w:r>
          </w:p>
        </w:tc>
        <w:tc>
          <w:tcPr>
            <w:tcW w:w="973" w:type="dxa"/>
            <w:tcBorders>
              <w:top w:val="double" w:sz="4" w:space="0" w:color="auto"/>
              <w:left w:val="nil"/>
              <w:bottom w:val="nil"/>
              <w:right w:val="nil"/>
            </w:tcBorders>
          </w:tcPr>
          <w:p w14:paraId="32506C61" w14:textId="77777777" w:rsidR="00247505" w:rsidRPr="005F7B0F" w:rsidRDefault="00247505" w:rsidP="001629CC">
            <w:pPr>
              <w:spacing w:line="276" w:lineRule="auto"/>
              <w:jc w:val="both"/>
              <w:rPr>
                <w:rFonts w:ascii="Times New Roman" w:hAnsi="Times New Roman"/>
                <w:b/>
                <w:sz w:val="20"/>
                <w:szCs w:val="20"/>
                <w:u w:val="single"/>
              </w:rPr>
            </w:pPr>
            <w:r w:rsidRPr="005F7B0F">
              <w:rPr>
                <w:rFonts w:ascii="Times New Roman" w:hAnsi="Times New Roman"/>
                <w:b/>
                <w:sz w:val="20"/>
                <w:szCs w:val="20"/>
                <w:u w:val="single"/>
              </w:rPr>
              <w:t>P-Value</w:t>
            </w:r>
          </w:p>
        </w:tc>
      </w:tr>
      <w:tr w:rsidR="00247505" w:rsidRPr="005F7B0F" w14:paraId="1FA527A2" w14:textId="77777777" w:rsidTr="00463812">
        <w:trPr>
          <w:gridAfter w:val="1"/>
          <w:wAfter w:w="110" w:type="dxa"/>
          <w:trHeight w:val="304"/>
        </w:trPr>
        <w:tc>
          <w:tcPr>
            <w:tcW w:w="3216" w:type="dxa"/>
            <w:tcBorders>
              <w:top w:val="nil"/>
              <w:left w:val="nil"/>
              <w:bottom w:val="nil"/>
              <w:right w:val="nil"/>
            </w:tcBorders>
          </w:tcPr>
          <w:p w14:paraId="780605E9"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Total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1A1DB8C7"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01466AF6" w14:textId="626F1BA8"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4517.7 ± 245.7</w:t>
            </w:r>
          </w:p>
        </w:tc>
        <w:tc>
          <w:tcPr>
            <w:tcW w:w="1571" w:type="dxa"/>
            <w:tcBorders>
              <w:top w:val="nil"/>
              <w:left w:val="nil"/>
              <w:bottom w:val="nil"/>
              <w:right w:val="nil"/>
            </w:tcBorders>
          </w:tcPr>
          <w:p w14:paraId="0582097B" w14:textId="5B84D844"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2245.3 ± 126.0</w:t>
            </w:r>
          </w:p>
        </w:tc>
        <w:tc>
          <w:tcPr>
            <w:tcW w:w="973" w:type="dxa"/>
            <w:tcBorders>
              <w:top w:val="nil"/>
              <w:left w:val="nil"/>
              <w:bottom w:val="nil"/>
              <w:right w:val="nil"/>
            </w:tcBorders>
          </w:tcPr>
          <w:p w14:paraId="68B26A4E"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405A8A26" w14:textId="77777777" w:rsidTr="00463812">
        <w:trPr>
          <w:gridAfter w:val="1"/>
          <w:wAfter w:w="110" w:type="dxa"/>
          <w:trHeight w:val="304"/>
        </w:trPr>
        <w:tc>
          <w:tcPr>
            <w:tcW w:w="3216" w:type="dxa"/>
            <w:tcBorders>
              <w:top w:val="nil"/>
              <w:left w:val="nil"/>
              <w:bottom w:val="nil"/>
              <w:right w:val="nil"/>
            </w:tcBorders>
          </w:tcPr>
          <w:p w14:paraId="1DEE3EA8"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Vigorous Work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57E66D79" w14:textId="77777777" w:rsidR="00247505" w:rsidRPr="005F7B0F" w:rsidRDefault="00247505" w:rsidP="0047668E">
            <w:pPr>
              <w:spacing w:line="276" w:lineRule="auto"/>
              <w:jc w:val="center"/>
              <w:rPr>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3E02AEDF" w14:textId="1269998C"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1773.9 ± 170.0</w:t>
            </w:r>
          </w:p>
        </w:tc>
        <w:tc>
          <w:tcPr>
            <w:tcW w:w="1571" w:type="dxa"/>
            <w:tcBorders>
              <w:top w:val="nil"/>
              <w:left w:val="nil"/>
              <w:bottom w:val="nil"/>
              <w:right w:val="nil"/>
            </w:tcBorders>
          </w:tcPr>
          <w:p w14:paraId="07FB7AC8" w14:textId="78345876"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443.9 ± 47.2</w:t>
            </w:r>
          </w:p>
        </w:tc>
        <w:tc>
          <w:tcPr>
            <w:tcW w:w="973" w:type="dxa"/>
            <w:tcBorders>
              <w:top w:val="nil"/>
              <w:left w:val="nil"/>
              <w:bottom w:val="nil"/>
              <w:right w:val="nil"/>
            </w:tcBorders>
          </w:tcPr>
          <w:p w14:paraId="55A1EEFF"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2CE0BD99" w14:textId="77777777" w:rsidTr="00463812">
        <w:trPr>
          <w:gridAfter w:val="1"/>
          <w:wAfter w:w="110" w:type="dxa"/>
          <w:trHeight w:val="304"/>
        </w:trPr>
        <w:tc>
          <w:tcPr>
            <w:tcW w:w="3216" w:type="dxa"/>
            <w:tcBorders>
              <w:top w:val="nil"/>
              <w:left w:val="nil"/>
              <w:bottom w:val="nil"/>
              <w:right w:val="nil"/>
            </w:tcBorders>
          </w:tcPr>
          <w:p w14:paraId="6C72A1A7"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Moderate Work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04B0794F" w14:textId="77777777" w:rsidR="00247505" w:rsidRPr="005F7B0F" w:rsidRDefault="00247505" w:rsidP="0047668E">
            <w:pPr>
              <w:spacing w:line="276" w:lineRule="auto"/>
              <w:jc w:val="center"/>
              <w:rPr>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012A861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1181.6 ± 83.0</w:t>
            </w:r>
          </w:p>
        </w:tc>
        <w:tc>
          <w:tcPr>
            <w:tcW w:w="1571" w:type="dxa"/>
            <w:tcBorders>
              <w:top w:val="nil"/>
              <w:left w:val="nil"/>
              <w:bottom w:val="nil"/>
              <w:right w:val="nil"/>
            </w:tcBorders>
          </w:tcPr>
          <w:p w14:paraId="5766271F" w14:textId="0B32A773"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705.3 ± 41.9</w:t>
            </w:r>
          </w:p>
        </w:tc>
        <w:tc>
          <w:tcPr>
            <w:tcW w:w="973" w:type="dxa"/>
            <w:tcBorders>
              <w:top w:val="nil"/>
              <w:left w:val="nil"/>
              <w:bottom w:val="nil"/>
              <w:right w:val="nil"/>
            </w:tcBorders>
          </w:tcPr>
          <w:p w14:paraId="04F7AE27"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28042CAC" w14:textId="77777777" w:rsidTr="00463812">
        <w:trPr>
          <w:gridAfter w:val="1"/>
          <w:wAfter w:w="110" w:type="dxa"/>
          <w:trHeight w:val="304"/>
        </w:trPr>
        <w:tc>
          <w:tcPr>
            <w:tcW w:w="3216" w:type="dxa"/>
            <w:tcBorders>
              <w:top w:val="nil"/>
              <w:left w:val="nil"/>
              <w:bottom w:val="nil"/>
              <w:right w:val="nil"/>
            </w:tcBorders>
          </w:tcPr>
          <w:p w14:paraId="44D66F99"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Moderate Travel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71841253" w14:textId="77777777" w:rsidR="00247505" w:rsidRPr="005F7B0F" w:rsidRDefault="00247505" w:rsidP="0047668E">
            <w:pPr>
              <w:spacing w:line="276" w:lineRule="auto"/>
              <w:jc w:val="center"/>
              <w:rPr>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72C000DF" w14:textId="314E8E91"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478.0 ± 40.2</w:t>
            </w:r>
          </w:p>
        </w:tc>
        <w:tc>
          <w:tcPr>
            <w:tcW w:w="1571" w:type="dxa"/>
            <w:tcBorders>
              <w:top w:val="nil"/>
              <w:left w:val="nil"/>
              <w:bottom w:val="nil"/>
              <w:right w:val="nil"/>
            </w:tcBorders>
          </w:tcPr>
          <w:p w14:paraId="4AEE5BA1" w14:textId="2DC01576"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342.3 ± 46.9</w:t>
            </w:r>
          </w:p>
        </w:tc>
        <w:tc>
          <w:tcPr>
            <w:tcW w:w="973" w:type="dxa"/>
            <w:tcBorders>
              <w:top w:val="nil"/>
              <w:left w:val="nil"/>
              <w:bottom w:val="nil"/>
              <w:right w:val="nil"/>
            </w:tcBorders>
          </w:tcPr>
          <w:p w14:paraId="353E09A1" w14:textId="3D041FF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0.005</w:t>
            </w:r>
            <w:r w:rsidRPr="005F7B0F">
              <w:rPr>
                <w:rFonts w:ascii="Times New Roman" w:hAnsi="Times New Roman"/>
                <w:sz w:val="20"/>
                <w:szCs w:val="20"/>
                <w:vertAlign w:val="superscript"/>
              </w:rPr>
              <w:t>a</w:t>
            </w:r>
          </w:p>
        </w:tc>
      </w:tr>
      <w:tr w:rsidR="00247505" w:rsidRPr="005F7B0F" w14:paraId="272690FE" w14:textId="77777777" w:rsidTr="00463812">
        <w:trPr>
          <w:gridAfter w:val="1"/>
          <w:wAfter w:w="110" w:type="dxa"/>
          <w:trHeight w:val="304"/>
        </w:trPr>
        <w:tc>
          <w:tcPr>
            <w:tcW w:w="3216" w:type="dxa"/>
            <w:tcBorders>
              <w:top w:val="nil"/>
              <w:left w:val="nil"/>
              <w:bottom w:val="nil"/>
              <w:right w:val="nil"/>
            </w:tcBorders>
          </w:tcPr>
          <w:p w14:paraId="43328B64"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Vigorous Rec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051A4B0E" w14:textId="77777777" w:rsidR="00247505" w:rsidRPr="005F7B0F" w:rsidRDefault="00247505" w:rsidP="0047668E">
            <w:pPr>
              <w:spacing w:line="276" w:lineRule="auto"/>
              <w:jc w:val="center"/>
              <w:rPr>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5CBE15C0" w14:textId="624B273D"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660.1 ± 71.1</w:t>
            </w:r>
          </w:p>
        </w:tc>
        <w:tc>
          <w:tcPr>
            <w:tcW w:w="1571" w:type="dxa"/>
            <w:tcBorders>
              <w:top w:val="nil"/>
              <w:left w:val="nil"/>
              <w:bottom w:val="nil"/>
              <w:right w:val="nil"/>
            </w:tcBorders>
          </w:tcPr>
          <w:p w14:paraId="03555366" w14:textId="782D2733"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355.7 ± 50.5</w:t>
            </w:r>
          </w:p>
        </w:tc>
        <w:tc>
          <w:tcPr>
            <w:tcW w:w="973" w:type="dxa"/>
            <w:tcBorders>
              <w:top w:val="nil"/>
              <w:left w:val="nil"/>
              <w:bottom w:val="nil"/>
              <w:right w:val="nil"/>
            </w:tcBorders>
          </w:tcPr>
          <w:p w14:paraId="7B6D3210" w14:textId="77777777"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&lt; 0.001</w:t>
            </w:r>
            <w:r w:rsidRPr="005F7B0F">
              <w:rPr>
                <w:rFonts w:ascii="Times New Roman" w:hAnsi="Times New Roman"/>
                <w:sz w:val="20"/>
                <w:szCs w:val="20"/>
                <w:vertAlign w:val="superscript"/>
              </w:rPr>
              <w:t>a</w:t>
            </w:r>
          </w:p>
        </w:tc>
      </w:tr>
      <w:tr w:rsidR="00247505" w:rsidRPr="005F7B0F" w14:paraId="30C499D4" w14:textId="77777777" w:rsidTr="00463812">
        <w:trPr>
          <w:gridAfter w:val="1"/>
          <w:wAfter w:w="110" w:type="dxa"/>
          <w:trHeight w:val="304"/>
        </w:trPr>
        <w:tc>
          <w:tcPr>
            <w:tcW w:w="3216" w:type="dxa"/>
            <w:tcBorders>
              <w:top w:val="nil"/>
              <w:left w:val="nil"/>
              <w:bottom w:val="nil"/>
              <w:right w:val="nil"/>
            </w:tcBorders>
          </w:tcPr>
          <w:p w14:paraId="0D953086"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Moderate Rec PA (MET∙min∙wk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2F734CC3" w14:textId="77777777" w:rsidR="00247505" w:rsidRPr="005F7B0F" w:rsidRDefault="00247505" w:rsidP="0047668E">
            <w:pPr>
              <w:spacing w:line="276" w:lineRule="auto"/>
              <w:jc w:val="center"/>
              <w:rPr>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7554A4A3" w14:textId="7745B9C6"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423.7 ± 24.7</w:t>
            </w:r>
          </w:p>
        </w:tc>
        <w:tc>
          <w:tcPr>
            <w:tcW w:w="1571" w:type="dxa"/>
            <w:tcBorders>
              <w:top w:val="nil"/>
              <w:left w:val="nil"/>
              <w:bottom w:val="nil"/>
              <w:right w:val="nil"/>
            </w:tcBorders>
          </w:tcPr>
          <w:p w14:paraId="4B3CEC36" w14:textId="48F4D0A6"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397.6 ± 24.7</w:t>
            </w:r>
          </w:p>
        </w:tc>
        <w:tc>
          <w:tcPr>
            <w:tcW w:w="973" w:type="dxa"/>
            <w:tcBorders>
              <w:top w:val="nil"/>
              <w:left w:val="nil"/>
              <w:bottom w:val="nil"/>
              <w:right w:val="nil"/>
            </w:tcBorders>
          </w:tcPr>
          <w:p w14:paraId="7B3EBC24" w14:textId="72F5438C"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0.44</w:t>
            </w:r>
            <w:r w:rsidRPr="005F7B0F">
              <w:rPr>
                <w:rFonts w:ascii="Times New Roman" w:hAnsi="Times New Roman"/>
                <w:sz w:val="20"/>
                <w:szCs w:val="20"/>
                <w:vertAlign w:val="superscript"/>
              </w:rPr>
              <w:t>a</w:t>
            </w:r>
          </w:p>
        </w:tc>
      </w:tr>
      <w:tr w:rsidR="00247505" w:rsidRPr="005F7B0F" w14:paraId="6D1F7C06" w14:textId="77777777" w:rsidTr="00463812">
        <w:trPr>
          <w:gridAfter w:val="1"/>
          <w:wAfter w:w="110" w:type="dxa"/>
          <w:trHeight w:val="304"/>
        </w:trPr>
        <w:tc>
          <w:tcPr>
            <w:tcW w:w="3216" w:type="dxa"/>
            <w:tcBorders>
              <w:top w:val="nil"/>
              <w:left w:val="nil"/>
              <w:bottom w:val="nil"/>
              <w:right w:val="nil"/>
            </w:tcBorders>
          </w:tcPr>
          <w:p w14:paraId="014E3176"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Sitting Time (min∙wk</w:t>
            </w:r>
            <w:r w:rsidRPr="005F7B0F">
              <w:rPr>
                <w:rFonts w:ascii="Times New Roman" w:hAnsi="Times New Roman"/>
                <w:sz w:val="20"/>
                <w:szCs w:val="20"/>
                <w:vertAlign w:val="superscript"/>
              </w:rPr>
              <w:t>-1</w:t>
            </w:r>
            <w:r w:rsidRPr="005F7B0F">
              <w:rPr>
                <w:rFonts w:ascii="Times New Roman" w:hAnsi="Times New Roman"/>
                <w:sz w:val="20"/>
                <w:szCs w:val="20"/>
              </w:rPr>
              <w:t>)</w:t>
            </w:r>
          </w:p>
        </w:tc>
        <w:tc>
          <w:tcPr>
            <w:tcW w:w="1858" w:type="dxa"/>
            <w:tcBorders>
              <w:top w:val="nil"/>
              <w:left w:val="nil"/>
              <w:bottom w:val="nil"/>
              <w:right w:val="nil"/>
            </w:tcBorders>
          </w:tcPr>
          <w:p w14:paraId="2FCC2E5F"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5463</w:t>
            </w:r>
          </w:p>
        </w:tc>
        <w:tc>
          <w:tcPr>
            <w:tcW w:w="1571" w:type="dxa"/>
            <w:tcBorders>
              <w:top w:val="nil"/>
              <w:left w:val="nil"/>
              <w:bottom w:val="nil"/>
              <w:right w:val="nil"/>
            </w:tcBorders>
          </w:tcPr>
          <w:p w14:paraId="471BB653"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378.1 ± 6.7</w:t>
            </w:r>
          </w:p>
        </w:tc>
        <w:tc>
          <w:tcPr>
            <w:tcW w:w="1571" w:type="dxa"/>
            <w:tcBorders>
              <w:top w:val="nil"/>
              <w:left w:val="nil"/>
              <w:bottom w:val="nil"/>
              <w:right w:val="nil"/>
            </w:tcBorders>
          </w:tcPr>
          <w:p w14:paraId="0D2E5BE5" w14:textId="77777777" w:rsidR="00247505" w:rsidRPr="005F7B0F" w:rsidRDefault="00247505" w:rsidP="0047668E">
            <w:pPr>
              <w:spacing w:line="276" w:lineRule="auto"/>
              <w:jc w:val="center"/>
              <w:rPr>
                <w:rFonts w:ascii="Times New Roman" w:hAnsi="Times New Roman"/>
                <w:sz w:val="20"/>
                <w:szCs w:val="20"/>
              </w:rPr>
            </w:pPr>
            <w:r w:rsidRPr="005F7B0F">
              <w:rPr>
                <w:rFonts w:ascii="Times New Roman" w:hAnsi="Times New Roman"/>
                <w:sz w:val="20"/>
                <w:szCs w:val="20"/>
              </w:rPr>
              <w:t>375.6 ± 6.7</w:t>
            </w:r>
          </w:p>
        </w:tc>
        <w:tc>
          <w:tcPr>
            <w:tcW w:w="973" w:type="dxa"/>
            <w:tcBorders>
              <w:top w:val="nil"/>
              <w:left w:val="nil"/>
              <w:bottom w:val="nil"/>
              <w:right w:val="nil"/>
            </w:tcBorders>
          </w:tcPr>
          <w:p w14:paraId="468811CB" w14:textId="462D4A7E" w:rsidR="00247505" w:rsidRPr="005F7B0F" w:rsidRDefault="00247505" w:rsidP="0047668E">
            <w:pPr>
              <w:spacing w:line="276" w:lineRule="auto"/>
              <w:jc w:val="center"/>
              <w:rPr>
                <w:rFonts w:ascii="Times New Roman" w:hAnsi="Times New Roman"/>
                <w:sz w:val="20"/>
                <w:szCs w:val="20"/>
                <w:vertAlign w:val="superscript"/>
              </w:rPr>
            </w:pPr>
            <w:r w:rsidRPr="005F7B0F">
              <w:rPr>
                <w:rFonts w:ascii="Times New Roman" w:hAnsi="Times New Roman"/>
                <w:sz w:val="20"/>
                <w:szCs w:val="20"/>
              </w:rPr>
              <w:t>0.73</w:t>
            </w:r>
            <w:r w:rsidRPr="005F7B0F">
              <w:rPr>
                <w:rFonts w:ascii="Times New Roman" w:hAnsi="Times New Roman"/>
                <w:sz w:val="20"/>
                <w:szCs w:val="20"/>
                <w:vertAlign w:val="superscript"/>
              </w:rPr>
              <w:t>a</w:t>
            </w:r>
          </w:p>
        </w:tc>
      </w:tr>
      <w:tr w:rsidR="00247505" w:rsidRPr="005F7B0F" w14:paraId="22812228" w14:textId="77777777" w:rsidTr="00463812">
        <w:trPr>
          <w:gridAfter w:val="1"/>
          <w:wAfter w:w="109" w:type="dxa"/>
          <w:trHeight w:val="916"/>
        </w:trPr>
        <w:tc>
          <w:tcPr>
            <w:tcW w:w="9190" w:type="dxa"/>
            <w:gridSpan w:val="5"/>
            <w:tcBorders>
              <w:left w:val="nil"/>
              <w:bottom w:val="nil"/>
              <w:right w:val="nil"/>
            </w:tcBorders>
          </w:tcPr>
          <w:p w14:paraId="6BE5E5DE"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Values are presented as weighted means ± SE of US population. </w:t>
            </w:r>
            <w:r w:rsidRPr="005F7B0F">
              <w:rPr>
                <w:rFonts w:ascii="Times New Roman" w:hAnsi="Times New Roman"/>
                <w:sz w:val="20"/>
                <w:szCs w:val="20"/>
                <w:u w:val="single"/>
              </w:rPr>
              <w:t xml:space="preserve">Values are </w:t>
            </w:r>
            <w:r w:rsidRPr="005F7B0F">
              <w:rPr>
                <w:rFonts w:ascii="Times New Roman" w:hAnsi="Times New Roman"/>
                <w:sz w:val="20"/>
                <w:szCs w:val="20"/>
              </w:rPr>
              <w:t xml:space="preserve">self-reported from the GPAQ and calculated as </w:t>
            </w:r>
            <w:proofErr w:type="spellStart"/>
            <w:r w:rsidRPr="005F7B0F">
              <w:rPr>
                <w:rFonts w:ascii="Times New Roman" w:hAnsi="Times New Roman"/>
                <w:sz w:val="20"/>
                <w:szCs w:val="20"/>
              </w:rPr>
              <w:t>MET∙min</w:t>
            </w:r>
            <w:proofErr w:type="spellEnd"/>
            <w:r w:rsidRPr="005F7B0F">
              <w:rPr>
                <w:rFonts w:ascii="Times New Roman" w:hAnsi="Times New Roman"/>
                <w:sz w:val="20"/>
                <w:szCs w:val="20"/>
              </w:rPr>
              <w:t xml:space="preserve"> of activity per week. </w:t>
            </w:r>
            <w:r w:rsidRPr="005F7B0F">
              <w:rPr>
                <w:rFonts w:ascii="Times New Roman" w:hAnsi="Times New Roman"/>
                <w:sz w:val="20"/>
                <w:szCs w:val="20"/>
                <w:vertAlign w:val="superscript"/>
              </w:rPr>
              <w:t xml:space="preserve">a </w:t>
            </w:r>
            <w:r w:rsidRPr="005F7B0F">
              <w:rPr>
                <w:rFonts w:ascii="Times New Roman" w:hAnsi="Times New Roman"/>
                <w:sz w:val="20"/>
                <w:szCs w:val="20"/>
              </w:rPr>
              <w:t xml:space="preserve">comparison of men vs. women using a general linear model and t-test. </w:t>
            </w:r>
          </w:p>
          <w:p w14:paraId="6DB060DE" w14:textId="77777777" w:rsidR="00247505" w:rsidRPr="005F7B0F" w:rsidRDefault="00247505" w:rsidP="001629CC">
            <w:pPr>
              <w:spacing w:line="276" w:lineRule="auto"/>
              <w:jc w:val="both"/>
              <w:rPr>
                <w:rFonts w:ascii="Times New Roman" w:hAnsi="Times New Roman"/>
                <w:sz w:val="20"/>
                <w:szCs w:val="20"/>
              </w:rPr>
            </w:pPr>
          </w:p>
        </w:tc>
      </w:tr>
    </w:tbl>
    <w:p w14:paraId="043169D9" w14:textId="77777777" w:rsidR="00247505" w:rsidRPr="004E4CEC" w:rsidRDefault="00247505" w:rsidP="00247505">
      <w:pPr>
        <w:spacing w:line="480" w:lineRule="auto"/>
        <w:jc w:val="both"/>
        <w:rPr>
          <w:b/>
          <w:bCs/>
        </w:rPr>
      </w:pPr>
      <w:r w:rsidRPr="004E4CEC">
        <w:rPr>
          <w:b/>
          <w:bCs/>
        </w:rPr>
        <w:t xml:space="preserve">Prevalence of Pain Making it Hard for Usual Activities </w:t>
      </w:r>
    </w:p>
    <w:p w14:paraId="43DEFC1F" w14:textId="5E7DF1B2" w:rsidR="00247505" w:rsidRDefault="00247505" w:rsidP="00247505">
      <w:pPr>
        <w:spacing w:line="480" w:lineRule="auto"/>
        <w:jc w:val="both"/>
        <w:rPr>
          <w:color w:val="000000"/>
        </w:rPr>
      </w:pPr>
      <w:r>
        <w:tab/>
        <w:t xml:space="preserve">Table 3 shows the prevalence of pain on movement in the weighted 2011-2012 NHANES population with demographic data of adults in the US using a Rao-Scott </w:t>
      </w:r>
      <w:r w:rsidRPr="007030E1">
        <w:rPr>
          <w:i/>
          <w:iCs/>
        </w:rPr>
        <w:t>x</w:t>
      </w:r>
      <w:r>
        <w:rPr>
          <w:vertAlign w:val="superscript"/>
        </w:rPr>
        <w:t>2</w:t>
      </w:r>
      <w:r>
        <w:t xml:space="preserve"> test of independence. All but one of the demographic variables assessed were significantly associated with the </w:t>
      </w:r>
      <w:r w:rsidRPr="00171296">
        <w:t>presence of pain on movement (</w:t>
      </w:r>
      <w:r w:rsidRPr="00171296">
        <w:rPr>
          <w:i/>
          <w:iCs/>
        </w:rPr>
        <w:t>P</w:t>
      </w:r>
      <w:r w:rsidRPr="00171296">
        <w:t xml:space="preserve"> &lt; 0.05). These results show a significant difference in pain with age, with younger adults showing a greater prevalence of no pain (81.3 ± 1.7</w:t>
      </w:r>
      <w:r w:rsidR="004E4CEC">
        <w:t xml:space="preserve"> %</w:t>
      </w:r>
      <w:r w:rsidRPr="00171296">
        <w:t>) compared to middle aged and older adults. Furthermore, younger adults also have a lesser prevalence of both sometimes pain (17.5 ± 1.6</w:t>
      </w:r>
      <w:r w:rsidR="004E4CEC">
        <w:t xml:space="preserve"> %</w:t>
      </w:r>
      <w:r w:rsidRPr="00171296">
        <w:t>) and always pain (1.2 ± 0.3</w:t>
      </w:r>
      <w:r w:rsidR="004E4CEC">
        <w:t xml:space="preserve"> %</w:t>
      </w:r>
      <w:r w:rsidRPr="00171296">
        <w:t>) compared to middle aged and older adults. In addition to age, significant differences in pain were found for race/ethnicity as well as for education levels. Among the different ethnicity groups, the highest prevalence of never having pain was found in both Mexican Americans (82.1 ± 1.6</w:t>
      </w:r>
      <w:r w:rsidR="004E4CEC">
        <w:t xml:space="preserve"> %</w:t>
      </w:r>
      <w:r w:rsidRPr="00171296">
        <w:t>) and Non-Hispanic Asians (86.0 ± 0.9</w:t>
      </w:r>
      <w:r w:rsidR="004E4CEC">
        <w:t xml:space="preserve"> %</w:t>
      </w:r>
      <w:r w:rsidRPr="00171296">
        <w:t>). Conversely, the highest prevalence for having pain always was the Other group (8.5 ± 2.7</w:t>
      </w:r>
      <w:r w:rsidR="004E4CEC">
        <w:t xml:space="preserve"> %</w:t>
      </w:r>
      <w:r w:rsidRPr="00171296">
        <w:t>). Individuals with a college degree or above had the highest prevalence in the never pain group (</w:t>
      </w:r>
      <w:r>
        <w:t>81.4 ± 1.4</w:t>
      </w:r>
      <w:r w:rsidR="004E4CEC">
        <w:t xml:space="preserve"> %</w:t>
      </w:r>
      <w:r>
        <w:t>)</w:t>
      </w:r>
      <w:r w:rsidRPr="00171296">
        <w:t>, while individuals without a high school diploma had the greatest prevalence in the always pain group (9.4 ± 1.3</w:t>
      </w:r>
      <w:r w:rsidR="004E4CEC">
        <w:t xml:space="preserve"> %</w:t>
      </w:r>
      <w:r w:rsidRPr="00171296">
        <w:t>). Additionally, there were significant differences in pain based on household income. Individuals who made &gt;65K per year had the greatest prevalence in the never pain category (80.8 ± 1.0</w:t>
      </w:r>
      <w:r w:rsidR="004E4CEC">
        <w:t xml:space="preserve"> %</w:t>
      </w:r>
      <w:r w:rsidRPr="00171296">
        <w:t>) and the lowest prevalence in the always pain category (2.4 ± 0.5</w:t>
      </w:r>
      <w:r w:rsidR="004E4CEC">
        <w:t xml:space="preserve"> %</w:t>
      </w:r>
      <w:r w:rsidRPr="00171296">
        <w:t xml:space="preserve">). </w:t>
      </w:r>
      <w:r w:rsidRPr="00171296">
        <w:lastRenderedPageBreak/>
        <w:t>For both total physical activity and recreations physical activity only, significant differences were found in pain prevalence. BMI was found to have a significant effect on pain prevalence. Individuals who were of a normal weight status had a higher prevalence of never pain (78.5 ± 2.2</w:t>
      </w:r>
      <w:r w:rsidR="004E4CEC">
        <w:t xml:space="preserve"> %</w:t>
      </w:r>
      <w:r w:rsidRPr="00171296">
        <w:t>) and a lower prevalence of always pain (3.5 ± 1.0</w:t>
      </w:r>
      <w:r w:rsidR="004E4CEC">
        <w:t xml:space="preserve"> %</w:t>
      </w:r>
      <w:r w:rsidRPr="00171296">
        <w:t>) compared to overweight and obese populations. Those who were sufficient in physical activity, according to ACSM guidelines, had a greater prevalence of no pain and lesser prevalence of pain sometimes and pain always compared to sedentary and insufficient individuals. Lastly, individuals with a diagnosis of arthritis had a significantly lower prevalence of no pain (53.0 ± 2.4</w:t>
      </w:r>
      <w:r w:rsidR="004E4CEC">
        <w:t xml:space="preserve"> %</w:t>
      </w:r>
      <w:r w:rsidRPr="00171296">
        <w:t>) as well as a higher prevalence of pain sometimes (31.5 ± 2.3</w:t>
      </w:r>
      <w:r w:rsidR="004E4CEC">
        <w:t xml:space="preserve"> %</w:t>
      </w:r>
      <w:r w:rsidRPr="00171296">
        <w:rPr>
          <w:color w:val="000000"/>
        </w:rPr>
        <w:t>) and pain always (</w:t>
      </w:r>
      <w:r w:rsidRPr="00171296">
        <w:t>15.5 ± 1.6</w:t>
      </w:r>
      <w:r w:rsidR="004E4CEC">
        <w:t xml:space="preserve"> %)</w:t>
      </w:r>
      <w:r w:rsidRPr="00171296">
        <w:t xml:space="preserve"> </w:t>
      </w:r>
      <w:r w:rsidRPr="00171296">
        <w:rPr>
          <w:color w:val="000000"/>
        </w:rPr>
        <w:t xml:space="preserve">compared to individuals without an arthritis diagnosis. </w:t>
      </w:r>
    </w:p>
    <w:p w14:paraId="6795188D" w14:textId="5DDBD6B0" w:rsidR="00A63D52" w:rsidRDefault="00A63D52" w:rsidP="00247505">
      <w:pPr>
        <w:spacing w:line="480" w:lineRule="auto"/>
        <w:jc w:val="both"/>
        <w:rPr>
          <w:color w:val="000000"/>
        </w:rPr>
      </w:pPr>
    </w:p>
    <w:p w14:paraId="55C81107" w14:textId="77421361" w:rsidR="00A63D52" w:rsidRDefault="00A63D52" w:rsidP="00247505">
      <w:pPr>
        <w:spacing w:line="480" w:lineRule="auto"/>
        <w:jc w:val="both"/>
        <w:rPr>
          <w:color w:val="000000"/>
        </w:rPr>
      </w:pPr>
    </w:p>
    <w:p w14:paraId="3CEE6846" w14:textId="21231EF9" w:rsidR="00A63D52" w:rsidRDefault="00A63D52" w:rsidP="00247505">
      <w:pPr>
        <w:spacing w:line="480" w:lineRule="auto"/>
        <w:jc w:val="both"/>
        <w:rPr>
          <w:color w:val="000000"/>
        </w:rPr>
      </w:pPr>
    </w:p>
    <w:p w14:paraId="5B67EC41" w14:textId="3CDF637D" w:rsidR="00A63D52" w:rsidRDefault="00A63D52" w:rsidP="00247505">
      <w:pPr>
        <w:spacing w:line="480" w:lineRule="auto"/>
        <w:jc w:val="both"/>
        <w:rPr>
          <w:color w:val="000000"/>
        </w:rPr>
      </w:pPr>
    </w:p>
    <w:p w14:paraId="60F87F23" w14:textId="38323B8E" w:rsidR="00A63D52" w:rsidRDefault="00A63D52" w:rsidP="00247505">
      <w:pPr>
        <w:spacing w:line="480" w:lineRule="auto"/>
        <w:jc w:val="both"/>
        <w:rPr>
          <w:color w:val="000000"/>
        </w:rPr>
      </w:pPr>
    </w:p>
    <w:p w14:paraId="7A238841" w14:textId="402F255E" w:rsidR="00A63D52" w:rsidRDefault="00A63D52" w:rsidP="00247505">
      <w:pPr>
        <w:spacing w:line="480" w:lineRule="auto"/>
        <w:jc w:val="both"/>
        <w:rPr>
          <w:color w:val="000000"/>
        </w:rPr>
      </w:pPr>
    </w:p>
    <w:p w14:paraId="5394DCE9" w14:textId="0CA06836" w:rsidR="00A63D52" w:rsidRDefault="00A63D52" w:rsidP="00247505">
      <w:pPr>
        <w:spacing w:line="480" w:lineRule="auto"/>
        <w:jc w:val="both"/>
        <w:rPr>
          <w:color w:val="000000"/>
        </w:rPr>
      </w:pPr>
    </w:p>
    <w:p w14:paraId="00CA99B1" w14:textId="26E850B5" w:rsidR="00373633" w:rsidRDefault="00373633" w:rsidP="00247505">
      <w:pPr>
        <w:spacing w:line="480" w:lineRule="auto"/>
        <w:jc w:val="both"/>
        <w:rPr>
          <w:color w:val="000000"/>
        </w:rPr>
      </w:pPr>
    </w:p>
    <w:p w14:paraId="396D0A58" w14:textId="27329C99" w:rsidR="00C008A4" w:rsidRDefault="00C008A4" w:rsidP="00247505">
      <w:pPr>
        <w:spacing w:line="480" w:lineRule="auto"/>
        <w:jc w:val="both"/>
        <w:rPr>
          <w:color w:val="000000"/>
        </w:rPr>
      </w:pPr>
    </w:p>
    <w:p w14:paraId="5BAE701F" w14:textId="4E104D99" w:rsidR="00C008A4" w:rsidRDefault="00C008A4" w:rsidP="00247505">
      <w:pPr>
        <w:spacing w:line="480" w:lineRule="auto"/>
        <w:jc w:val="both"/>
        <w:rPr>
          <w:color w:val="000000"/>
        </w:rPr>
      </w:pPr>
    </w:p>
    <w:p w14:paraId="4A0BF9A2" w14:textId="4874A01B" w:rsidR="00C008A4" w:rsidRDefault="00C008A4" w:rsidP="00247505">
      <w:pPr>
        <w:spacing w:line="480" w:lineRule="auto"/>
        <w:jc w:val="both"/>
        <w:rPr>
          <w:color w:val="000000"/>
        </w:rPr>
      </w:pPr>
    </w:p>
    <w:p w14:paraId="4574A9EB" w14:textId="20AE287C" w:rsidR="00463812" w:rsidRDefault="00463812" w:rsidP="00247505">
      <w:pPr>
        <w:spacing w:line="480" w:lineRule="auto"/>
        <w:jc w:val="both"/>
        <w:rPr>
          <w:color w:val="000000"/>
        </w:rPr>
      </w:pPr>
    </w:p>
    <w:p w14:paraId="3DE6BE70" w14:textId="5824927F" w:rsidR="004E4CEC" w:rsidRDefault="004E4CEC" w:rsidP="00247505">
      <w:pPr>
        <w:spacing w:line="480" w:lineRule="auto"/>
        <w:jc w:val="both"/>
        <w:rPr>
          <w:color w:val="000000"/>
        </w:rPr>
      </w:pPr>
    </w:p>
    <w:p w14:paraId="0E14FABD" w14:textId="77777777" w:rsidR="004E4CEC" w:rsidRDefault="004E4CEC" w:rsidP="00247505">
      <w:pPr>
        <w:spacing w:line="480" w:lineRule="auto"/>
        <w:jc w:val="both"/>
        <w:rPr>
          <w:color w:val="000000"/>
        </w:rPr>
      </w:pPr>
    </w:p>
    <w:tbl>
      <w:tblPr>
        <w:tblStyle w:val="TableGrid"/>
        <w:tblW w:w="7006" w:type="dxa"/>
        <w:tblLook w:val="04A0" w:firstRow="1" w:lastRow="0" w:firstColumn="1" w:lastColumn="0" w:noHBand="0" w:noVBand="1"/>
      </w:tblPr>
      <w:tblGrid>
        <w:gridCol w:w="2843"/>
        <w:gridCol w:w="1031"/>
        <w:gridCol w:w="1138"/>
        <w:gridCol w:w="1032"/>
        <w:gridCol w:w="962"/>
      </w:tblGrid>
      <w:tr w:rsidR="00247505" w:rsidRPr="005F7B0F" w14:paraId="57EDCFD2" w14:textId="77777777" w:rsidTr="001629CC">
        <w:tc>
          <w:tcPr>
            <w:tcW w:w="7006" w:type="dxa"/>
            <w:gridSpan w:val="5"/>
            <w:tcBorders>
              <w:top w:val="nil"/>
              <w:left w:val="nil"/>
              <w:bottom w:val="double" w:sz="4" w:space="0" w:color="auto"/>
              <w:right w:val="nil"/>
            </w:tcBorders>
          </w:tcPr>
          <w:p w14:paraId="55B9E75D" w14:textId="77777777" w:rsidR="00247505" w:rsidRPr="005F7B0F" w:rsidRDefault="00247505" w:rsidP="001629CC">
            <w:pPr>
              <w:jc w:val="both"/>
              <w:rPr>
                <w:rFonts w:ascii="Times New Roman" w:hAnsi="Times New Roman"/>
                <w:sz w:val="18"/>
                <w:szCs w:val="20"/>
              </w:rPr>
            </w:pPr>
            <w:r w:rsidRPr="005F7B0F">
              <w:rPr>
                <w:rFonts w:ascii="Times New Roman" w:hAnsi="Times New Roman"/>
                <w:b/>
                <w:sz w:val="18"/>
                <w:szCs w:val="20"/>
              </w:rPr>
              <w:t>Table 3</w:t>
            </w:r>
            <w:r w:rsidRPr="005F7B0F">
              <w:rPr>
                <w:rFonts w:ascii="Times New Roman" w:hAnsi="Times New Roman"/>
                <w:sz w:val="18"/>
                <w:szCs w:val="20"/>
              </w:rPr>
              <w:t xml:space="preserve"> – Prevalence of pain making it hard to perform usual activities </w:t>
            </w:r>
          </w:p>
        </w:tc>
      </w:tr>
      <w:tr w:rsidR="00247505" w:rsidRPr="005F7B0F" w14:paraId="425823F0" w14:textId="77777777" w:rsidTr="001629CC">
        <w:tc>
          <w:tcPr>
            <w:tcW w:w="2843" w:type="dxa"/>
            <w:tcBorders>
              <w:top w:val="double" w:sz="4" w:space="0" w:color="auto"/>
              <w:left w:val="nil"/>
              <w:bottom w:val="nil"/>
              <w:right w:val="nil"/>
            </w:tcBorders>
          </w:tcPr>
          <w:p w14:paraId="594AA0DA" w14:textId="77777777" w:rsidR="00247505" w:rsidRPr="005F7B0F" w:rsidRDefault="00247505" w:rsidP="001629CC">
            <w:pPr>
              <w:jc w:val="both"/>
              <w:rPr>
                <w:rFonts w:ascii="Times New Roman" w:hAnsi="Times New Roman"/>
                <w:sz w:val="18"/>
                <w:szCs w:val="20"/>
              </w:rPr>
            </w:pPr>
          </w:p>
        </w:tc>
        <w:tc>
          <w:tcPr>
            <w:tcW w:w="1031" w:type="dxa"/>
            <w:tcBorders>
              <w:top w:val="double" w:sz="4" w:space="0" w:color="auto"/>
              <w:left w:val="nil"/>
              <w:bottom w:val="nil"/>
              <w:right w:val="nil"/>
            </w:tcBorders>
          </w:tcPr>
          <w:p w14:paraId="1F09A4D0" w14:textId="77777777" w:rsidR="00247505" w:rsidRPr="005F7B0F" w:rsidRDefault="00247505" w:rsidP="001629CC">
            <w:pPr>
              <w:jc w:val="both"/>
              <w:rPr>
                <w:rFonts w:ascii="Times New Roman" w:hAnsi="Times New Roman"/>
                <w:b/>
                <w:sz w:val="18"/>
                <w:szCs w:val="20"/>
                <w:u w:val="single"/>
              </w:rPr>
            </w:pPr>
            <w:r w:rsidRPr="005F7B0F">
              <w:rPr>
                <w:rFonts w:ascii="Times New Roman" w:hAnsi="Times New Roman"/>
                <w:b/>
                <w:sz w:val="18"/>
                <w:szCs w:val="20"/>
                <w:u w:val="single"/>
              </w:rPr>
              <w:t>Never</w:t>
            </w:r>
          </w:p>
        </w:tc>
        <w:tc>
          <w:tcPr>
            <w:tcW w:w="1138" w:type="dxa"/>
            <w:tcBorders>
              <w:top w:val="double" w:sz="4" w:space="0" w:color="auto"/>
              <w:left w:val="nil"/>
              <w:bottom w:val="nil"/>
              <w:right w:val="nil"/>
            </w:tcBorders>
          </w:tcPr>
          <w:p w14:paraId="50047C54" w14:textId="77777777" w:rsidR="00247505" w:rsidRPr="005F7B0F" w:rsidRDefault="00247505" w:rsidP="001629CC">
            <w:pPr>
              <w:jc w:val="both"/>
              <w:rPr>
                <w:rFonts w:ascii="Times New Roman" w:hAnsi="Times New Roman"/>
                <w:b/>
                <w:sz w:val="18"/>
                <w:szCs w:val="20"/>
                <w:u w:val="single"/>
              </w:rPr>
            </w:pPr>
            <w:r w:rsidRPr="005F7B0F">
              <w:rPr>
                <w:rFonts w:ascii="Times New Roman" w:hAnsi="Times New Roman"/>
                <w:b/>
                <w:sz w:val="18"/>
                <w:szCs w:val="20"/>
                <w:u w:val="single"/>
              </w:rPr>
              <w:t>Sometimes</w:t>
            </w:r>
          </w:p>
        </w:tc>
        <w:tc>
          <w:tcPr>
            <w:tcW w:w="1032" w:type="dxa"/>
            <w:tcBorders>
              <w:top w:val="double" w:sz="4" w:space="0" w:color="auto"/>
              <w:left w:val="nil"/>
              <w:bottom w:val="nil"/>
              <w:right w:val="nil"/>
            </w:tcBorders>
          </w:tcPr>
          <w:p w14:paraId="57228844" w14:textId="77777777" w:rsidR="00247505" w:rsidRPr="005F7B0F" w:rsidRDefault="00247505" w:rsidP="001629CC">
            <w:pPr>
              <w:jc w:val="both"/>
              <w:rPr>
                <w:rFonts w:ascii="Times New Roman" w:hAnsi="Times New Roman"/>
                <w:b/>
                <w:sz w:val="18"/>
                <w:szCs w:val="20"/>
                <w:u w:val="single"/>
              </w:rPr>
            </w:pPr>
            <w:r w:rsidRPr="005F7B0F">
              <w:rPr>
                <w:rFonts w:ascii="Times New Roman" w:hAnsi="Times New Roman"/>
                <w:b/>
                <w:sz w:val="18"/>
                <w:szCs w:val="20"/>
                <w:u w:val="single"/>
              </w:rPr>
              <w:t>Always</w:t>
            </w:r>
          </w:p>
        </w:tc>
        <w:tc>
          <w:tcPr>
            <w:tcW w:w="962" w:type="dxa"/>
            <w:tcBorders>
              <w:top w:val="double" w:sz="4" w:space="0" w:color="auto"/>
              <w:left w:val="nil"/>
              <w:bottom w:val="nil"/>
              <w:right w:val="nil"/>
            </w:tcBorders>
          </w:tcPr>
          <w:p w14:paraId="62D28C2A" w14:textId="77777777" w:rsidR="00247505" w:rsidRPr="005F7B0F" w:rsidRDefault="00247505" w:rsidP="001629CC">
            <w:pPr>
              <w:jc w:val="both"/>
              <w:rPr>
                <w:rFonts w:ascii="Times New Roman" w:hAnsi="Times New Roman"/>
                <w:b/>
                <w:sz w:val="18"/>
                <w:szCs w:val="20"/>
                <w:u w:val="single"/>
              </w:rPr>
            </w:pPr>
            <w:r w:rsidRPr="005F7B0F">
              <w:rPr>
                <w:rFonts w:ascii="Times New Roman" w:hAnsi="Times New Roman"/>
                <w:b/>
                <w:sz w:val="18"/>
                <w:szCs w:val="20"/>
                <w:u w:val="single"/>
              </w:rPr>
              <w:t>P-Value</w:t>
            </w:r>
          </w:p>
        </w:tc>
      </w:tr>
      <w:tr w:rsidR="00247505" w:rsidRPr="005F7B0F" w14:paraId="3972D3AE" w14:textId="77777777" w:rsidTr="001629CC">
        <w:tc>
          <w:tcPr>
            <w:tcW w:w="2843" w:type="dxa"/>
            <w:tcBorders>
              <w:top w:val="nil"/>
              <w:left w:val="nil"/>
              <w:bottom w:val="nil"/>
              <w:right w:val="nil"/>
            </w:tcBorders>
          </w:tcPr>
          <w:p w14:paraId="4A67919E"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Unweighted count (n)</w:t>
            </w:r>
          </w:p>
        </w:tc>
        <w:tc>
          <w:tcPr>
            <w:tcW w:w="1031" w:type="dxa"/>
            <w:tcBorders>
              <w:top w:val="nil"/>
              <w:left w:val="nil"/>
              <w:bottom w:val="nil"/>
              <w:right w:val="nil"/>
            </w:tcBorders>
          </w:tcPr>
          <w:p w14:paraId="024A35AA"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3888</w:t>
            </w:r>
          </w:p>
        </w:tc>
        <w:tc>
          <w:tcPr>
            <w:tcW w:w="1138" w:type="dxa"/>
            <w:tcBorders>
              <w:top w:val="nil"/>
              <w:left w:val="nil"/>
              <w:bottom w:val="nil"/>
              <w:right w:val="nil"/>
            </w:tcBorders>
          </w:tcPr>
          <w:p w14:paraId="73F9775F"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1026</w:t>
            </w:r>
          </w:p>
        </w:tc>
        <w:tc>
          <w:tcPr>
            <w:tcW w:w="1032" w:type="dxa"/>
            <w:tcBorders>
              <w:top w:val="nil"/>
              <w:left w:val="nil"/>
              <w:bottom w:val="nil"/>
              <w:right w:val="nil"/>
            </w:tcBorders>
          </w:tcPr>
          <w:p w14:paraId="446575B2"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312</w:t>
            </w:r>
          </w:p>
        </w:tc>
        <w:tc>
          <w:tcPr>
            <w:tcW w:w="962" w:type="dxa"/>
            <w:tcBorders>
              <w:top w:val="nil"/>
              <w:left w:val="nil"/>
              <w:bottom w:val="nil"/>
              <w:right w:val="nil"/>
            </w:tcBorders>
          </w:tcPr>
          <w:p w14:paraId="0360F3BA" w14:textId="77777777" w:rsidR="00247505" w:rsidRPr="005F7B0F" w:rsidRDefault="00247505" w:rsidP="001629CC">
            <w:pPr>
              <w:jc w:val="both"/>
              <w:rPr>
                <w:rFonts w:ascii="Times New Roman" w:hAnsi="Times New Roman"/>
                <w:sz w:val="18"/>
                <w:szCs w:val="20"/>
              </w:rPr>
            </w:pPr>
          </w:p>
        </w:tc>
      </w:tr>
      <w:tr w:rsidR="00247505" w:rsidRPr="005F7B0F" w14:paraId="138C465E" w14:textId="77777777" w:rsidTr="001629CC">
        <w:tc>
          <w:tcPr>
            <w:tcW w:w="2843" w:type="dxa"/>
            <w:tcBorders>
              <w:top w:val="nil"/>
              <w:left w:val="nil"/>
              <w:bottom w:val="nil"/>
              <w:right w:val="nil"/>
            </w:tcBorders>
          </w:tcPr>
          <w:p w14:paraId="052F7B07"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Weighted (%)</w:t>
            </w:r>
          </w:p>
        </w:tc>
        <w:tc>
          <w:tcPr>
            <w:tcW w:w="1031" w:type="dxa"/>
            <w:tcBorders>
              <w:top w:val="nil"/>
              <w:left w:val="nil"/>
              <w:bottom w:val="nil"/>
              <w:right w:val="nil"/>
            </w:tcBorders>
          </w:tcPr>
          <w:p w14:paraId="098F7398"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74.2 ± 1.2</w:t>
            </w:r>
          </w:p>
        </w:tc>
        <w:tc>
          <w:tcPr>
            <w:tcW w:w="1138" w:type="dxa"/>
            <w:tcBorders>
              <w:top w:val="nil"/>
              <w:left w:val="nil"/>
              <w:bottom w:val="nil"/>
              <w:right w:val="nil"/>
            </w:tcBorders>
          </w:tcPr>
          <w:p w14:paraId="5F523C99" w14:textId="77777777" w:rsidR="00247505" w:rsidRPr="005F7B0F" w:rsidRDefault="00247505" w:rsidP="001629CC">
            <w:pPr>
              <w:spacing w:before="120"/>
              <w:jc w:val="both"/>
              <w:rPr>
                <w:sz w:val="18"/>
                <w:szCs w:val="20"/>
              </w:rPr>
            </w:pPr>
            <w:r w:rsidRPr="005F7B0F">
              <w:rPr>
                <w:rFonts w:ascii="Times New Roman" w:hAnsi="Times New Roman"/>
                <w:sz w:val="18"/>
                <w:szCs w:val="20"/>
              </w:rPr>
              <w:t>20.2 ± 1.0</w:t>
            </w:r>
          </w:p>
        </w:tc>
        <w:tc>
          <w:tcPr>
            <w:tcW w:w="1032" w:type="dxa"/>
            <w:tcBorders>
              <w:top w:val="nil"/>
              <w:left w:val="nil"/>
              <w:bottom w:val="nil"/>
              <w:right w:val="nil"/>
            </w:tcBorders>
          </w:tcPr>
          <w:p w14:paraId="70EBA421" w14:textId="77777777" w:rsidR="00247505" w:rsidRPr="005F7B0F" w:rsidRDefault="00247505" w:rsidP="001629CC">
            <w:pPr>
              <w:spacing w:before="120"/>
              <w:jc w:val="both"/>
              <w:rPr>
                <w:sz w:val="18"/>
                <w:szCs w:val="20"/>
              </w:rPr>
            </w:pPr>
            <w:r w:rsidRPr="005F7B0F">
              <w:rPr>
                <w:rFonts w:ascii="Times New Roman" w:hAnsi="Times New Roman"/>
                <w:sz w:val="18"/>
                <w:szCs w:val="20"/>
              </w:rPr>
              <w:t>5.6 ± 0.6</w:t>
            </w:r>
          </w:p>
        </w:tc>
        <w:tc>
          <w:tcPr>
            <w:tcW w:w="962" w:type="dxa"/>
            <w:tcBorders>
              <w:top w:val="nil"/>
              <w:left w:val="nil"/>
              <w:bottom w:val="nil"/>
              <w:right w:val="nil"/>
            </w:tcBorders>
          </w:tcPr>
          <w:p w14:paraId="1B046B12" w14:textId="77777777" w:rsidR="00247505" w:rsidRPr="005F7B0F" w:rsidRDefault="00247505" w:rsidP="001629CC">
            <w:pPr>
              <w:spacing w:before="120"/>
              <w:jc w:val="both"/>
              <w:rPr>
                <w:rFonts w:ascii="Times New Roman" w:hAnsi="Times New Roman"/>
                <w:sz w:val="18"/>
                <w:szCs w:val="20"/>
                <w:vertAlign w:val="superscript"/>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3F22886B" w14:textId="77777777" w:rsidTr="001629CC">
        <w:tc>
          <w:tcPr>
            <w:tcW w:w="2843" w:type="dxa"/>
            <w:tcBorders>
              <w:top w:val="nil"/>
              <w:left w:val="nil"/>
              <w:bottom w:val="nil"/>
              <w:right w:val="nil"/>
            </w:tcBorders>
          </w:tcPr>
          <w:p w14:paraId="077439CD" w14:textId="2DFE4E2F" w:rsidR="00247505" w:rsidRPr="005F7B0F" w:rsidRDefault="004E4CEC" w:rsidP="001629CC">
            <w:pPr>
              <w:spacing w:before="120"/>
              <w:jc w:val="both"/>
              <w:rPr>
                <w:rFonts w:ascii="Times New Roman" w:hAnsi="Times New Roman"/>
                <w:sz w:val="18"/>
                <w:szCs w:val="20"/>
                <w:u w:val="single"/>
              </w:rPr>
            </w:pPr>
            <w:r>
              <w:rPr>
                <w:rFonts w:ascii="Times New Roman" w:hAnsi="Times New Roman"/>
                <w:sz w:val="18"/>
                <w:szCs w:val="20"/>
                <w:u w:val="single"/>
              </w:rPr>
              <w:t>Sex</w:t>
            </w:r>
            <w:r w:rsidR="00247505" w:rsidRPr="005F7B0F">
              <w:rPr>
                <w:rFonts w:ascii="Times New Roman" w:hAnsi="Times New Roman"/>
                <w:sz w:val="18"/>
                <w:szCs w:val="20"/>
                <w:u w:val="single"/>
              </w:rPr>
              <w:t xml:space="preserve"> (%)</w:t>
            </w:r>
          </w:p>
        </w:tc>
        <w:tc>
          <w:tcPr>
            <w:tcW w:w="1031" w:type="dxa"/>
            <w:tcBorders>
              <w:top w:val="nil"/>
              <w:left w:val="nil"/>
              <w:bottom w:val="nil"/>
              <w:right w:val="nil"/>
            </w:tcBorders>
          </w:tcPr>
          <w:p w14:paraId="10DA230D"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1B7F5855"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7F6C679A"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7CCF7E05" w14:textId="77777777" w:rsidR="00247505" w:rsidRPr="005F7B0F" w:rsidRDefault="00247505" w:rsidP="001629CC">
            <w:pPr>
              <w:spacing w:before="120"/>
              <w:jc w:val="both"/>
              <w:rPr>
                <w:rFonts w:ascii="Times New Roman" w:hAnsi="Times New Roman"/>
                <w:sz w:val="18"/>
                <w:szCs w:val="20"/>
                <w:vertAlign w:val="superscript"/>
              </w:rPr>
            </w:pPr>
            <w:r w:rsidRPr="005F7B0F">
              <w:rPr>
                <w:rFonts w:ascii="Times New Roman" w:hAnsi="Times New Roman"/>
                <w:sz w:val="18"/>
                <w:szCs w:val="20"/>
              </w:rPr>
              <w:t>0.46</w:t>
            </w:r>
            <w:r w:rsidRPr="005F7B0F">
              <w:rPr>
                <w:rFonts w:ascii="Times New Roman" w:hAnsi="Times New Roman"/>
                <w:sz w:val="18"/>
                <w:szCs w:val="20"/>
                <w:vertAlign w:val="superscript"/>
              </w:rPr>
              <w:t>b</w:t>
            </w:r>
          </w:p>
        </w:tc>
      </w:tr>
      <w:tr w:rsidR="00247505" w:rsidRPr="005F7B0F" w14:paraId="2AAD7696" w14:textId="77777777" w:rsidTr="001629CC">
        <w:tc>
          <w:tcPr>
            <w:tcW w:w="2843" w:type="dxa"/>
            <w:tcBorders>
              <w:top w:val="nil"/>
              <w:left w:val="nil"/>
              <w:bottom w:val="nil"/>
              <w:right w:val="nil"/>
            </w:tcBorders>
          </w:tcPr>
          <w:p w14:paraId="2AD83B6D"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Men </w:t>
            </w:r>
          </w:p>
        </w:tc>
        <w:tc>
          <w:tcPr>
            <w:tcW w:w="1031" w:type="dxa"/>
            <w:tcBorders>
              <w:top w:val="nil"/>
              <w:left w:val="nil"/>
              <w:bottom w:val="nil"/>
              <w:right w:val="nil"/>
            </w:tcBorders>
          </w:tcPr>
          <w:p w14:paraId="446C942C"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75.3 ± 1.2</w:t>
            </w:r>
          </w:p>
        </w:tc>
        <w:tc>
          <w:tcPr>
            <w:tcW w:w="1138" w:type="dxa"/>
            <w:tcBorders>
              <w:top w:val="nil"/>
              <w:left w:val="nil"/>
              <w:bottom w:val="nil"/>
              <w:right w:val="nil"/>
            </w:tcBorders>
          </w:tcPr>
          <w:p w14:paraId="147D3214" w14:textId="77777777" w:rsidR="00247505" w:rsidRPr="005F7B0F" w:rsidRDefault="00247505" w:rsidP="001629CC">
            <w:pPr>
              <w:jc w:val="both"/>
              <w:rPr>
                <w:sz w:val="18"/>
                <w:szCs w:val="20"/>
              </w:rPr>
            </w:pPr>
            <w:r w:rsidRPr="005F7B0F">
              <w:rPr>
                <w:rFonts w:ascii="Times New Roman" w:hAnsi="Times New Roman"/>
                <w:sz w:val="18"/>
                <w:szCs w:val="20"/>
              </w:rPr>
              <w:t>19.3 ± 1.2</w:t>
            </w:r>
          </w:p>
        </w:tc>
        <w:tc>
          <w:tcPr>
            <w:tcW w:w="1032" w:type="dxa"/>
            <w:tcBorders>
              <w:top w:val="nil"/>
              <w:left w:val="nil"/>
              <w:bottom w:val="nil"/>
              <w:right w:val="nil"/>
            </w:tcBorders>
          </w:tcPr>
          <w:p w14:paraId="21F6F7CB" w14:textId="77777777" w:rsidR="00247505" w:rsidRPr="005F7B0F" w:rsidRDefault="00247505" w:rsidP="001629CC">
            <w:pPr>
              <w:jc w:val="both"/>
              <w:rPr>
                <w:sz w:val="18"/>
                <w:szCs w:val="20"/>
              </w:rPr>
            </w:pPr>
            <w:r w:rsidRPr="005F7B0F">
              <w:rPr>
                <w:rFonts w:ascii="Times New Roman" w:hAnsi="Times New Roman"/>
                <w:sz w:val="18"/>
                <w:szCs w:val="20"/>
              </w:rPr>
              <w:t>5.4 ± 0.8</w:t>
            </w:r>
          </w:p>
        </w:tc>
        <w:tc>
          <w:tcPr>
            <w:tcW w:w="962" w:type="dxa"/>
            <w:tcBorders>
              <w:top w:val="nil"/>
              <w:left w:val="nil"/>
              <w:bottom w:val="nil"/>
              <w:right w:val="nil"/>
            </w:tcBorders>
          </w:tcPr>
          <w:p w14:paraId="1A8CE803" w14:textId="77777777" w:rsidR="00247505" w:rsidRPr="005F7B0F" w:rsidRDefault="00247505" w:rsidP="001629CC">
            <w:pPr>
              <w:jc w:val="both"/>
              <w:rPr>
                <w:rFonts w:ascii="Times New Roman" w:hAnsi="Times New Roman"/>
                <w:sz w:val="18"/>
                <w:szCs w:val="20"/>
              </w:rPr>
            </w:pPr>
          </w:p>
        </w:tc>
      </w:tr>
      <w:tr w:rsidR="00247505" w:rsidRPr="005F7B0F" w14:paraId="2F9FB4AD" w14:textId="77777777" w:rsidTr="001629CC">
        <w:tc>
          <w:tcPr>
            <w:tcW w:w="2843" w:type="dxa"/>
            <w:tcBorders>
              <w:top w:val="nil"/>
              <w:left w:val="nil"/>
              <w:bottom w:val="nil"/>
              <w:right w:val="nil"/>
            </w:tcBorders>
          </w:tcPr>
          <w:p w14:paraId="5BAB1482"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Women</w:t>
            </w:r>
          </w:p>
        </w:tc>
        <w:tc>
          <w:tcPr>
            <w:tcW w:w="1031" w:type="dxa"/>
            <w:tcBorders>
              <w:top w:val="nil"/>
              <w:left w:val="nil"/>
              <w:bottom w:val="nil"/>
              <w:right w:val="nil"/>
            </w:tcBorders>
          </w:tcPr>
          <w:p w14:paraId="4D3EAC06"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73.2 ± 1.7</w:t>
            </w:r>
          </w:p>
        </w:tc>
        <w:tc>
          <w:tcPr>
            <w:tcW w:w="1138" w:type="dxa"/>
            <w:tcBorders>
              <w:top w:val="nil"/>
              <w:left w:val="nil"/>
              <w:bottom w:val="nil"/>
              <w:right w:val="nil"/>
            </w:tcBorders>
          </w:tcPr>
          <w:p w14:paraId="785A3220" w14:textId="77777777" w:rsidR="00247505" w:rsidRPr="005F7B0F" w:rsidRDefault="00247505" w:rsidP="001629CC">
            <w:pPr>
              <w:jc w:val="both"/>
              <w:rPr>
                <w:sz w:val="18"/>
                <w:szCs w:val="20"/>
              </w:rPr>
            </w:pPr>
            <w:r w:rsidRPr="005F7B0F">
              <w:rPr>
                <w:rFonts w:ascii="Times New Roman" w:hAnsi="Times New Roman"/>
                <w:sz w:val="18"/>
                <w:szCs w:val="20"/>
              </w:rPr>
              <w:t>21.1 ± 1.3</w:t>
            </w:r>
          </w:p>
        </w:tc>
        <w:tc>
          <w:tcPr>
            <w:tcW w:w="1032" w:type="dxa"/>
            <w:tcBorders>
              <w:top w:val="nil"/>
              <w:left w:val="nil"/>
              <w:bottom w:val="nil"/>
              <w:right w:val="nil"/>
            </w:tcBorders>
          </w:tcPr>
          <w:p w14:paraId="3741EE8F" w14:textId="77777777" w:rsidR="00247505" w:rsidRPr="005F7B0F" w:rsidRDefault="00247505" w:rsidP="001629CC">
            <w:pPr>
              <w:jc w:val="both"/>
              <w:rPr>
                <w:sz w:val="18"/>
                <w:szCs w:val="20"/>
              </w:rPr>
            </w:pPr>
            <w:r w:rsidRPr="005F7B0F">
              <w:rPr>
                <w:rFonts w:ascii="Times New Roman" w:hAnsi="Times New Roman"/>
                <w:sz w:val="18"/>
                <w:szCs w:val="20"/>
              </w:rPr>
              <w:t>5.8 ± 0.6</w:t>
            </w:r>
          </w:p>
        </w:tc>
        <w:tc>
          <w:tcPr>
            <w:tcW w:w="962" w:type="dxa"/>
            <w:tcBorders>
              <w:top w:val="nil"/>
              <w:left w:val="nil"/>
              <w:bottom w:val="nil"/>
              <w:right w:val="nil"/>
            </w:tcBorders>
          </w:tcPr>
          <w:p w14:paraId="7769C461" w14:textId="77777777" w:rsidR="00247505" w:rsidRPr="005F7B0F" w:rsidRDefault="00247505" w:rsidP="001629CC">
            <w:pPr>
              <w:jc w:val="both"/>
              <w:rPr>
                <w:rFonts w:ascii="Times New Roman" w:hAnsi="Times New Roman"/>
                <w:sz w:val="18"/>
                <w:szCs w:val="20"/>
              </w:rPr>
            </w:pPr>
          </w:p>
        </w:tc>
      </w:tr>
      <w:tr w:rsidR="00247505" w:rsidRPr="005F7B0F" w14:paraId="645E0C05" w14:textId="77777777" w:rsidTr="001629CC">
        <w:tc>
          <w:tcPr>
            <w:tcW w:w="2843" w:type="dxa"/>
            <w:tcBorders>
              <w:top w:val="nil"/>
              <w:left w:val="nil"/>
              <w:bottom w:val="nil"/>
              <w:right w:val="nil"/>
            </w:tcBorders>
          </w:tcPr>
          <w:p w14:paraId="1CE31902"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Age Groups (%)</w:t>
            </w:r>
          </w:p>
        </w:tc>
        <w:tc>
          <w:tcPr>
            <w:tcW w:w="1031" w:type="dxa"/>
            <w:tcBorders>
              <w:top w:val="nil"/>
              <w:left w:val="nil"/>
              <w:bottom w:val="nil"/>
              <w:right w:val="nil"/>
            </w:tcBorders>
          </w:tcPr>
          <w:p w14:paraId="4F431221"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5B1B62DD"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44ACA12F"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2DB06D4E"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07F3D7A8" w14:textId="77777777" w:rsidTr="001629CC">
        <w:tc>
          <w:tcPr>
            <w:tcW w:w="2843" w:type="dxa"/>
            <w:tcBorders>
              <w:top w:val="nil"/>
              <w:left w:val="nil"/>
              <w:bottom w:val="nil"/>
              <w:right w:val="nil"/>
            </w:tcBorders>
          </w:tcPr>
          <w:p w14:paraId="07000EFC"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20-35 yrs</w:t>
            </w:r>
          </w:p>
        </w:tc>
        <w:tc>
          <w:tcPr>
            <w:tcW w:w="1031" w:type="dxa"/>
            <w:tcBorders>
              <w:top w:val="nil"/>
              <w:left w:val="nil"/>
              <w:bottom w:val="nil"/>
              <w:right w:val="nil"/>
            </w:tcBorders>
          </w:tcPr>
          <w:p w14:paraId="284B93FE"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81.3 ± 1.7</w:t>
            </w:r>
          </w:p>
        </w:tc>
        <w:tc>
          <w:tcPr>
            <w:tcW w:w="1138" w:type="dxa"/>
            <w:tcBorders>
              <w:top w:val="nil"/>
              <w:left w:val="nil"/>
              <w:bottom w:val="nil"/>
              <w:right w:val="nil"/>
            </w:tcBorders>
          </w:tcPr>
          <w:p w14:paraId="767944D2" w14:textId="77777777" w:rsidR="00247505" w:rsidRPr="005F7B0F" w:rsidRDefault="00247505" w:rsidP="001629CC">
            <w:pPr>
              <w:jc w:val="both"/>
              <w:rPr>
                <w:sz w:val="18"/>
                <w:szCs w:val="20"/>
              </w:rPr>
            </w:pPr>
            <w:r w:rsidRPr="005F7B0F">
              <w:rPr>
                <w:rFonts w:ascii="Times New Roman" w:hAnsi="Times New Roman"/>
                <w:sz w:val="18"/>
                <w:szCs w:val="20"/>
              </w:rPr>
              <w:t>17.5 ± 1.6</w:t>
            </w:r>
          </w:p>
        </w:tc>
        <w:tc>
          <w:tcPr>
            <w:tcW w:w="1032" w:type="dxa"/>
            <w:tcBorders>
              <w:top w:val="nil"/>
              <w:left w:val="nil"/>
              <w:bottom w:val="nil"/>
              <w:right w:val="nil"/>
            </w:tcBorders>
          </w:tcPr>
          <w:p w14:paraId="25522C6B" w14:textId="77777777" w:rsidR="00247505" w:rsidRPr="005F7B0F" w:rsidRDefault="00247505" w:rsidP="001629CC">
            <w:pPr>
              <w:jc w:val="both"/>
              <w:rPr>
                <w:sz w:val="18"/>
                <w:szCs w:val="20"/>
              </w:rPr>
            </w:pPr>
            <w:r w:rsidRPr="005F7B0F">
              <w:rPr>
                <w:rFonts w:ascii="Times New Roman" w:hAnsi="Times New Roman"/>
                <w:sz w:val="18"/>
                <w:szCs w:val="20"/>
              </w:rPr>
              <w:t>1.2 ± 0.3</w:t>
            </w:r>
          </w:p>
        </w:tc>
        <w:tc>
          <w:tcPr>
            <w:tcW w:w="962" w:type="dxa"/>
            <w:tcBorders>
              <w:top w:val="nil"/>
              <w:left w:val="nil"/>
              <w:bottom w:val="nil"/>
              <w:right w:val="nil"/>
            </w:tcBorders>
          </w:tcPr>
          <w:p w14:paraId="5C7ECFB9" w14:textId="77777777" w:rsidR="00247505" w:rsidRPr="005F7B0F" w:rsidRDefault="00247505" w:rsidP="001629CC">
            <w:pPr>
              <w:jc w:val="both"/>
              <w:rPr>
                <w:rFonts w:ascii="Times New Roman" w:hAnsi="Times New Roman"/>
                <w:sz w:val="18"/>
                <w:szCs w:val="20"/>
              </w:rPr>
            </w:pPr>
          </w:p>
        </w:tc>
      </w:tr>
      <w:tr w:rsidR="00247505" w:rsidRPr="005F7B0F" w14:paraId="73D383B6" w14:textId="77777777" w:rsidTr="001629CC">
        <w:tc>
          <w:tcPr>
            <w:tcW w:w="2843" w:type="dxa"/>
            <w:tcBorders>
              <w:top w:val="nil"/>
              <w:left w:val="nil"/>
              <w:bottom w:val="nil"/>
              <w:right w:val="nil"/>
            </w:tcBorders>
          </w:tcPr>
          <w:p w14:paraId="30A50DA4"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36-55 yrs </w:t>
            </w:r>
          </w:p>
        </w:tc>
        <w:tc>
          <w:tcPr>
            <w:tcW w:w="1031" w:type="dxa"/>
            <w:tcBorders>
              <w:top w:val="nil"/>
              <w:left w:val="nil"/>
              <w:bottom w:val="nil"/>
              <w:right w:val="nil"/>
            </w:tcBorders>
          </w:tcPr>
          <w:p w14:paraId="47091C9A"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73.5 ± 2.0</w:t>
            </w:r>
          </w:p>
        </w:tc>
        <w:tc>
          <w:tcPr>
            <w:tcW w:w="1138" w:type="dxa"/>
            <w:tcBorders>
              <w:top w:val="nil"/>
              <w:left w:val="nil"/>
              <w:bottom w:val="nil"/>
              <w:right w:val="nil"/>
            </w:tcBorders>
          </w:tcPr>
          <w:p w14:paraId="439B197C" w14:textId="77777777" w:rsidR="00247505" w:rsidRPr="005F7B0F" w:rsidRDefault="00247505" w:rsidP="001629CC">
            <w:pPr>
              <w:jc w:val="both"/>
              <w:rPr>
                <w:sz w:val="18"/>
                <w:szCs w:val="20"/>
              </w:rPr>
            </w:pPr>
            <w:r w:rsidRPr="005F7B0F">
              <w:rPr>
                <w:rFonts w:ascii="Times New Roman" w:hAnsi="Times New Roman"/>
                <w:sz w:val="18"/>
                <w:szCs w:val="20"/>
              </w:rPr>
              <w:t>19.7 ± 1.8</w:t>
            </w:r>
          </w:p>
        </w:tc>
        <w:tc>
          <w:tcPr>
            <w:tcW w:w="1032" w:type="dxa"/>
            <w:tcBorders>
              <w:top w:val="nil"/>
              <w:left w:val="nil"/>
              <w:bottom w:val="nil"/>
              <w:right w:val="nil"/>
            </w:tcBorders>
          </w:tcPr>
          <w:p w14:paraId="302D8636" w14:textId="77777777" w:rsidR="00247505" w:rsidRPr="005F7B0F" w:rsidRDefault="00247505" w:rsidP="001629CC">
            <w:pPr>
              <w:jc w:val="both"/>
              <w:rPr>
                <w:sz w:val="18"/>
                <w:szCs w:val="20"/>
              </w:rPr>
            </w:pPr>
            <w:r w:rsidRPr="005F7B0F">
              <w:rPr>
                <w:rFonts w:ascii="Times New Roman" w:hAnsi="Times New Roman"/>
                <w:sz w:val="18"/>
                <w:szCs w:val="20"/>
              </w:rPr>
              <w:t>6.8 ± 0.7</w:t>
            </w:r>
          </w:p>
        </w:tc>
        <w:tc>
          <w:tcPr>
            <w:tcW w:w="962" w:type="dxa"/>
            <w:tcBorders>
              <w:top w:val="nil"/>
              <w:left w:val="nil"/>
              <w:bottom w:val="nil"/>
              <w:right w:val="nil"/>
            </w:tcBorders>
          </w:tcPr>
          <w:p w14:paraId="5D828920" w14:textId="77777777" w:rsidR="00247505" w:rsidRPr="005F7B0F" w:rsidRDefault="00247505" w:rsidP="001629CC">
            <w:pPr>
              <w:jc w:val="both"/>
              <w:rPr>
                <w:rFonts w:ascii="Times New Roman" w:hAnsi="Times New Roman"/>
                <w:sz w:val="18"/>
                <w:szCs w:val="20"/>
              </w:rPr>
            </w:pPr>
          </w:p>
        </w:tc>
      </w:tr>
      <w:tr w:rsidR="00247505" w:rsidRPr="005F7B0F" w14:paraId="72C0C928" w14:textId="77777777" w:rsidTr="001629CC">
        <w:tc>
          <w:tcPr>
            <w:tcW w:w="2843" w:type="dxa"/>
            <w:tcBorders>
              <w:top w:val="nil"/>
              <w:left w:val="nil"/>
              <w:bottom w:val="nil"/>
              <w:right w:val="nil"/>
            </w:tcBorders>
          </w:tcPr>
          <w:p w14:paraId="1470DD53"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56+</w:t>
            </w:r>
          </w:p>
        </w:tc>
        <w:tc>
          <w:tcPr>
            <w:tcW w:w="1031" w:type="dxa"/>
            <w:tcBorders>
              <w:top w:val="nil"/>
              <w:left w:val="nil"/>
              <w:bottom w:val="nil"/>
              <w:right w:val="nil"/>
            </w:tcBorders>
          </w:tcPr>
          <w:p w14:paraId="48E76489"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68.9 ± 2.3</w:t>
            </w:r>
          </w:p>
        </w:tc>
        <w:tc>
          <w:tcPr>
            <w:tcW w:w="1138" w:type="dxa"/>
            <w:tcBorders>
              <w:top w:val="nil"/>
              <w:left w:val="nil"/>
              <w:bottom w:val="nil"/>
              <w:right w:val="nil"/>
            </w:tcBorders>
          </w:tcPr>
          <w:p w14:paraId="7008BC20" w14:textId="77777777" w:rsidR="00247505" w:rsidRPr="005F7B0F" w:rsidRDefault="00247505" w:rsidP="001629CC">
            <w:pPr>
              <w:jc w:val="both"/>
              <w:rPr>
                <w:sz w:val="18"/>
                <w:szCs w:val="20"/>
              </w:rPr>
            </w:pPr>
            <w:r w:rsidRPr="005F7B0F">
              <w:rPr>
                <w:rFonts w:ascii="Times New Roman" w:hAnsi="Times New Roman"/>
                <w:sz w:val="18"/>
                <w:szCs w:val="20"/>
              </w:rPr>
              <w:t>23.1 ± 2.0</w:t>
            </w:r>
          </w:p>
        </w:tc>
        <w:tc>
          <w:tcPr>
            <w:tcW w:w="1032" w:type="dxa"/>
            <w:tcBorders>
              <w:top w:val="nil"/>
              <w:left w:val="nil"/>
              <w:bottom w:val="nil"/>
              <w:right w:val="nil"/>
            </w:tcBorders>
          </w:tcPr>
          <w:p w14:paraId="1A260818" w14:textId="77777777" w:rsidR="00247505" w:rsidRPr="005F7B0F" w:rsidRDefault="00247505" w:rsidP="001629CC">
            <w:pPr>
              <w:jc w:val="both"/>
              <w:rPr>
                <w:sz w:val="18"/>
                <w:szCs w:val="20"/>
              </w:rPr>
            </w:pPr>
            <w:r w:rsidRPr="005F7B0F">
              <w:rPr>
                <w:rFonts w:ascii="Times New Roman" w:hAnsi="Times New Roman"/>
                <w:sz w:val="18"/>
                <w:szCs w:val="20"/>
              </w:rPr>
              <w:t>8.0 ± 0.8</w:t>
            </w:r>
          </w:p>
        </w:tc>
        <w:tc>
          <w:tcPr>
            <w:tcW w:w="962" w:type="dxa"/>
            <w:tcBorders>
              <w:top w:val="nil"/>
              <w:left w:val="nil"/>
              <w:bottom w:val="nil"/>
              <w:right w:val="nil"/>
            </w:tcBorders>
          </w:tcPr>
          <w:p w14:paraId="40114CEC" w14:textId="77777777" w:rsidR="00247505" w:rsidRPr="005F7B0F" w:rsidRDefault="00247505" w:rsidP="001629CC">
            <w:pPr>
              <w:jc w:val="both"/>
              <w:rPr>
                <w:rFonts w:ascii="Times New Roman" w:hAnsi="Times New Roman"/>
                <w:sz w:val="18"/>
                <w:szCs w:val="20"/>
              </w:rPr>
            </w:pPr>
          </w:p>
        </w:tc>
      </w:tr>
      <w:tr w:rsidR="00247505" w:rsidRPr="005F7B0F" w14:paraId="4E4AA380" w14:textId="77777777" w:rsidTr="001629CC">
        <w:tc>
          <w:tcPr>
            <w:tcW w:w="2843" w:type="dxa"/>
            <w:tcBorders>
              <w:top w:val="nil"/>
              <w:left w:val="nil"/>
              <w:bottom w:val="nil"/>
              <w:right w:val="nil"/>
            </w:tcBorders>
          </w:tcPr>
          <w:p w14:paraId="68F1F20C"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Race / Ethnicity (%)</w:t>
            </w:r>
          </w:p>
        </w:tc>
        <w:tc>
          <w:tcPr>
            <w:tcW w:w="1031" w:type="dxa"/>
            <w:tcBorders>
              <w:top w:val="nil"/>
              <w:left w:val="nil"/>
              <w:bottom w:val="nil"/>
              <w:right w:val="nil"/>
            </w:tcBorders>
          </w:tcPr>
          <w:p w14:paraId="24DFB391"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34F88929"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3DB2A84F"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09EFC44E"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0C29F3CF" w14:textId="77777777" w:rsidTr="001629CC">
        <w:tc>
          <w:tcPr>
            <w:tcW w:w="2843" w:type="dxa"/>
            <w:tcBorders>
              <w:top w:val="nil"/>
              <w:left w:val="nil"/>
              <w:bottom w:val="nil"/>
              <w:right w:val="nil"/>
            </w:tcBorders>
          </w:tcPr>
          <w:p w14:paraId="206F4410"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Mexican American</w:t>
            </w:r>
          </w:p>
        </w:tc>
        <w:tc>
          <w:tcPr>
            <w:tcW w:w="1031" w:type="dxa"/>
            <w:tcBorders>
              <w:top w:val="nil"/>
              <w:left w:val="nil"/>
              <w:bottom w:val="nil"/>
              <w:right w:val="nil"/>
            </w:tcBorders>
          </w:tcPr>
          <w:p w14:paraId="6792D621"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82.1 ± 1.6</w:t>
            </w:r>
          </w:p>
        </w:tc>
        <w:tc>
          <w:tcPr>
            <w:tcW w:w="1138" w:type="dxa"/>
            <w:tcBorders>
              <w:top w:val="nil"/>
              <w:left w:val="nil"/>
              <w:bottom w:val="nil"/>
              <w:right w:val="nil"/>
            </w:tcBorders>
          </w:tcPr>
          <w:p w14:paraId="072D924C" w14:textId="77777777" w:rsidR="00247505" w:rsidRPr="005F7B0F" w:rsidRDefault="00247505" w:rsidP="001629CC">
            <w:pPr>
              <w:jc w:val="both"/>
              <w:rPr>
                <w:sz w:val="18"/>
                <w:szCs w:val="20"/>
              </w:rPr>
            </w:pPr>
            <w:r w:rsidRPr="005F7B0F">
              <w:rPr>
                <w:rFonts w:ascii="Times New Roman" w:hAnsi="Times New Roman"/>
                <w:sz w:val="18"/>
                <w:szCs w:val="20"/>
              </w:rPr>
              <w:t>14.7 ± 1.9</w:t>
            </w:r>
          </w:p>
        </w:tc>
        <w:tc>
          <w:tcPr>
            <w:tcW w:w="1032" w:type="dxa"/>
            <w:tcBorders>
              <w:top w:val="nil"/>
              <w:left w:val="nil"/>
              <w:bottom w:val="nil"/>
              <w:right w:val="nil"/>
            </w:tcBorders>
          </w:tcPr>
          <w:p w14:paraId="7A522D12" w14:textId="77777777" w:rsidR="00247505" w:rsidRPr="005F7B0F" w:rsidRDefault="00247505" w:rsidP="001629CC">
            <w:pPr>
              <w:jc w:val="both"/>
              <w:rPr>
                <w:sz w:val="18"/>
                <w:szCs w:val="20"/>
              </w:rPr>
            </w:pPr>
            <w:r w:rsidRPr="005F7B0F">
              <w:rPr>
                <w:rFonts w:ascii="Times New Roman" w:hAnsi="Times New Roman"/>
                <w:sz w:val="18"/>
                <w:szCs w:val="20"/>
              </w:rPr>
              <w:t>3.2 ± 1.0</w:t>
            </w:r>
          </w:p>
        </w:tc>
        <w:tc>
          <w:tcPr>
            <w:tcW w:w="962" w:type="dxa"/>
            <w:tcBorders>
              <w:top w:val="nil"/>
              <w:left w:val="nil"/>
              <w:bottom w:val="nil"/>
              <w:right w:val="nil"/>
            </w:tcBorders>
          </w:tcPr>
          <w:p w14:paraId="3D9805F9" w14:textId="77777777" w:rsidR="00247505" w:rsidRPr="005F7B0F" w:rsidRDefault="00247505" w:rsidP="001629CC">
            <w:pPr>
              <w:jc w:val="both"/>
              <w:rPr>
                <w:rFonts w:ascii="Times New Roman" w:hAnsi="Times New Roman"/>
                <w:sz w:val="18"/>
                <w:szCs w:val="20"/>
              </w:rPr>
            </w:pPr>
          </w:p>
        </w:tc>
      </w:tr>
      <w:tr w:rsidR="00247505" w:rsidRPr="005F7B0F" w14:paraId="027B433A" w14:textId="77777777" w:rsidTr="001629CC">
        <w:tc>
          <w:tcPr>
            <w:tcW w:w="2843" w:type="dxa"/>
            <w:tcBorders>
              <w:top w:val="nil"/>
              <w:left w:val="nil"/>
              <w:bottom w:val="nil"/>
              <w:right w:val="nil"/>
            </w:tcBorders>
          </w:tcPr>
          <w:p w14:paraId="407AF137"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Other Hispanic</w:t>
            </w:r>
          </w:p>
        </w:tc>
        <w:tc>
          <w:tcPr>
            <w:tcW w:w="1031" w:type="dxa"/>
            <w:tcBorders>
              <w:top w:val="nil"/>
              <w:left w:val="nil"/>
              <w:bottom w:val="nil"/>
              <w:right w:val="nil"/>
            </w:tcBorders>
          </w:tcPr>
          <w:p w14:paraId="47849A7B"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78.0 ± 2.3</w:t>
            </w:r>
          </w:p>
        </w:tc>
        <w:tc>
          <w:tcPr>
            <w:tcW w:w="1138" w:type="dxa"/>
            <w:tcBorders>
              <w:top w:val="nil"/>
              <w:left w:val="nil"/>
              <w:bottom w:val="nil"/>
              <w:right w:val="nil"/>
            </w:tcBorders>
          </w:tcPr>
          <w:p w14:paraId="45272FCF" w14:textId="77777777" w:rsidR="00247505" w:rsidRPr="005F7B0F" w:rsidRDefault="00247505" w:rsidP="001629CC">
            <w:pPr>
              <w:jc w:val="both"/>
              <w:rPr>
                <w:sz w:val="18"/>
                <w:szCs w:val="20"/>
              </w:rPr>
            </w:pPr>
            <w:r w:rsidRPr="005F7B0F">
              <w:rPr>
                <w:rFonts w:ascii="Times New Roman" w:hAnsi="Times New Roman"/>
                <w:sz w:val="18"/>
                <w:szCs w:val="20"/>
              </w:rPr>
              <w:t>18.5 ± 1.9</w:t>
            </w:r>
          </w:p>
        </w:tc>
        <w:tc>
          <w:tcPr>
            <w:tcW w:w="1032" w:type="dxa"/>
            <w:tcBorders>
              <w:top w:val="nil"/>
              <w:left w:val="nil"/>
              <w:bottom w:val="nil"/>
              <w:right w:val="nil"/>
            </w:tcBorders>
          </w:tcPr>
          <w:p w14:paraId="0B61EAD9" w14:textId="77777777" w:rsidR="00247505" w:rsidRPr="005F7B0F" w:rsidRDefault="00247505" w:rsidP="001629CC">
            <w:pPr>
              <w:jc w:val="both"/>
              <w:rPr>
                <w:sz w:val="18"/>
                <w:szCs w:val="20"/>
              </w:rPr>
            </w:pPr>
            <w:r w:rsidRPr="005F7B0F">
              <w:rPr>
                <w:rFonts w:ascii="Times New Roman" w:hAnsi="Times New Roman"/>
                <w:sz w:val="18"/>
                <w:szCs w:val="20"/>
              </w:rPr>
              <w:t>3.5 ± 0.9</w:t>
            </w:r>
          </w:p>
        </w:tc>
        <w:tc>
          <w:tcPr>
            <w:tcW w:w="962" w:type="dxa"/>
            <w:tcBorders>
              <w:top w:val="nil"/>
              <w:left w:val="nil"/>
              <w:bottom w:val="nil"/>
              <w:right w:val="nil"/>
            </w:tcBorders>
          </w:tcPr>
          <w:p w14:paraId="467B47B8" w14:textId="77777777" w:rsidR="00247505" w:rsidRPr="005F7B0F" w:rsidRDefault="00247505" w:rsidP="001629CC">
            <w:pPr>
              <w:jc w:val="both"/>
              <w:rPr>
                <w:rFonts w:ascii="Times New Roman" w:hAnsi="Times New Roman"/>
                <w:sz w:val="18"/>
                <w:szCs w:val="20"/>
              </w:rPr>
            </w:pPr>
          </w:p>
        </w:tc>
      </w:tr>
      <w:tr w:rsidR="00247505" w:rsidRPr="005F7B0F" w14:paraId="68046E72" w14:textId="77777777" w:rsidTr="001629CC">
        <w:tc>
          <w:tcPr>
            <w:tcW w:w="2843" w:type="dxa"/>
            <w:tcBorders>
              <w:top w:val="nil"/>
              <w:left w:val="nil"/>
              <w:bottom w:val="nil"/>
              <w:right w:val="nil"/>
            </w:tcBorders>
          </w:tcPr>
          <w:p w14:paraId="4DCEB254"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Non-Hispanic White</w:t>
            </w:r>
          </w:p>
        </w:tc>
        <w:tc>
          <w:tcPr>
            <w:tcW w:w="1031" w:type="dxa"/>
            <w:tcBorders>
              <w:top w:val="nil"/>
              <w:left w:val="nil"/>
              <w:bottom w:val="nil"/>
              <w:right w:val="nil"/>
            </w:tcBorders>
          </w:tcPr>
          <w:p w14:paraId="0D9C2B72"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72.3 ± 1.4</w:t>
            </w:r>
          </w:p>
        </w:tc>
        <w:tc>
          <w:tcPr>
            <w:tcW w:w="1138" w:type="dxa"/>
            <w:tcBorders>
              <w:top w:val="nil"/>
              <w:left w:val="nil"/>
              <w:bottom w:val="nil"/>
              <w:right w:val="nil"/>
            </w:tcBorders>
          </w:tcPr>
          <w:p w14:paraId="3B3B603F" w14:textId="77777777" w:rsidR="00247505" w:rsidRPr="005F7B0F" w:rsidRDefault="00247505" w:rsidP="001629CC">
            <w:pPr>
              <w:jc w:val="both"/>
              <w:rPr>
                <w:sz w:val="18"/>
                <w:szCs w:val="20"/>
              </w:rPr>
            </w:pPr>
            <w:r w:rsidRPr="005F7B0F">
              <w:rPr>
                <w:rFonts w:ascii="Times New Roman" w:hAnsi="Times New Roman"/>
                <w:sz w:val="18"/>
                <w:szCs w:val="20"/>
              </w:rPr>
              <w:t>21.4 ± 1.2</w:t>
            </w:r>
          </w:p>
        </w:tc>
        <w:tc>
          <w:tcPr>
            <w:tcW w:w="1032" w:type="dxa"/>
            <w:tcBorders>
              <w:top w:val="nil"/>
              <w:left w:val="nil"/>
              <w:bottom w:val="nil"/>
              <w:right w:val="nil"/>
            </w:tcBorders>
          </w:tcPr>
          <w:p w14:paraId="6FE834B0" w14:textId="77777777" w:rsidR="00247505" w:rsidRPr="005F7B0F" w:rsidRDefault="00247505" w:rsidP="001629CC">
            <w:pPr>
              <w:jc w:val="both"/>
              <w:rPr>
                <w:sz w:val="18"/>
                <w:szCs w:val="20"/>
              </w:rPr>
            </w:pPr>
            <w:r w:rsidRPr="005F7B0F">
              <w:rPr>
                <w:rFonts w:ascii="Times New Roman" w:hAnsi="Times New Roman"/>
                <w:sz w:val="18"/>
                <w:szCs w:val="20"/>
              </w:rPr>
              <w:t>6.3 ± 0.8</w:t>
            </w:r>
          </w:p>
        </w:tc>
        <w:tc>
          <w:tcPr>
            <w:tcW w:w="962" w:type="dxa"/>
            <w:tcBorders>
              <w:top w:val="nil"/>
              <w:left w:val="nil"/>
              <w:bottom w:val="nil"/>
              <w:right w:val="nil"/>
            </w:tcBorders>
          </w:tcPr>
          <w:p w14:paraId="3A3A420B" w14:textId="77777777" w:rsidR="00247505" w:rsidRPr="005F7B0F" w:rsidRDefault="00247505" w:rsidP="001629CC">
            <w:pPr>
              <w:jc w:val="both"/>
              <w:rPr>
                <w:rFonts w:ascii="Times New Roman" w:hAnsi="Times New Roman"/>
                <w:sz w:val="18"/>
                <w:szCs w:val="20"/>
              </w:rPr>
            </w:pPr>
          </w:p>
        </w:tc>
      </w:tr>
      <w:tr w:rsidR="00247505" w:rsidRPr="005F7B0F" w14:paraId="371CB6AB" w14:textId="77777777" w:rsidTr="001629CC">
        <w:tc>
          <w:tcPr>
            <w:tcW w:w="2843" w:type="dxa"/>
            <w:tcBorders>
              <w:top w:val="nil"/>
              <w:left w:val="nil"/>
              <w:bottom w:val="nil"/>
              <w:right w:val="nil"/>
            </w:tcBorders>
          </w:tcPr>
          <w:p w14:paraId="0D0DEC13"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Non-Hispanic Black</w:t>
            </w:r>
          </w:p>
        </w:tc>
        <w:tc>
          <w:tcPr>
            <w:tcW w:w="1031" w:type="dxa"/>
            <w:tcBorders>
              <w:top w:val="nil"/>
              <w:left w:val="nil"/>
              <w:bottom w:val="nil"/>
              <w:right w:val="nil"/>
            </w:tcBorders>
          </w:tcPr>
          <w:p w14:paraId="6A265484"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75.0 ± 1.7</w:t>
            </w:r>
          </w:p>
        </w:tc>
        <w:tc>
          <w:tcPr>
            <w:tcW w:w="1138" w:type="dxa"/>
            <w:tcBorders>
              <w:top w:val="nil"/>
              <w:left w:val="nil"/>
              <w:bottom w:val="nil"/>
              <w:right w:val="nil"/>
            </w:tcBorders>
          </w:tcPr>
          <w:p w14:paraId="5B852DF5" w14:textId="77777777" w:rsidR="00247505" w:rsidRPr="005F7B0F" w:rsidRDefault="00247505" w:rsidP="001629CC">
            <w:pPr>
              <w:jc w:val="both"/>
              <w:rPr>
                <w:sz w:val="18"/>
                <w:szCs w:val="20"/>
              </w:rPr>
            </w:pPr>
            <w:r w:rsidRPr="005F7B0F">
              <w:rPr>
                <w:rFonts w:ascii="Times New Roman" w:hAnsi="Times New Roman"/>
                <w:sz w:val="18"/>
                <w:szCs w:val="20"/>
              </w:rPr>
              <w:t>19.9 ± 1.4</w:t>
            </w:r>
          </w:p>
        </w:tc>
        <w:tc>
          <w:tcPr>
            <w:tcW w:w="1032" w:type="dxa"/>
            <w:tcBorders>
              <w:top w:val="nil"/>
              <w:left w:val="nil"/>
              <w:bottom w:val="nil"/>
              <w:right w:val="nil"/>
            </w:tcBorders>
          </w:tcPr>
          <w:p w14:paraId="1F410053" w14:textId="77777777" w:rsidR="00247505" w:rsidRPr="005F7B0F" w:rsidRDefault="00247505" w:rsidP="001629CC">
            <w:pPr>
              <w:jc w:val="both"/>
              <w:rPr>
                <w:sz w:val="18"/>
                <w:szCs w:val="20"/>
              </w:rPr>
            </w:pPr>
            <w:r w:rsidRPr="005F7B0F">
              <w:rPr>
                <w:rFonts w:ascii="Times New Roman" w:hAnsi="Times New Roman"/>
                <w:sz w:val="18"/>
                <w:szCs w:val="20"/>
              </w:rPr>
              <w:t>5.1 ± 0.7</w:t>
            </w:r>
          </w:p>
        </w:tc>
        <w:tc>
          <w:tcPr>
            <w:tcW w:w="962" w:type="dxa"/>
            <w:tcBorders>
              <w:top w:val="nil"/>
              <w:left w:val="nil"/>
              <w:bottom w:val="nil"/>
              <w:right w:val="nil"/>
            </w:tcBorders>
          </w:tcPr>
          <w:p w14:paraId="1BB62E58" w14:textId="77777777" w:rsidR="00247505" w:rsidRPr="005F7B0F" w:rsidRDefault="00247505" w:rsidP="001629CC">
            <w:pPr>
              <w:jc w:val="both"/>
              <w:rPr>
                <w:rFonts w:ascii="Times New Roman" w:hAnsi="Times New Roman"/>
                <w:sz w:val="18"/>
                <w:szCs w:val="20"/>
              </w:rPr>
            </w:pPr>
          </w:p>
        </w:tc>
      </w:tr>
      <w:tr w:rsidR="00247505" w:rsidRPr="005F7B0F" w14:paraId="38AE3466" w14:textId="77777777" w:rsidTr="001629CC">
        <w:tc>
          <w:tcPr>
            <w:tcW w:w="2843" w:type="dxa"/>
            <w:tcBorders>
              <w:top w:val="nil"/>
              <w:left w:val="nil"/>
              <w:bottom w:val="nil"/>
              <w:right w:val="nil"/>
            </w:tcBorders>
          </w:tcPr>
          <w:p w14:paraId="639889A6"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Non-Hispanic Asian</w:t>
            </w:r>
          </w:p>
        </w:tc>
        <w:tc>
          <w:tcPr>
            <w:tcW w:w="1031" w:type="dxa"/>
            <w:tcBorders>
              <w:top w:val="nil"/>
              <w:left w:val="nil"/>
              <w:bottom w:val="nil"/>
              <w:right w:val="nil"/>
            </w:tcBorders>
          </w:tcPr>
          <w:p w14:paraId="6DE582BD"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86.0 ± 0.9</w:t>
            </w:r>
          </w:p>
        </w:tc>
        <w:tc>
          <w:tcPr>
            <w:tcW w:w="1138" w:type="dxa"/>
            <w:tcBorders>
              <w:top w:val="nil"/>
              <w:left w:val="nil"/>
              <w:bottom w:val="nil"/>
              <w:right w:val="nil"/>
            </w:tcBorders>
          </w:tcPr>
          <w:p w14:paraId="18D579E9" w14:textId="77777777" w:rsidR="00247505" w:rsidRPr="005F7B0F" w:rsidRDefault="00247505" w:rsidP="001629CC">
            <w:pPr>
              <w:jc w:val="both"/>
              <w:rPr>
                <w:sz w:val="18"/>
                <w:szCs w:val="20"/>
              </w:rPr>
            </w:pPr>
            <w:r w:rsidRPr="005F7B0F">
              <w:rPr>
                <w:rFonts w:ascii="Times New Roman" w:hAnsi="Times New Roman"/>
                <w:sz w:val="18"/>
                <w:szCs w:val="20"/>
              </w:rPr>
              <w:t>12.0 ± 1.0</w:t>
            </w:r>
          </w:p>
        </w:tc>
        <w:tc>
          <w:tcPr>
            <w:tcW w:w="1032" w:type="dxa"/>
            <w:tcBorders>
              <w:top w:val="nil"/>
              <w:left w:val="nil"/>
              <w:bottom w:val="nil"/>
              <w:right w:val="nil"/>
            </w:tcBorders>
          </w:tcPr>
          <w:p w14:paraId="50B28CD3" w14:textId="77777777" w:rsidR="00247505" w:rsidRPr="005F7B0F" w:rsidRDefault="00247505" w:rsidP="001629CC">
            <w:pPr>
              <w:jc w:val="both"/>
              <w:rPr>
                <w:sz w:val="18"/>
                <w:szCs w:val="20"/>
              </w:rPr>
            </w:pPr>
            <w:r w:rsidRPr="005F7B0F">
              <w:rPr>
                <w:rFonts w:ascii="Times New Roman" w:hAnsi="Times New Roman"/>
                <w:sz w:val="18"/>
                <w:szCs w:val="20"/>
              </w:rPr>
              <w:t>2.0 ± 0.5</w:t>
            </w:r>
          </w:p>
        </w:tc>
        <w:tc>
          <w:tcPr>
            <w:tcW w:w="962" w:type="dxa"/>
            <w:tcBorders>
              <w:top w:val="nil"/>
              <w:left w:val="nil"/>
              <w:bottom w:val="nil"/>
              <w:right w:val="nil"/>
            </w:tcBorders>
          </w:tcPr>
          <w:p w14:paraId="6CD168CB" w14:textId="77777777" w:rsidR="00247505" w:rsidRPr="005F7B0F" w:rsidRDefault="00247505" w:rsidP="001629CC">
            <w:pPr>
              <w:jc w:val="both"/>
              <w:rPr>
                <w:rFonts w:ascii="Times New Roman" w:hAnsi="Times New Roman"/>
                <w:sz w:val="18"/>
                <w:szCs w:val="20"/>
              </w:rPr>
            </w:pPr>
          </w:p>
        </w:tc>
      </w:tr>
      <w:tr w:rsidR="00247505" w:rsidRPr="005F7B0F" w14:paraId="0B2D4ED0" w14:textId="77777777" w:rsidTr="001629CC">
        <w:tc>
          <w:tcPr>
            <w:tcW w:w="2843" w:type="dxa"/>
            <w:tcBorders>
              <w:top w:val="nil"/>
              <w:left w:val="nil"/>
              <w:bottom w:val="nil"/>
              <w:right w:val="nil"/>
            </w:tcBorders>
          </w:tcPr>
          <w:p w14:paraId="0E1D0240" w14:textId="77777777" w:rsidR="00247505" w:rsidRPr="005F7B0F" w:rsidRDefault="00247505" w:rsidP="001629CC">
            <w:pPr>
              <w:jc w:val="both"/>
              <w:rPr>
                <w:rFonts w:ascii="Times" w:hAnsi="Times"/>
                <w:sz w:val="18"/>
                <w:szCs w:val="20"/>
              </w:rPr>
            </w:pPr>
            <w:r w:rsidRPr="005F7B0F">
              <w:rPr>
                <w:rFonts w:ascii="Times" w:hAnsi="Times" w:cs="Arial"/>
                <w:color w:val="000000"/>
                <w:sz w:val="18"/>
                <w:szCs w:val="20"/>
              </w:rPr>
              <w:t xml:space="preserve">     Other Race</w:t>
            </w:r>
          </w:p>
        </w:tc>
        <w:tc>
          <w:tcPr>
            <w:tcW w:w="1031" w:type="dxa"/>
            <w:tcBorders>
              <w:top w:val="nil"/>
              <w:left w:val="nil"/>
              <w:bottom w:val="nil"/>
              <w:right w:val="nil"/>
            </w:tcBorders>
          </w:tcPr>
          <w:p w14:paraId="09EC18E3"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61.7 ± 3.6</w:t>
            </w:r>
          </w:p>
        </w:tc>
        <w:tc>
          <w:tcPr>
            <w:tcW w:w="1138" w:type="dxa"/>
            <w:tcBorders>
              <w:top w:val="nil"/>
              <w:left w:val="nil"/>
              <w:bottom w:val="nil"/>
              <w:right w:val="nil"/>
            </w:tcBorders>
          </w:tcPr>
          <w:p w14:paraId="41836274" w14:textId="77777777" w:rsidR="00247505" w:rsidRPr="005F7B0F" w:rsidRDefault="00247505" w:rsidP="001629CC">
            <w:pPr>
              <w:jc w:val="both"/>
              <w:rPr>
                <w:sz w:val="18"/>
                <w:szCs w:val="20"/>
              </w:rPr>
            </w:pPr>
            <w:r w:rsidRPr="005F7B0F">
              <w:rPr>
                <w:rFonts w:ascii="Times New Roman" w:hAnsi="Times New Roman"/>
                <w:sz w:val="18"/>
                <w:szCs w:val="20"/>
              </w:rPr>
              <w:t>29.8 ± 3.8</w:t>
            </w:r>
          </w:p>
        </w:tc>
        <w:tc>
          <w:tcPr>
            <w:tcW w:w="1032" w:type="dxa"/>
            <w:tcBorders>
              <w:top w:val="nil"/>
              <w:left w:val="nil"/>
              <w:bottom w:val="nil"/>
              <w:right w:val="nil"/>
            </w:tcBorders>
          </w:tcPr>
          <w:p w14:paraId="6864D980" w14:textId="77777777" w:rsidR="00247505" w:rsidRPr="005F7B0F" w:rsidRDefault="00247505" w:rsidP="001629CC">
            <w:pPr>
              <w:jc w:val="both"/>
              <w:rPr>
                <w:sz w:val="18"/>
                <w:szCs w:val="20"/>
              </w:rPr>
            </w:pPr>
            <w:r w:rsidRPr="005F7B0F">
              <w:rPr>
                <w:rFonts w:ascii="Times New Roman" w:hAnsi="Times New Roman"/>
                <w:sz w:val="18"/>
                <w:szCs w:val="20"/>
              </w:rPr>
              <w:t>8.5 ± 2.7</w:t>
            </w:r>
          </w:p>
        </w:tc>
        <w:tc>
          <w:tcPr>
            <w:tcW w:w="962" w:type="dxa"/>
            <w:tcBorders>
              <w:top w:val="nil"/>
              <w:left w:val="nil"/>
              <w:bottom w:val="nil"/>
              <w:right w:val="nil"/>
            </w:tcBorders>
          </w:tcPr>
          <w:p w14:paraId="7FF8E9C6" w14:textId="77777777" w:rsidR="00247505" w:rsidRPr="005F7B0F" w:rsidRDefault="00247505" w:rsidP="001629CC">
            <w:pPr>
              <w:jc w:val="both"/>
              <w:rPr>
                <w:rFonts w:ascii="Times New Roman" w:hAnsi="Times New Roman"/>
                <w:sz w:val="18"/>
                <w:szCs w:val="20"/>
              </w:rPr>
            </w:pPr>
          </w:p>
        </w:tc>
      </w:tr>
      <w:tr w:rsidR="00247505" w:rsidRPr="005F7B0F" w14:paraId="6C524FC6" w14:textId="77777777" w:rsidTr="001629CC">
        <w:tc>
          <w:tcPr>
            <w:tcW w:w="2843" w:type="dxa"/>
            <w:tcBorders>
              <w:top w:val="nil"/>
              <w:left w:val="nil"/>
              <w:bottom w:val="nil"/>
              <w:right w:val="nil"/>
            </w:tcBorders>
          </w:tcPr>
          <w:p w14:paraId="64353B08"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Education Level (%)</w:t>
            </w:r>
          </w:p>
        </w:tc>
        <w:tc>
          <w:tcPr>
            <w:tcW w:w="1031" w:type="dxa"/>
            <w:tcBorders>
              <w:top w:val="nil"/>
              <w:left w:val="nil"/>
              <w:bottom w:val="nil"/>
              <w:right w:val="nil"/>
            </w:tcBorders>
          </w:tcPr>
          <w:p w14:paraId="692687F5"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063AAAFB"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13BE2505"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009EEF63"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005E6B60" w14:textId="77777777" w:rsidTr="001629CC">
        <w:tc>
          <w:tcPr>
            <w:tcW w:w="2843" w:type="dxa"/>
            <w:tcBorders>
              <w:top w:val="nil"/>
              <w:left w:val="nil"/>
              <w:bottom w:val="nil"/>
              <w:right w:val="nil"/>
            </w:tcBorders>
          </w:tcPr>
          <w:p w14:paraId="2CCB6295"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&lt;High school</w:t>
            </w:r>
          </w:p>
        </w:tc>
        <w:tc>
          <w:tcPr>
            <w:tcW w:w="1031" w:type="dxa"/>
            <w:tcBorders>
              <w:top w:val="nil"/>
              <w:left w:val="nil"/>
              <w:bottom w:val="nil"/>
              <w:right w:val="nil"/>
            </w:tcBorders>
          </w:tcPr>
          <w:p w14:paraId="1191B2B1"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69.4 ± 1.9</w:t>
            </w:r>
          </w:p>
        </w:tc>
        <w:tc>
          <w:tcPr>
            <w:tcW w:w="1138" w:type="dxa"/>
            <w:tcBorders>
              <w:top w:val="nil"/>
              <w:left w:val="nil"/>
              <w:bottom w:val="nil"/>
              <w:right w:val="nil"/>
            </w:tcBorders>
          </w:tcPr>
          <w:p w14:paraId="1D80EB7F" w14:textId="77777777" w:rsidR="00247505" w:rsidRPr="005F7B0F" w:rsidRDefault="00247505" w:rsidP="001629CC">
            <w:pPr>
              <w:jc w:val="both"/>
              <w:rPr>
                <w:sz w:val="18"/>
                <w:szCs w:val="20"/>
              </w:rPr>
            </w:pPr>
            <w:r w:rsidRPr="005F7B0F">
              <w:rPr>
                <w:rFonts w:ascii="Times New Roman" w:hAnsi="Times New Roman"/>
                <w:sz w:val="18"/>
                <w:szCs w:val="20"/>
              </w:rPr>
              <w:t>21.2 ± 2.1</w:t>
            </w:r>
          </w:p>
        </w:tc>
        <w:tc>
          <w:tcPr>
            <w:tcW w:w="1032" w:type="dxa"/>
            <w:tcBorders>
              <w:top w:val="nil"/>
              <w:left w:val="nil"/>
              <w:bottom w:val="nil"/>
              <w:right w:val="nil"/>
            </w:tcBorders>
          </w:tcPr>
          <w:p w14:paraId="75D72DA4" w14:textId="77777777" w:rsidR="00247505" w:rsidRPr="005F7B0F" w:rsidRDefault="00247505" w:rsidP="001629CC">
            <w:pPr>
              <w:jc w:val="both"/>
              <w:rPr>
                <w:sz w:val="18"/>
                <w:szCs w:val="20"/>
              </w:rPr>
            </w:pPr>
            <w:r w:rsidRPr="005F7B0F">
              <w:rPr>
                <w:rFonts w:ascii="Times New Roman" w:hAnsi="Times New Roman"/>
                <w:sz w:val="18"/>
                <w:szCs w:val="20"/>
              </w:rPr>
              <w:t>9.4 ± 1.3</w:t>
            </w:r>
          </w:p>
        </w:tc>
        <w:tc>
          <w:tcPr>
            <w:tcW w:w="962" w:type="dxa"/>
            <w:tcBorders>
              <w:top w:val="nil"/>
              <w:left w:val="nil"/>
              <w:bottom w:val="nil"/>
              <w:right w:val="nil"/>
            </w:tcBorders>
          </w:tcPr>
          <w:p w14:paraId="5AFEE9DB" w14:textId="77777777" w:rsidR="00247505" w:rsidRPr="005F7B0F" w:rsidRDefault="00247505" w:rsidP="001629CC">
            <w:pPr>
              <w:jc w:val="both"/>
              <w:rPr>
                <w:rFonts w:ascii="Times New Roman" w:hAnsi="Times New Roman"/>
                <w:sz w:val="18"/>
                <w:szCs w:val="20"/>
              </w:rPr>
            </w:pPr>
          </w:p>
        </w:tc>
      </w:tr>
      <w:tr w:rsidR="00247505" w:rsidRPr="005F7B0F" w14:paraId="71C420BD" w14:textId="77777777" w:rsidTr="001629CC">
        <w:tc>
          <w:tcPr>
            <w:tcW w:w="2843" w:type="dxa"/>
            <w:tcBorders>
              <w:top w:val="nil"/>
              <w:left w:val="nil"/>
              <w:bottom w:val="nil"/>
              <w:right w:val="nil"/>
            </w:tcBorders>
          </w:tcPr>
          <w:p w14:paraId="4149FC2B"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High school or equivalent</w:t>
            </w:r>
          </w:p>
        </w:tc>
        <w:tc>
          <w:tcPr>
            <w:tcW w:w="1031" w:type="dxa"/>
            <w:tcBorders>
              <w:top w:val="nil"/>
              <w:left w:val="nil"/>
              <w:bottom w:val="nil"/>
              <w:right w:val="nil"/>
            </w:tcBorders>
          </w:tcPr>
          <w:p w14:paraId="4E5BE399"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75.1 ± 2.7</w:t>
            </w:r>
          </w:p>
        </w:tc>
        <w:tc>
          <w:tcPr>
            <w:tcW w:w="1138" w:type="dxa"/>
            <w:tcBorders>
              <w:top w:val="nil"/>
              <w:left w:val="nil"/>
              <w:bottom w:val="nil"/>
              <w:right w:val="nil"/>
            </w:tcBorders>
          </w:tcPr>
          <w:p w14:paraId="363754FA" w14:textId="77777777" w:rsidR="00247505" w:rsidRPr="005F7B0F" w:rsidRDefault="00247505" w:rsidP="001629CC">
            <w:pPr>
              <w:jc w:val="both"/>
              <w:rPr>
                <w:sz w:val="18"/>
                <w:szCs w:val="20"/>
              </w:rPr>
            </w:pPr>
            <w:r w:rsidRPr="005F7B0F">
              <w:rPr>
                <w:rFonts w:ascii="Times New Roman" w:hAnsi="Times New Roman"/>
                <w:sz w:val="18"/>
                <w:szCs w:val="20"/>
              </w:rPr>
              <w:t>18.1 ± 2.2</w:t>
            </w:r>
          </w:p>
        </w:tc>
        <w:tc>
          <w:tcPr>
            <w:tcW w:w="1032" w:type="dxa"/>
            <w:tcBorders>
              <w:top w:val="nil"/>
              <w:left w:val="nil"/>
              <w:bottom w:val="nil"/>
              <w:right w:val="nil"/>
            </w:tcBorders>
          </w:tcPr>
          <w:p w14:paraId="03C3BFFC" w14:textId="77777777" w:rsidR="00247505" w:rsidRPr="005F7B0F" w:rsidRDefault="00247505" w:rsidP="001629CC">
            <w:pPr>
              <w:jc w:val="both"/>
              <w:rPr>
                <w:sz w:val="18"/>
                <w:szCs w:val="20"/>
              </w:rPr>
            </w:pPr>
            <w:r w:rsidRPr="005F7B0F">
              <w:rPr>
                <w:rFonts w:ascii="Times New Roman" w:hAnsi="Times New Roman"/>
                <w:sz w:val="18"/>
                <w:szCs w:val="20"/>
              </w:rPr>
              <w:t>6.9 ± 1.3</w:t>
            </w:r>
          </w:p>
        </w:tc>
        <w:tc>
          <w:tcPr>
            <w:tcW w:w="962" w:type="dxa"/>
            <w:tcBorders>
              <w:top w:val="nil"/>
              <w:left w:val="nil"/>
              <w:bottom w:val="nil"/>
              <w:right w:val="nil"/>
            </w:tcBorders>
          </w:tcPr>
          <w:p w14:paraId="07A8CCC4" w14:textId="77777777" w:rsidR="00247505" w:rsidRPr="005F7B0F" w:rsidRDefault="00247505" w:rsidP="001629CC">
            <w:pPr>
              <w:jc w:val="both"/>
              <w:rPr>
                <w:rFonts w:ascii="Times New Roman" w:hAnsi="Times New Roman"/>
                <w:sz w:val="18"/>
                <w:szCs w:val="20"/>
              </w:rPr>
            </w:pPr>
          </w:p>
        </w:tc>
      </w:tr>
      <w:tr w:rsidR="00247505" w:rsidRPr="005F7B0F" w14:paraId="293B5A83" w14:textId="77777777" w:rsidTr="001629CC">
        <w:tc>
          <w:tcPr>
            <w:tcW w:w="2843" w:type="dxa"/>
            <w:tcBorders>
              <w:top w:val="nil"/>
              <w:left w:val="nil"/>
              <w:bottom w:val="nil"/>
              <w:right w:val="nil"/>
            </w:tcBorders>
          </w:tcPr>
          <w:p w14:paraId="0C28F2F1"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Some college of AA</w:t>
            </w:r>
          </w:p>
        </w:tc>
        <w:tc>
          <w:tcPr>
            <w:tcW w:w="1031" w:type="dxa"/>
            <w:tcBorders>
              <w:top w:val="nil"/>
              <w:left w:val="nil"/>
              <w:bottom w:val="nil"/>
              <w:right w:val="nil"/>
            </w:tcBorders>
          </w:tcPr>
          <w:p w14:paraId="19FCB9D5"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69.2 ± 1.3</w:t>
            </w:r>
          </w:p>
        </w:tc>
        <w:tc>
          <w:tcPr>
            <w:tcW w:w="1138" w:type="dxa"/>
            <w:tcBorders>
              <w:top w:val="nil"/>
              <w:left w:val="nil"/>
              <w:bottom w:val="nil"/>
              <w:right w:val="nil"/>
            </w:tcBorders>
          </w:tcPr>
          <w:p w14:paraId="0F71CF4A" w14:textId="77777777" w:rsidR="00247505" w:rsidRPr="005F7B0F" w:rsidRDefault="00247505" w:rsidP="001629CC">
            <w:pPr>
              <w:jc w:val="both"/>
              <w:rPr>
                <w:sz w:val="18"/>
                <w:szCs w:val="20"/>
              </w:rPr>
            </w:pPr>
            <w:r w:rsidRPr="005F7B0F">
              <w:rPr>
                <w:rFonts w:ascii="Times New Roman" w:hAnsi="Times New Roman"/>
                <w:sz w:val="18"/>
                <w:szCs w:val="20"/>
              </w:rPr>
              <w:t>24.7 ± 1.1</w:t>
            </w:r>
          </w:p>
        </w:tc>
        <w:tc>
          <w:tcPr>
            <w:tcW w:w="1032" w:type="dxa"/>
            <w:tcBorders>
              <w:top w:val="nil"/>
              <w:left w:val="nil"/>
              <w:bottom w:val="nil"/>
              <w:right w:val="nil"/>
            </w:tcBorders>
          </w:tcPr>
          <w:p w14:paraId="1C29F21F" w14:textId="77777777" w:rsidR="00247505" w:rsidRPr="005F7B0F" w:rsidRDefault="00247505" w:rsidP="001629CC">
            <w:pPr>
              <w:jc w:val="both"/>
              <w:rPr>
                <w:sz w:val="18"/>
                <w:szCs w:val="20"/>
              </w:rPr>
            </w:pPr>
            <w:r w:rsidRPr="005F7B0F">
              <w:rPr>
                <w:rFonts w:ascii="Times New Roman" w:hAnsi="Times New Roman"/>
                <w:sz w:val="18"/>
                <w:szCs w:val="20"/>
              </w:rPr>
              <w:t>6.1 ± 0.8</w:t>
            </w:r>
          </w:p>
        </w:tc>
        <w:tc>
          <w:tcPr>
            <w:tcW w:w="962" w:type="dxa"/>
            <w:tcBorders>
              <w:top w:val="nil"/>
              <w:left w:val="nil"/>
              <w:bottom w:val="nil"/>
              <w:right w:val="nil"/>
            </w:tcBorders>
          </w:tcPr>
          <w:p w14:paraId="103A577F" w14:textId="77777777" w:rsidR="00247505" w:rsidRPr="005F7B0F" w:rsidRDefault="00247505" w:rsidP="001629CC">
            <w:pPr>
              <w:jc w:val="both"/>
              <w:rPr>
                <w:rFonts w:ascii="Times New Roman" w:hAnsi="Times New Roman"/>
                <w:sz w:val="18"/>
                <w:szCs w:val="20"/>
              </w:rPr>
            </w:pPr>
          </w:p>
        </w:tc>
      </w:tr>
      <w:tr w:rsidR="00247505" w:rsidRPr="005F7B0F" w14:paraId="04C8F57C" w14:textId="77777777" w:rsidTr="001629CC">
        <w:tc>
          <w:tcPr>
            <w:tcW w:w="2843" w:type="dxa"/>
            <w:tcBorders>
              <w:top w:val="nil"/>
              <w:left w:val="nil"/>
              <w:bottom w:val="nil"/>
              <w:right w:val="nil"/>
            </w:tcBorders>
          </w:tcPr>
          <w:p w14:paraId="650C0FFB"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College grad or above</w:t>
            </w:r>
          </w:p>
        </w:tc>
        <w:tc>
          <w:tcPr>
            <w:tcW w:w="1031" w:type="dxa"/>
            <w:tcBorders>
              <w:top w:val="nil"/>
              <w:left w:val="nil"/>
              <w:bottom w:val="nil"/>
              <w:right w:val="nil"/>
            </w:tcBorders>
          </w:tcPr>
          <w:p w14:paraId="1ACDF976"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81.4 ± 1.4</w:t>
            </w:r>
          </w:p>
        </w:tc>
        <w:tc>
          <w:tcPr>
            <w:tcW w:w="1138" w:type="dxa"/>
            <w:tcBorders>
              <w:top w:val="nil"/>
              <w:left w:val="nil"/>
              <w:bottom w:val="nil"/>
              <w:right w:val="nil"/>
            </w:tcBorders>
          </w:tcPr>
          <w:p w14:paraId="6AE7DF35" w14:textId="77777777" w:rsidR="00247505" w:rsidRPr="005F7B0F" w:rsidRDefault="00247505" w:rsidP="001629CC">
            <w:pPr>
              <w:jc w:val="both"/>
              <w:rPr>
                <w:sz w:val="18"/>
                <w:szCs w:val="20"/>
              </w:rPr>
            </w:pPr>
            <w:r w:rsidRPr="005F7B0F">
              <w:rPr>
                <w:rFonts w:ascii="Times New Roman" w:hAnsi="Times New Roman"/>
                <w:sz w:val="18"/>
                <w:szCs w:val="20"/>
              </w:rPr>
              <w:t>16.5 ± 1.5</w:t>
            </w:r>
          </w:p>
        </w:tc>
        <w:tc>
          <w:tcPr>
            <w:tcW w:w="1032" w:type="dxa"/>
            <w:tcBorders>
              <w:top w:val="nil"/>
              <w:left w:val="nil"/>
              <w:bottom w:val="nil"/>
              <w:right w:val="nil"/>
            </w:tcBorders>
          </w:tcPr>
          <w:p w14:paraId="5C6AEF0F" w14:textId="77777777" w:rsidR="00247505" w:rsidRPr="005F7B0F" w:rsidRDefault="00247505" w:rsidP="001629CC">
            <w:pPr>
              <w:jc w:val="both"/>
              <w:rPr>
                <w:sz w:val="18"/>
                <w:szCs w:val="20"/>
              </w:rPr>
            </w:pPr>
            <w:r w:rsidRPr="005F7B0F">
              <w:rPr>
                <w:rFonts w:ascii="Times New Roman" w:hAnsi="Times New Roman"/>
                <w:sz w:val="18"/>
                <w:szCs w:val="20"/>
              </w:rPr>
              <w:t>2.1 ± 0.4</w:t>
            </w:r>
          </w:p>
        </w:tc>
        <w:tc>
          <w:tcPr>
            <w:tcW w:w="962" w:type="dxa"/>
            <w:tcBorders>
              <w:top w:val="nil"/>
              <w:left w:val="nil"/>
              <w:bottom w:val="nil"/>
              <w:right w:val="nil"/>
            </w:tcBorders>
          </w:tcPr>
          <w:p w14:paraId="0D620791" w14:textId="77777777" w:rsidR="00247505" w:rsidRPr="005F7B0F" w:rsidRDefault="00247505" w:rsidP="001629CC">
            <w:pPr>
              <w:jc w:val="both"/>
              <w:rPr>
                <w:rFonts w:ascii="Times New Roman" w:hAnsi="Times New Roman"/>
                <w:sz w:val="18"/>
                <w:szCs w:val="20"/>
              </w:rPr>
            </w:pPr>
          </w:p>
        </w:tc>
      </w:tr>
      <w:tr w:rsidR="00247505" w:rsidRPr="005F7B0F" w14:paraId="67A29DA7" w14:textId="77777777" w:rsidTr="001629CC">
        <w:tc>
          <w:tcPr>
            <w:tcW w:w="2843" w:type="dxa"/>
            <w:tcBorders>
              <w:top w:val="nil"/>
              <w:left w:val="nil"/>
              <w:bottom w:val="nil"/>
              <w:right w:val="nil"/>
            </w:tcBorders>
          </w:tcPr>
          <w:p w14:paraId="2C7E452E"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Annual Household Income (%)</w:t>
            </w:r>
          </w:p>
        </w:tc>
        <w:tc>
          <w:tcPr>
            <w:tcW w:w="1031" w:type="dxa"/>
            <w:tcBorders>
              <w:top w:val="nil"/>
              <w:left w:val="nil"/>
              <w:bottom w:val="nil"/>
              <w:right w:val="nil"/>
            </w:tcBorders>
          </w:tcPr>
          <w:p w14:paraId="0330B2DB"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7E4A376C"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003D2F77"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46528AC6"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7D1F53BE" w14:textId="77777777" w:rsidTr="001629CC">
        <w:tc>
          <w:tcPr>
            <w:tcW w:w="2843" w:type="dxa"/>
            <w:tcBorders>
              <w:top w:val="nil"/>
              <w:left w:val="nil"/>
              <w:bottom w:val="nil"/>
              <w:right w:val="nil"/>
            </w:tcBorders>
          </w:tcPr>
          <w:p w14:paraId="64870215"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&lt;$35K</w:t>
            </w:r>
          </w:p>
        </w:tc>
        <w:tc>
          <w:tcPr>
            <w:tcW w:w="1031" w:type="dxa"/>
            <w:tcBorders>
              <w:top w:val="nil"/>
              <w:left w:val="nil"/>
              <w:bottom w:val="nil"/>
              <w:right w:val="nil"/>
            </w:tcBorders>
          </w:tcPr>
          <w:p w14:paraId="2A67C77B"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67.2 ± 1.8</w:t>
            </w:r>
          </w:p>
        </w:tc>
        <w:tc>
          <w:tcPr>
            <w:tcW w:w="1138" w:type="dxa"/>
            <w:tcBorders>
              <w:top w:val="nil"/>
              <w:left w:val="nil"/>
              <w:bottom w:val="nil"/>
              <w:right w:val="nil"/>
            </w:tcBorders>
          </w:tcPr>
          <w:p w14:paraId="6A5C8A14" w14:textId="77777777" w:rsidR="00247505" w:rsidRPr="005F7B0F" w:rsidRDefault="00247505" w:rsidP="001629CC">
            <w:pPr>
              <w:jc w:val="both"/>
              <w:rPr>
                <w:sz w:val="18"/>
                <w:szCs w:val="20"/>
              </w:rPr>
            </w:pPr>
            <w:r w:rsidRPr="005F7B0F">
              <w:rPr>
                <w:rFonts w:ascii="Times New Roman" w:hAnsi="Times New Roman"/>
                <w:sz w:val="18"/>
                <w:szCs w:val="20"/>
              </w:rPr>
              <w:t>23.3 ± 1.3</w:t>
            </w:r>
          </w:p>
        </w:tc>
        <w:tc>
          <w:tcPr>
            <w:tcW w:w="1032" w:type="dxa"/>
            <w:tcBorders>
              <w:top w:val="nil"/>
              <w:left w:val="nil"/>
              <w:bottom w:val="nil"/>
              <w:right w:val="nil"/>
            </w:tcBorders>
          </w:tcPr>
          <w:p w14:paraId="7B2A1DA5" w14:textId="77777777" w:rsidR="00247505" w:rsidRPr="005F7B0F" w:rsidRDefault="00247505" w:rsidP="001629CC">
            <w:pPr>
              <w:jc w:val="both"/>
              <w:rPr>
                <w:sz w:val="18"/>
                <w:szCs w:val="20"/>
              </w:rPr>
            </w:pPr>
            <w:r w:rsidRPr="005F7B0F">
              <w:rPr>
                <w:rFonts w:ascii="Times New Roman" w:hAnsi="Times New Roman"/>
                <w:sz w:val="18"/>
                <w:szCs w:val="20"/>
              </w:rPr>
              <w:t>9.4 ± 1.2</w:t>
            </w:r>
          </w:p>
        </w:tc>
        <w:tc>
          <w:tcPr>
            <w:tcW w:w="962" w:type="dxa"/>
            <w:tcBorders>
              <w:top w:val="nil"/>
              <w:left w:val="nil"/>
              <w:bottom w:val="nil"/>
              <w:right w:val="nil"/>
            </w:tcBorders>
          </w:tcPr>
          <w:p w14:paraId="19C030DD" w14:textId="77777777" w:rsidR="00247505" w:rsidRPr="005F7B0F" w:rsidRDefault="00247505" w:rsidP="001629CC">
            <w:pPr>
              <w:jc w:val="both"/>
              <w:rPr>
                <w:rFonts w:ascii="Times New Roman" w:hAnsi="Times New Roman"/>
                <w:sz w:val="18"/>
                <w:szCs w:val="20"/>
              </w:rPr>
            </w:pPr>
          </w:p>
        </w:tc>
      </w:tr>
      <w:tr w:rsidR="00247505" w:rsidRPr="005F7B0F" w14:paraId="4853B819" w14:textId="77777777" w:rsidTr="001629CC">
        <w:tc>
          <w:tcPr>
            <w:tcW w:w="2843" w:type="dxa"/>
            <w:tcBorders>
              <w:top w:val="nil"/>
              <w:left w:val="nil"/>
              <w:bottom w:val="nil"/>
              <w:right w:val="nil"/>
            </w:tcBorders>
          </w:tcPr>
          <w:p w14:paraId="35DC8879"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$35-&lt;$65K</w:t>
            </w:r>
          </w:p>
        </w:tc>
        <w:tc>
          <w:tcPr>
            <w:tcW w:w="1031" w:type="dxa"/>
            <w:tcBorders>
              <w:top w:val="nil"/>
              <w:left w:val="nil"/>
              <w:bottom w:val="nil"/>
              <w:right w:val="nil"/>
            </w:tcBorders>
          </w:tcPr>
          <w:p w14:paraId="686C6BE3"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73.1 ± 2.1</w:t>
            </w:r>
          </w:p>
        </w:tc>
        <w:tc>
          <w:tcPr>
            <w:tcW w:w="1138" w:type="dxa"/>
            <w:tcBorders>
              <w:top w:val="nil"/>
              <w:left w:val="nil"/>
              <w:bottom w:val="nil"/>
              <w:right w:val="nil"/>
            </w:tcBorders>
          </w:tcPr>
          <w:p w14:paraId="2273CCD1" w14:textId="77777777" w:rsidR="00247505" w:rsidRPr="005F7B0F" w:rsidRDefault="00247505" w:rsidP="001629CC">
            <w:pPr>
              <w:jc w:val="both"/>
              <w:rPr>
                <w:sz w:val="18"/>
                <w:szCs w:val="20"/>
              </w:rPr>
            </w:pPr>
            <w:r w:rsidRPr="005F7B0F">
              <w:rPr>
                <w:rFonts w:ascii="Times New Roman" w:hAnsi="Times New Roman"/>
                <w:sz w:val="18"/>
                <w:szCs w:val="20"/>
              </w:rPr>
              <w:t>21.5 ± 2.0</w:t>
            </w:r>
          </w:p>
        </w:tc>
        <w:tc>
          <w:tcPr>
            <w:tcW w:w="1032" w:type="dxa"/>
            <w:tcBorders>
              <w:top w:val="nil"/>
              <w:left w:val="nil"/>
              <w:bottom w:val="nil"/>
              <w:right w:val="nil"/>
            </w:tcBorders>
          </w:tcPr>
          <w:p w14:paraId="4F85303D" w14:textId="77777777" w:rsidR="00247505" w:rsidRPr="005F7B0F" w:rsidRDefault="00247505" w:rsidP="001629CC">
            <w:pPr>
              <w:jc w:val="both"/>
              <w:rPr>
                <w:sz w:val="18"/>
                <w:szCs w:val="20"/>
              </w:rPr>
            </w:pPr>
            <w:r w:rsidRPr="005F7B0F">
              <w:rPr>
                <w:rFonts w:ascii="Times New Roman" w:hAnsi="Times New Roman"/>
                <w:sz w:val="18"/>
                <w:szCs w:val="20"/>
              </w:rPr>
              <w:t>5.4 ± 1.6</w:t>
            </w:r>
          </w:p>
        </w:tc>
        <w:tc>
          <w:tcPr>
            <w:tcW w:w="962" w:type="dxa"/>
            <w:tcBorders>
              <w:top w:val="nil"/>
              <w:left w:val="nil"/>
              <w:bottom w:val="nil"/>
              <w:right w:val="nil"/>
            </w:tcBorders>
          </w:tcPr>
          <w:p w14:paraId="4398647C" w14:textId="77777777" w:rsidR="00247505" w:rsidRPr="005F7B0F" w:rsidRDefault="00247505" w:rsidP="001629CC">
            <w:pPr>
              <w:jc w:val="both"/>
              <w:rPr>
                <w:rFonts w:ascii="Times New Roman" w:hAnsi="Times New Roman"/>
                <w:sz w:val="18"/>
                <w:szCs w:val="20"/>
              </w:rPr>
            </w:pPr>
          </w:p>
        </w:tc>
      </w:tr>
      <w:tr w:rsidR="00247505" w:rsidRPr="005F7B0F" w14:paraId="329C6A2C" w14:textId="77777777" w:rsidTr="001629CC">
        <w:tc>
          <w:tcPr>
            <w:tcW w:w="2843" w:type="dxa"/>
            <w:tcBorders>
              <w:top w:val="nil"/>
              <w:left w:val="nil"/>
              <w:bottom w:val="nil"/>
              <w:right w:val="nil"/>
            </w:tcBorders>
          </w:tcPr>
          <w:p w14:paraId="4ECA62C2"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&gt;$65K</w:t>
            </w:r>
          </w:p>
        </w:tc>
        <w:tc>
          <w:tcPr>
            <w:tcW w:w="1031" w:type="dxa"/>
            <w:tcBorders>
              <w:top w:val="nil"/>
              <w:left w:val="nil"/>
              <w:bottom w:val="nil"/>
              <w:right w:val="nil"/>
            </w:tcBorders>
          </w:tcPr>
          <w:p w14:paraId="453B97D9"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80.8 ± 1.0</w:t>
            </w:r>
          </w:p>
        </w:tc>
        <w:tc>
          <w:tcPr>
            <w:tcW w:w="1138" w:type="dxa"/>
            <w:tcBorders>
              <w:top w:val="nil"/>
              <w:left w:val="nil"/>
              <w:bottom w:val="nil"/>
              <w:right w:val="nil"/>
            </w:tcBorders>
          </w:tcPr>
          <w:p w14:paraId="1A3D44D7" w14:textId="77777777" w:rsidR="00247505" w:rsidRPr="005F7B0F" w:rsidRDefault="00247505" w:rsidP="001629CC">
            <w:pPr>
              <w:jc w:val="both"/>
              <w:rPr>
                <w:sz w:val="18"/>
                <w:szCs w:val="20"/>
              </w:rPr>
            </w:pPr>
            <w:r w:rsidRPr="005F7B0F">
              <w:rPr>
                <w:rFonts w:ascii="Times New Roman" w:hAnsi="Times New Roman"/>
                <w:sz w:val="18"/>
                <w:szCs w:val="20"/>
              </w:rPr>
              <w:t>16.8 ± 0.9</w:t>
            </w:r>
          </w:p>
        </w:tc>
        <w:tc>
          <w:tcPr>
            <w:tcW w:w="1032" w:type="dxa"/>
            <w:tcBorders>
              <w:top w:val="nil"/>
              <w:left w:val="nil"/>
              <w:bottom w:val="nil"/>
              <w:right w:val="nil"/>
            </w:tcBorders>
          </w:tcPr>
          <w:p w14:paraId="3B8699E3" w14:textId="77777777" w:rsidR="00247505" w:rsidRPr="005F7B0F" w:rsidRDefault="00247505" w:rsidP="001629CC">
            <w:pPr>
              <w:jc w:val="both"/>
              <w:rPr>
                <w:sz w:val="18"/>
                <w:szCs w:val="20"/>
              </w:rPr>
            </w:pPr>
            <w:r w:rsidRPr="005F7B0F">
              <w:rPr>
                <w:rFonts w:ascii="Times New Roman" w:hAnsi="Times New Roman"/>
                <w:sz w:val="18"/>
                <w:szCs w:val="20"/>
              </w:rPr>
              <w:t>2.4 ± 0.5</w:t>
            </w:r>
          </w:p>
        </w:tc>
        <w:tc>
          <w:tcPr>
            <w:tcW w:w="962" w:type="dxa"/>
            <w:tcBorders>
              <w:top w:val="nil"/>
              <w:left w:val="nil"/>
              <w:bottom w:val="nil"/>
              <w:right w:val="nil"/>
            </w:tcBorders>
          </w:tcPr>
          <w:p w14:paraId="35CA72A1" w14:textId="77777777" w:rsidR="00247505" w:rsidRPr="005F7B0F" w:rsidRDefault="00247505" w:rsidP="001629CC">
            <w:pPr>
              <w:jc w:val="both"/>
              <w:rPr>
                <w:rFonts w:ascii="Times New Roman" w:hAnsi="Times New Roman"/>
                <w:sz w:val="18"/>
                <w:szCs w:val="20"/>
              </w:rPr>
            </w:pPr>
          </w:p>
        </w:tc>
      </w:tr>
      <w:tr w:rsidR="00247505" w:rsidRPr="005F7B0F" w14:paraId="3E93A07F" w14:textId="77777777" w:rsidTr="001629CC">
        <w:tc>
          <w:tcPr>
            <w:tcW w:w="2843" w:type="dxa"/>
            <w:tcBorders>
              <w:top w:val="nil"/>
              <w:left w:val="nil"/>
              <w:bottom w:val="nil"/>
              <w:right w:val="nil"/>
            </w:tcBorders>
          </w:tcPr>
          <w:p w14:paraId="35A1F21A"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BMI Category (%)</w:t>
            </w:r>
          </w:p>
        </w:tc>
        <w:tc>
          <w:tcPr>
            <w:tcW w:w="1031" w:type="dxa"/>
            <w:tcBorders>
              <w:top w:val="nil"/>
              <w:left w:val="nil"/>
              <w:bottom w:val="nil"/>
              <w:right w:val="nil"/>
            </w:tcBorders>
          </w:tcPr>
          <w:p w14:paraId="20D19A4D"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2419410F"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77E1A20E"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2612E979" w14:textId="77777777" w:rsidR="00247505" w:rsidRPr="005F7B0F" w:rsidRDefault="00247505" w:rsidP="001629CC">
            <w:pPr>
              <w:spacing w:before="120"/>
              <w:jc w:val="both"/>
              <w:rPr>
                <w:rFonts w:ascii="Times New Roman" w:hAnsi="Times New Roman"/>
                <w:sz w:val="18"/>
                <w:szCs w:val="20"/>
                <w:vertAlign w:val="superscript"/>
              </w:rPr>
            </w:pPr>
            <w:r w:rsidRPr="005F7B0F">
              <w:rPr>
                <w:rFonts w:ascii="Times New Roman" w:hAnsi="Times New Roman"/>
                <w:sz w:val="18"/>
                <w:szCs w:val="20"/>
              </w:rPr>
              <w:t>0.034</w:t>
            </w:r>
            <w:r w:rsidRPr="005F7B0F">
              <w:rPr>
                <w:rFonts w:ascii="Times New Roman" w:hAnsi="Times New Roman"/>
                <w:sz w:val="18"/>
                <w:szCs w:val="20"/>
                <w:vertAlign w:val="superscript"/>
              </w:rPr>
              <w:t>b</w:t>
            </w:r>
          </w:p>
        </w:tc>
      </w:tr>
      <w:tr w:rsidR="00247505" w:rsidRPr="005F7B0F" w14:paraId="688F5B6B" w14:textId="77777777" w:rsidTr="001629CC">
        <w:tc>
          <w:tcPr>
            <w:tcW w:w="2843" w:type="dxa"/>
            <w:tcBorders>
              <w:top w:val="nil"/>
              <w:left w:val="nil"/>
              <w:bottom w:val="nil"/>
              <w:right w:val="nil"/>
            </w:tcBorders>
          </w:tcPr>
          <w:p w14:paraId="4081044C"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Normal </w:t>
            </w:r>
          </w:p>
        </w:tc>
        <w:tc>
          <w:tcPr>
            <w:tcW w:w="1031" w:type="dxa"/>
            <w:tcBorders>
              <w:top w:val="nil"/>
              <w:left w:val="nil"/>
              <w:bottom w:val="nil"/>
              <w:right w:val="nil"/>
            </w:tcBorders>
          </w:tcPr>
          <w:p w14:paraId="308EC17C"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78.5 ± 2.2</w:t>
            </w:r>
          </w:p>
        </w:tc>
        <w:tc>
          <w:tcPr>
            <w:tcW w:w="1138" w:type="dxa"/>
            <w:tcBorders>
              <w:top w:val="nil"/>
              <w:left w:val="nil"/>
              <w:bottom w:val="nil"/>
              <w:right w:val="nil"/>
            </w:tcBorders>
          </w:tcPr>
          <w:p w14:paraId="6FA17EC5" w14:textId="77777777" w:rsidR="00247505" w:rsidRPr="005F7B0F" w:rsidRDefault="00247505" w:rsidP="001629CC">
            <w:pPr>
              <w:jc w:val="both"/>
              <w:rPr>
                <w:sz w:val="18"/>
                <w:szCs w:val="20"/>
              </w:rPr>
            </w:pPr>
            <w:r w:rsidRPr="005F7B0F">
              <w:rPr>
                <w:rFonts w:ascii="Times New Roman" w:hAnsi="Times New Roman"/>
                <w:sz w:val="18"/>
                <w:szCs w:val="20"/>
              </w:rPr>
              <w:t>18.1 ± 1.8</w:t>
            </w:r>
          </w:p>
        </w:tc>
        <w:tc>
          <w:tcPr>
            <w:tcW w:w="1032" w:type="dxa"/>
            <w:tcBorders>
              <w:top w:val="nil"/>
              <w:left w:val="nil"/>
              <w:bottom w:val="nil"/>
              <w:right w:val="nil"/>
            </w:tcBorders>
          </w:tcPr>
          <w:p w14:paraId="21894BC5" w14:textId="77777777" w:rsidR="00247505" w:rsidRPr="005F7B0F" w:rsidRDefault="00247505" w:rsidP="001629CC">
            <w:pPr>
              <w:jc w:val="both"/>
              <w:rPr>
                <w:sz w:val="18"/>
                <w:szCs w:val="20"/>
              </w:rPr>
            </w:pPr>
            <w:r w:rsidRPr="005F7B0F">
              <w:rPr>
                <w:rFonts w:ascii="Times New Roman" w:hAnsi="Times New Roman"/>
                <w:sz w:val="18"/>
                <w:szCs w:val="20"/>
              </w:rPr>
              <w:t>3.5 ± 1.0</w:t>
            </w:r>
          </w:p>
        </w:tc>
        <w:tc>
          <w:tcPr>
            <w:tcW w:w="962" w:type="dxa"/>
            <w:tcBorders>
              <w:top w:val="nil"/>
              <w:left w:val="nil"/>
              <w:bottom w:val="nil"/>
              <w:right w:val="nil"/>
            </w:tcBorders>
          </w:tcPr>
          <w:p w14:paraId="2B2C9651" w14:textId="77777777" w:rsidR="00247505" w:rsidRPr="005F7B0F" w:rsidRDefault="00247505" w:rsidP="001629CC">
            <w:pPr>
              <w:jc w:val="both"/>
              <w:rPr>
                <w:rFonts w:ascii="Times New Roman" w:hAnsi="Times New Roman"/>
                <w:sz w:val="18"/>
                <w:szCs w:val="20"/>
              </w:rPr>
            </w:pPr>
          </w:p>
        </w:tc>
      </w:tr>
      <w:tr w:rsidR="00247505" w:rsidRPr="005F7B0F" w14:paraId="5ADE503E" w14:textId="77777777" w:rsidTr="001629CC">
        <w:tc>
          <w:tcPr>
            <w:tcW w:w="2843" w:type="dxa"/>
            <w:tcBorders>
              <w:top w:val="nil"/>
              <w:left w:val="nil"/>
              <w:bottom w:val="nil"/>
              <w:right w:val="nil"/>
            </w:tcBorders>
          </w:tcPr>
          <w:p w14:paraId="5EB30856"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Overweight</w:t>
            </w:r>
          </w:p>
        </w:tc>
        <w:tc>
          <w:tcPr>
            <w:tcW w:w="1031" w:type="dxa"/>
            <w:tcBorders>
              <w:top w:val="nil"/>
              <w:left w:val="nil"/>
              <w:bottom w:val="nil"/>
              <w:right w:val="nil"/>
            </w:tcBorders>
          </w:tcPr>
          <w:p w14:paraId="1553BDBC" w14:textId="77777777" w:rsidR="00247505" w:rsidRPr="005F7B0F" w:rsidRDefault="00247505" w:rsidP="001629CC">
            <w:pPr>
              <w:jc w:val="both"/>
              <w:rPr>
                <w:sz w:val="18"/>
                <w:szCs w:val="20"/>
              </w:rPr>
            </w:pPr>
            <w:r w:rsidRPr="005F7B0F">
              <w:rPr>
                <w:rFonts w:ascii="Times New Roman" w:hAnsi="Times New Roman"/>
                <w:sz w:val="18"/>
                <w:szCs w:val="20"/>
              </w:rPr>
              <w:t>74.9 ± 2.0</w:t>
            </w:r>
          </w:p>
        </w:tc>
        <w:tc>
          <w:tcPr>
            <w:tcW w:w="1138" w:type="dxa"/>
            <w:tcBorders>
              <w:top w:val="nil"/>
              <w:left w:val="nil"/>
              <w:bottom w:val="nil"/>
              <w:right w:val="nil"/>
            </w:tcBorders>
          </w:tcPr>
          <w:p w14:paraId="48A29DC1" w14:textId="77777777" w:rsidR="00247505" w:rsidRPr="005F7B0F" w:rsidRDefault="00247505" w:rsidP="001629CC">
            <w:pPr>
              <w:jc w:val="both"/>
              <w:rPr>
                <w:sz w:val="18"/>
                <w:szCs w:val="20"/>
              </w:rPr>
            </w:pPr>
            <w:r w:rsidRPr="005F7B0F">
              <w:rPr>
                <w:rFonts w:ascii="Times New Roman" w:hAnsi="Times New Roman"/>
                <w:sz w:val="18"/>
                <w:szCs w:val="20"/>
              </w:rPr>
              <w:t>20.1 ± 1.6</w:t>
            </w:r>
          </w:p>
        </w:tc>
        <w:tc>
          <w:tcPr>
            <w:tcW w:w="1032" w:type="dxa"/>
            <w:tcBorders>
              <w:top w:val="nil"/>
              <w:left w:val="nil"/>
              <w:bottom w:val="nil"/>
              <w:right w:val="nil"/>
            </w:tcBorders>
          </w:tcPr>
          <w:p w14:paraId="218AC164" w14:textId="77777777" w:rsidR="00247505" w:rsidRPr="005F7B0F" w:rsidRDefault="00247505" w:rsidP="001629CC">
            <w:pPr>
              <w:jc w:val="both"/>
              <w:rPr>
                <w:sz w:val="18"/>
                <w:szCs w:val="20"/>
              </w:rPr>
            </w:pPr>
            <w:r w:rsidRPr="005F7B0F">
              <w:rPr>
                <w:rFonts w:ascii="Times New Roman" w:hAnsi="Times New Roman"/>
                <w:sz w:val="18"/>
                <w:szCs w:val="20"/>
              </w:rPr>
              <w:t>5.0 ± 1.2</w:t>
            </w:r>
          </w:p>
        </w:tc>
        <w:tc>
          <w:tcPr>
            <w:tcW w:w="962" w:type="dxa"/>
            <w:tcBorders>
              <w:top w:val="nil"/>
              <w:left w:val="nil"/>
              <w:bottom w:val="nil"/>
              <w:right w:val="nil"/>
            </w:tcBorders>
          </w:tcPr>
          <w:p w14:paraId="6329EFB8" w14:textId="77777777" w:rsidR="00247505" w:rsidRPr="005F7B0F" w:rsidRDefault="00247505" w:rsidP="001629CC">
            <w:pPr>
              <w:jc w:val="both"/>
              <w:rPr>
                <w:rFonts w:ascii="Times New Roman" w:hAnsi="Times New Roman"/>
                <w:sz w:val="18"/>
                <w:szCs w:val="20"/>
              </w:rPr>
            </w:pPr>
          </w:p>
        </w:tc>
      </w:tr>
      <w:tr w:rsidR="00247505" w:rsidRPr="005F7B0F" w14:paraId="6A1A5278" w14:textId="77777777" w:rsidTr="001629CC">
        <w:tc>
          <w:tcPr>
            <w:tcW w:w="2843" w:type="dxa"/>
            <w:tcBorders>
              <w:top w:val="nil"/>
              <w:left w:val="nil"/>
              <w:bottom w:val="nil"/>
              <w:right w:val="nil"/>
            </w:tcBorders>
          </w:tcPr>
          <w:p w14:paraId="1DB931AB"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Obese</w:t>
            </w:r>
          </w:p>
        </w:tc>
        <w:tc>
          <w:tcPr>
            <w:tcW w:w="1031" w:type="dxa"/>
            <w:tcBorders>
              <w:top w:val="nil"/>
              <w:left w:val="nil"/>
              <w:bottom w:val="nil"/>
              <w:right w:val="nil"/>
            </w:tcBorders>
          </w:tcPr>
          <w:p w14:paraId="64B32A1C" w14:textId="77777777" w:rsidR="00247505" w:rsidRPr="005F7B0F" w:rsidRDefault="00247505" w:rsidP="001629CC">
            <w:pPr>
              <w:jc w:val="both"/>
              <w:rPr>
                <w:sz w:val="18"/>
                <w:szCs w:val="20"/>
              </w:rPr>
            </w:pPr>
            <w:r w:rsidRPr="005F7B0F">
              <w:rPr>
                <w:rFonts w:ascii="Times New Roman" w:hAnsi="Times New Roman"/>
                <w:sz w:val="18"/>
                <w:szCs w:val="20"/>
              </w:rPr>
              <w:t>69.9 ± 2.0</w:t>
            </w:r>
          </w:p>
        </w:tc>
        <w:tc>
          <w:tcPr>
            <w:tcW w:w="1138" w:type="dxa"/>
            <w:tcBorders>
              <w:top w:val="nil"/>
              <w:left w:val="nil"/>
              <w:bottom w:val="nil"/>
              <w:right w:val="nil"/>
            </w:tcBorders>
          </w:tcPr>
          <w:p w14:paraId="48636ED4" w14:textId="77777777" w:rsidR="00247505" w:rsidRPr="005F7B0F" w:rsidRDefault="00247505" w:rsidP="001629CC">
            <w:pPr>
              <w:jc w:val="both"/>
              <w:rPr>
                <w:sz w:val="18"/>
                <w:szCs w:val="20"/>
              </w:rPr>
            </w:pPr>
            <w:r w:rsidRPr="005F7B0F">
              <w:rPr>
                <w:rFonts w:ascii="Times New Roman" w:hAnsi="Times New Roman"/>
                <w:sz w:val="18"/>
                <w:szCs w:val="20"/>
              </w:rPr>
              <w:t>22.4 ± 1.6</w:t>
            </w:r>
          </w:p>
        </w:tc>
        <w:tc>
          <w:tcPr>
            <w:tcW w:w="1032" w:type="dxa"/>
            <w:tcBorders>
              <w:top w:val="nil"/>
              <w:left w:val="nil"/>
              <w:bottom w:val="nil"/>
              <w:right w:val="nil"/>
            </w:tcBorders>
          </w:tcPr>
          <w:p w14:paraId="299FA21E" w14:textId="77777777" w:rsidR="00247505" w:rsidRPr="005F7B0F" w:rsidRDefault="00247505" w:rsidP="001629CC">
            <w:pPr>
              <w:jc w:val="both"/>
              <w:rPr>
                <w:sz w:val="18"/>
                <w:szCs w:val="20"/>
              </w:rPr>
            </w:pPr>
            <w:r w:rsidRPr="005F7B0F">
              <w:rPr>
                <w:rFonts w:ascii="Times New Roman" w:hAnsi="Times New Roman"/>
                <w:sz w:val="18"/>
                <w:szCs w:val="20"/>
              </w:rPr>
              <w:t>7.7 ± 1.0</w:t>
            </w:r>
          </w:p>
        </w:tc>
        <w:tc>
          <w:tcPr>
            <w:tcW w:w="962" w:type="dxa"/>
            <w:tcBorders>
              <w:top w:val="nil"/>
              <w:left w:val="nil"/>
              <w:bottom w:val="nil"/>
              <w:right w:val="nil"/>
            </w:tcBorders>
          </w:tcPr>
          <w:p w14:paraId="6C1B3056" w14:textId="77777777" w:rsidR="00247505" w:rsidRPr="005F7B0F" w:rsidRDefault="00247505" w:rsidP="001629CC">
            <w:pPr>
              <w:jc w:val="both"/>
              <w:rPr>
                <w:rFonts w:ascii="Times New Roman" w:hAnsi="Times New Roman"/>
                <w:sz w:val="18"/>
                <w:szCs w:val="20"/>
              </w:rPr>
            </w:pPr>
          </w:p>
        </w:tc>
      </w:tr>
      <w:tr w:rsidR="00247505" w:rsidRPr="005F7B0F" w14:paraId="5D70FC13" w14:textId="77777777" w:rsidTr="001629CC">
        <w:tc>
          <w:tcPr>
            <w:tcW w:w="2843" w:type="dxa"/>
            <w:tcBorders>
              <w:top w:val="nil"/>
              <w:left w:val="nil"/>
              <w:bottom w:val="nil"/>
              <w:right w:val="nil"/>
            </w:tcBorders>
          </w:tcPr>
          <w:p w14:paraId="0EDAAFEC"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Total Physical Activity (%)</w:t>
            </w:r>
          </w:p>
        </w:tc>
        <w:tc>
          <w:tcPr>
            <w:tcW w:w="1031" w:type="dxa"/>
            <w:tcBorders>
              <w:top w:val="nil"/>
              <w:left w:val="nil"/>
              <w:bottom w:val="nil"/>
              <w:right w:val="nil"/>
            </w:tcBorders>
          </w:tcPr>
          <w:p w14:paraId="769B9A8B"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4A84ADF9"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5F12FD73"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7692165E"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794C35E5" w14:textId="77777777" w:rsidTr="001629CC">
        <w:tc>
          <w:tcPr>
            <w:tcW w:w="2843" w:type="dxa"/>
            <w:tcBorders>
              <w:top w:val="nil"/>
              <w:left w:val="nil"/>
              <w:bottom w:val="nil"/>
              <w:right w:val="nil"/>
            </w:tcBorders>
          </w:tcPr>
          <w:p w14:paraId="52833C58"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Insufficient</w:t>
            </w:r>
          </w:p>
        </w:tc>
        <w:tc>
          <w:tcPr>
            <w:tcW w:w="1031" w:type="dxa"/>
            <w:tcBorders>
              <w:top w:val="nil"/>
              <w:left w:val="nil"/>
              <w:bottom w:val="nil"/>
              <w:right w:val="nil"/>
            </w:tcBorders>
          </w:tcPr>
          <w:p w14:paraId="0FAED4D6" w14:textId="77777777" w:rsidR="00247505" w:rsidRPr="005F7B0F" w:rsidRDefault="00247505" w:rsidP="001629CC">
            <w:pPr>
              <w:jc w:val="both"/>
              <w:rPr>
                <w:sz w:val="18"/>
                <w:szCs w:val="20"/>
              </w:rPr>
            </w:pPr>
            <w:r w:rsidRPr="005F7B0F">
              <w:rPr>
                <w:rFonts w:ascii="Times New Roman" w:hAnsi="Times New Roman"/>
                <w:sz w:val="18"/>
                <w:szCs w:val="20"/>
              </w:rPr>
              <w:t>69.9 ± 2.0</w:t>
            </w:r>
          </w:p>
        </w:tc>
        <w:tc>
          <w:tcPr>
            <w:tcW w:w="1138" w:type="dxa"/>
            <w:tcBorders>
              <w:top w:val="nil"/>
              <w:left w:val="nil"/>
              <w:bottom w:val="nil"/>
              <w:right w:val="nil"/>
            </w:tcBorders>
          </w:tcPr>
          <w:p w14:paraId="4127D98D" w14:textId="77777777" w:rsidR="00247505" w:rsidRPr="005F7B0F" w:rsidRDefault="00247505" w:rsidP="001629CC">
            <w:pPr>
              <w:jc w:val="both"/>
              <w:rPr>
                <w:sz w:val="18"/>
                <w:szCs w:val="20"/>
              </w:rPr>
            </w:pPr>
            <w:r w:rsidRPr="005F7B0F">
              <w:rPr>
                <w:rFonts w:ascii="Times New Roman" w:hAnsi="Times New Roman"/>
                <w:sz w:val="18"/>
                <w:szCs w:val="20"/>
              </w:rPr>
              <w:t>21.8 ± 1.5</w:t>
            </w:r>
          </w:p>
        </w:tc>
        <w:tc>
          <w:tcPr>
            <w:tcW w:w="1032" w:type="dxa"/>
            <w:tcBorders>
              <w:top w:val="nil"/>
              <w:left w:val="nil"/>
              <w:bottom w:val="nil"/>
              <w:right w:val="nil"/>
            </w:tcBorders>
          </w:tcPr>
          <w:p w14:paraId="30D1DED3" w14:textId="77777777" w:rsidR="00247505" w:rsidRPr="005F7B0F" w:rsidRDefault="00247505" w:rsidP="001629CC">
            <w:pPr>
              <w:jc w:val="both"/>
              <w:rPr>
                <w:sz w:val="18"/>
                <w:szCs w:val="20"/>
              </w:rPr>
            </w:pPr>
            <w:r w:rsidRPr="005F7B0F">
              <w:rPr>
                <w:rFonts w:ascii="Times New Roman" w:hAnsi="Times New Roman"/>
                <w:sz w:val="18"/>
                <w:szCs w:val="20"/>
              </w:rPr>
              <w:t>9.2 ± 0.8</w:t>
            </w:r>
          </w:p>
        </w:tc>
        <w:tc>
          <w:tcPr>
            <w:tcW w:w="962" w:type="dxa"/>
            <w:tcBorders>
              <w:top w:val="nil"/>
              <w:left w:val="nil"/>
              <w:bottom w:val="nil"/>
              <w:right w:val="nil"/>
            </w:tcBorders>
          </w:tcPr>
          <w:p w14:paraId="7E5E0E01" w14:textId="77777777" w:rsidR="00247505" w:rsidRPr="005F7B0F" w:rsidRDefault="00247505" w:rsidP="001629CC">
            <w:pPr>
              <w:jc w:val="both"/>
              <w:rPr>
                <w:rFonts w:ascii="Times New Roman" w:hAnsi="Times New Roman"/>
                <w:sz w:val="18"/>
                <w:szCs w:val="20"/>
              </w:rPr>
            </w:pPr>
          </w:p>
        </w:tc>
      </w:tr>
      <w:tr w:rsidR="00247505" w:rsidRPr="005F7B0F" w14:paraId="4952A21E" w14:textId="77777777" w:rsidTr="001629CC">
        <w:tc>
          <w:tcPr>
            <w:tcW w:w="2843" w:type="dxa"/>
            <w:tcBorders>
              <w:top w:val="nil"/>
              <w:left w:val="nil"/>
              <w:bottom w:val="nil"/>
              <w:right w:val="nil"/>
            </w:tcBorders>
          </w:tcPr>
          <w:p w14:paraId="7BBC8401"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Sufficient</w:t>
            </w:r>
          </w:p>
        </w:tc>
        <w:tc>
          <w:tcPr>
            <w:tcW w:w="1031" w:type="dxa"/>
            <w:tcBorders>
              <w:top w:val="nil"/>
              <w:left w:val="nil"/>
              <w:bottom w:val="nil"/>
              <w:right w:val="nil"/>
            </w:tcBorders>
          </w:tcPr>
          <w:p w14:paraId="0A211746" w14:textId="77777777" w:rsidR="00247505" w:rsidRPr="005F7B0F" w:rsidRDefault="00247505" w:rsidP="001629CC">
            <w:pPr>
              <w:jc w:val="both"/>
              <w:rPr>
                <w:sz w:val="18"/>
                <w:szCs w:val="20"/>
              </w:rPr>
            </w:pPr>
            <w:r w:rsidRPr="005F7B0F">
              <w:rPr>
                <w:rFonts w:ascii="Times New Roman" w:hAnsi="Times New Roman"/>
                <w:sz w:val="18"/>
                <w:szCs w:val="20"/>
              </w:rPr>
              <w:t>77.0 ± 1.1</w:t>
            </w:r>
          </w:p>
        </w:tc>
        <w:tc>
          <w:tcPr>
            <w:tcW w:w="1138" w:type="dxa"/>
            <w:tcBorders>
              <w:top w:val="nil"/>
              <w:left w:val="nil"/>
              <w:bottom w:val="nil"/>
              <w:right w:val="nil"/>
            </w:tcBorders>
          </w:tcPr>
          <w:p w14:paraId="3286841D" w14:textId="77777777" w:rsidR="00247505" w:rsidRPr="005F7B0F" w:rsidRDefault="00247505" w:rsidP="001629CC">
            <w:pPr>
              <w:jc w:val="both"/>
              <w:rPr>
                <w:sz w:val="18"/>
                <w:szCs w:val="20"/>
              </w:rPr>
            </w:pPr>
            <w:r w:rsidRPr="005F7B0F">
              <w:rPr>
                <w:rFonts w:ascii="Times New Roman" w:hAnsi="Times New Roman"/>
                <w:sz w:val="18"/>
                <w:szCs w:val="20"/>
              </w:rPr>
              <w:t>19.4 ± 1.0</w:t>
            </w:r>
          </w:p>
        </w:tc>
        <w:tc>
          <w:tcPr>
            <w:tcW w:w="1032" w:type="dxa"/>
            <w:tcBorders>
              <w:top w:val="nil"/>
              <w:left w:val="nil"/>
              <w:bottom w:val="nil"/>
              <w:right w:val="nil"/>
            </w:tcBorders>
          </w:tcPr>
          <w:p w14:paraId="6D872267" w14:textId="77777777" w:rsidR="00247505" w:rsidRPr="005F7B0F" w:rsidRDefault="00247505" w:rsidP="001629CC">
            <w:pPr>
              <w:jc w:val="both"/>
              <w:rPr>
                <w:sz w:val="18"/>
                <w:szCs w:val="20"/>
              </w:rPr>
            </w:pPr>
            <w:r w:rsidRPr="005F7B0F">
              <w:rPr>
                <w:rFonts w:ascii="Times New Roman" w:hAnsi="Times New Roman"/>
                <w:sz w:val="18"/>
                <w:szCs w:val="20"/>
              </w:rPr>
              <w:t>3.6 ± 0.5</w:t>
            </w:r>
          </w:p>
        </w:tc>
        <w:tc>
          <w:tcPr>
            <w:tcW w:w="962" w:type="dxa"/>
            <w:tcBorders>
              <w:top w:val="nil"/>
              <w:left w:val="nil"/>
              <w:bottom w:val="nil"/>
              <w:right w:val="nil"/>
            </w:tcBorders>
          </w:tcPr>
          <w:p w14:paraId="743FA966" w14:textId="77777777" w:rsidR="00247505" w:rsidRPr="005F7B0F" w:rsidRDefault="00247505" w:rsidP="001629CC">
            <w:pPr>
              <w:jc w:val="both"/>
              <w:rPr>
                <w:rFonts w:ascii="Times New Roman" w:hAnsi="Times New Roman"/>
                <w:sz w:val="18"/>
                <w:szCs w:val="20"/>
              </w:rPr>
            </w:pPr>
          </w:p>
        </w:tc>
      </w:tr>
      <w:tr w:rsidR="00247505" w:rsidRPr="005F7B0F" w14:paraId="467E32E1" w14:textId="77777777" w:rsidTr="001629CC">
        <w:tc>
          <w:tcPr>
            <w:tcW w:w="2843" w:type="dxa"/>
            <w:tcBorders>
              <w:top w:val="nil"/>
              <w:left w:val="nil"/>
              <w:bottom w:val="nil"/>
              <w:right w:val="nil"/>
            </w:tcBorders>
          </w:tcPr>
          <w:p w14:paraId="022240AE"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 xml:space="preserve">Recreational Physical Activity (%) </w:t>
            </w:r>
          </w:p>
        </w:tc>
        <w:tc>
          <w:tcPr>
            <w:tcW w:w="1031" w:type="dxa"/>
            <w:tcBorders>
              <w:top w:val="nil"/>
              <w:left w:val="nil"/>
              <w:bottom w:val="nil"/>
              <w:right w:val="nil"/>
            </w:tcBorders>
          </w:tcPr>
          <w:p w14:paraId="7717F646"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6D4FDBEE"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2BB53E03"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6318B900"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4C79D5F1" w14:textId="77777777" w:rsidTr="001629CC">
        <w:tc>
          <w:tcPr>
            <w:tcW w:w="2843" w:type="dxa"/>
            <w:tcBorders>
              <w:top w:val="nil"/>
              <w:left w:val="nil"/>
              <w:bottom w:val="nil"/>
              <w:right w:val="nil"/>
            </w:tcBorders>
          </w:tcPr>
          <w:p w14:paraId="7272C192"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None</w:t>
            </w:r>
          </w:p>
        </w:tc>
        <w:tc>
          <w:tcPr>
            <w:tcW w:w="1031" w:type="dxa"/>
            <w:tcBorders>
              <w:top w:val="nil"/>
              <w:left w:val="nil"/>
              <w:bottom w:val="nil"/>
              <w:right w:val="nil"/>
            </w:tcBorders>
          </w:tcPr>
          <w:p w14:paraId="3778E418" w14:textId="77777777" w:rsidR="00247505" w:rsidRPr="005F7B0F" w:rsidRDefault="00247505" w:rsidP="001629CC">
            <w:pPr>
              <w:jc w:val="both"/>
              <w:rPr>
                <w:sz w:val="18"/>
                <w:szCs w:val="20"/>
              </w:rPr>
            </w:pPr>
            <w:r w:rsidRPr="005F7B0F">
              <w:rPr>
                <w:rFonts w:ascii="Times New Roman" w:hAnsi="Times New Roman"/>
                <w:sz w:val="18"/>
                <w:szCs w:val="20"/>
              </w:rPr>
              <w:t>69.9 ± 1.6</w:t>
            </w:r>
          </w:p>
        </w:tc>
        <w:tc>
          <w:tcPr>
            <w:tcW w:w="1138" w:type="dxa"/>
            <w:tcBorders>
              <w:top w:val="nil"/>
              <w:left w:val="nil"/>
              <w:bottom w:val="nil"/>
              <w:right w:val="nil"/>
            </w:tcBorders>
          </w:tcPr>
          <w:p w14:paraId="33D32F7B" w14:textId="77777777" w:rsidR="00247505" w:rsidRPr="005F7B0F" w:rsidRDefault="00247505" w:rsidP="001629CC">
            <w:pPr>
              <w:jc w:val="both"/>
              <w:rPr>
                <w:sz w:val="18"/>
                <w:szCs w:val="20"/>
              </w:rPr>
            </w:pPr>
            <w:r w:rsidRPr="005F7B0F">
              <w:rPr>
                <w:rFonts w:ascii="Times New Roman" w:hAnsi="Times New Roman"/>
                <w:sz w:val="18"/>
                <w:szCs w:val="20"/>
              </w:rPr>
              <w:t>21.4 ± 1.3</w:t>
            </w:r>
          </w:p>
        </w:tc>
        <w:tc>
          <w:tcPr>
            <w:tcW w:w="1032" w:type="dxa"/>
            <w:tcBorders>
              <w:top w:val="nil"/>
              <w:left w:val="nil"/>
              <w:bottom w:val="nil"/>
              <w:right w:val="nil"/>
            </w:tcBorders>
          </w:tcPr>
          <w:p w14:paraId="47D15574" w14:textId="77777777" w:rsidR="00247505" w:rsidRPr="005F7B0F" w:rsidRDefault="00247505" w:rsidP="001629CC">
            <w:pPr>
              <w:jc w:val="both"/>
              <w:rPr>
                <w:sz w:val="18"/>
                <w:szCs w:val="20"/>
              </w:rPr>
            </w:pPr>
            <w:r w:rsidRPr="005F7B0F">
              <w:rPr>
                <w:rFonts w:ascii="Times New Roman" w:hAnsi="Times New Roman"/>
                <w:sz w:val="18"/>
                <w:szCs w:val="20"/>
              </w:rPr>
              <w:t>8.6 ± 0.9</w:t>
            </w:r>
          </w:p>
        </w:tc>
        <w:tc>
          <w:tcPr>
            <w:tcW w:w="962" w:type="dxa"/>
            <w:tcBorders>
              <w:top w:val="nil"/>
              <w:left w:val="nil"/>
              <w:bottom w:val="nil"/>
              <w:right w:val="nil"/>
            </w:tcBorders>
          </w:tcPr>
          <w:p w14:paraId="44C81FD4" w14:textId="77777777" w:rsidR="00247505" w:rsidRPr="005F7B0F" w:rsidRDefault="00247505" w:rsidP="001629CC">
            <w:pPr>
              <w:jc w:val="both"/>
              <w:rPr>
                <w:rFonts w:ascii="Times New Roman" w:hAnsi="Times New Roman"/>
                <w:sz w:val="18"/>
                <w:szCs w:val="20"/>
              </w:rPr>
            </w:pPr>
          </w:p>
        </w:tc>
      </w:tr>
      <w:tr w:rsidR="00247505" w:rsidRPr="005F7B0F" w14:paraId="1ABE0E39" w14:textId="77777777" w:rsidTr="001629CC">
        <w:tc>
          <w:tcPr>
            <w:tcW w:w="2843" w:type="dxa"/>
            <w:tcBorders>
              <w:top w:val="nil"/>
              <w:left w:val="nil"/>
              <w:bottom w:val="nil"/>
              <w:right w:val="nil"/>
            </w:tcBorders>
          </w:tcPr>
          <w:p w14:paraId="791154CA"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Insufficient</w:t>
            </w:r>
          </w:p>
        </w:tc>
        <w:tc>
          <w:tcPr>
            <w:tcW w:w="1031" w:type="dxa"/>
            <w:tcBorders>
              <w:top w:val="nil"/>
              <w:left w:val="nil"/>
              <w:bottom w:val="nil"/>
              <w:right w:val="nil"/>
            </w:tcBorders>
          </w:tcPr>
          <w:p w14:paraId="28EECC36" w14:textId="77777777" w:rsidR="00247505" w:rsidRPr="005F7B0F" w:rsidRDefault="00247505" w:rsidP="001629CC">
            <w:pPr>
              <w:jc w:val="both"/>
              <w:rPr>
                <w:sz w:val="18"/>
                <w:szCs w:val="20"/>
              </w:rPr>
            </w:pPr>
            <w:r w:rsidRPr="005F7B0F">
              <w:rPr>
                <w:rFonts w:ascii="Times New Roman" w:hAnsi="Times New Roman"/>
                <w:sz w:val="18"/>
                <w:szCs w:val="20"/>
              </w:rPr>
              <w:t>73.0 ± 2.2</w:t>
            </w:r>
          </w:p>
        </w:tc>
        <w:tc>
          <w:tcPr>
            <w:tcW w:w="1138" w:type="dxa"/>
            <w:tcBorders>
              <w:top w:val="nil"/>
              <w:left w:val="nil"/>
              <w:bottom w:val="nil"/>
              <w:right w:val="nil"/>
            </w:tcBorders>
          </w:tcPr>
          <w:p w14:paraId="6C1CECC9" w14:textId="77777777" w:rsidR="00247505" w:rsidRPr="005F7B0F" w:rsidRDefault="00247505" w:rsidP="001629CC">
            <w:pPr>
              <w:jc w:val="both"/>
              <w:rPr>
                <w:sz w:val="18"/>
                <w:szCs w:val="20"/>
              </w:rPr>
            </w:pPr>
            <w:r w:rsidRPr="005F7B0F">
              <w:rPr>
                <w:rFonts w:ascii="Times New Roman" w:hAnsi="Times New Roman"/>
                <w:sz w:val="18"/>
                <w:szCs w:val="20"/>
              </w:rPr>
              <w:t>22.3 ± 2.0</w:t>
            </w:r>
          </w:p>
        </w:tc>
        <w:tc>
          <w:tcPr>
            <w:tcW w:w="1032" w:type="dxa"/>
            <w:tcBorders>
              <w:top w:val="nil"/>
              <w:left w:val="nil"/>
              <w:bottom w:val="nil"/>
              <w:right w:val="nil"/>
            </w:tcBorders>
          </w:tcPr>
          <w:p w14:paraId="2CB4CB90" w14:textId="77777777" w:rsidR="00247505" w:rsidRPr="005F7B0F" w:rsidRDefault="00247505" w:rsidP="001629CC">
            <w:pPr>
              <w:jc w:val="both"/>
              <w:rPr>
                <w:sz w:val="18"/>
                <w:szCs w:val="20"/>
              </w:rPr>
            </w:pPr>
            <w:r w:rsidRPr="005F7B0F">
              <w:rPr>
                <w:rFonts w:ascii="Times New Roman" w:hAnsi="Times New Roman"/>
                <w:sz w:val="18"/>
                <w:szCs w:val="20"/>
              </w:rPr>
              <w:t>4.7 ± 1.0</w:t>
            </w:r>
          </w:p>
        </w:tc>
        <w:tc>
          <w:tcPr>
            <w:tcW w:w="962" w:type="dxa"/>
            <w:tcBorders>
              <w:top w:val="nil"/>
              <w:left w:val="nil"/>
              <w:bottom w:val="nil"/>
              <w:right w:val="nil"/>
            </w:tcBorders>
          </w:tcPr>
          <w:p w14:paraId="2EF2268F" w14:textId="77777777" w:rsidR="00247505" w:rsidRPr="005F7B0F" w:rsidRDefault="00247505" w:rsidP="001629CC">
            <w:pPr>
              <w:jc w:val="both"/>
              <w:rPr>
                <w:rFonts w:ascii="Times New Roman" w:hAnsi="Times New Roman"/>
                <w:sz w:val="18"/>
                <w:szCs w:val="20"/>
              </w:rPr>
            </w:pPr>
          </w:p>
        </w:tc>
      </w:tr>
      <w:tr w:rsidR="00247505" w:rsidRPr="005F7B0F" w14:paraId="74DF391C" w14:textId="77777777" w:rsidTr="001629CC">
        <w:tc>
          <w:tcPr>
            <w:tcW w:w="2843" w:type="dxa"/>
            <w:tcBorders>
              <w:top w:val="nil"/>
              <w:left w:val="nil"/>
              <w:bottom w:val="nil"/>
              <w:right w:val="nil"/>
            </w:tcBorders>
          </w:tcPr>
          <w:p w14:paraId="0834651F"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Sufficient</w:t>
            </w:r>
          </w:p>
        </w:tc>
        <w:tc>
          <w:tcPr>
            <w:tcW w:w="1031" w:type="dxa"/>
            <w:tcBorders>
              <w:top w:val="nil"/>
              <w:left w:val="nil"/>
              <w:bottom w:val="nil"/>
              <w:right w:val="nil"/>
            </w:tcBorders>
          </w:tcPr>
          <w:p w14:paraId="5D180384" w14:textId="77777777" w:rsidR="00247505" w:rsidRPr="005F7B0F" w:rsidRDefault="00247505" w:rsidP="001629CC">
            <w:pPr>
              <w:jc w:val="both"/>
              <w:rPr>
                <w:sz w:val="18"/>
                <w:szCs w:val="20"/>
              </w:rPr>
            </w:pPr>
            <w:r w:rsidRPr="005F7B0F">
              <w:rPr>
                <w:rFonts w:ascii="Times New Roman" w:hAnsi="Times New Roman"/>
                <w:sz w:val="18"/>
                <w:szCs w:val="20"/>
              </w:rPr>
              <w:t>79.6 ± 1.6</w:t>
            </w:r>
          </w:p>
        </w:tc>
        <w:tc>
          <w:tcPr>
            <w:tcW w:w="1138" w:type="dxa"/>
            <w:tcBorders>
              <w:top w:val="nil"/>
              <w:left w:val="nil"/>
              <w:bottom w:val="nil"/>
              <w:right w:val="nil"/>
            </w:tcBorders>
          </w:tcPr>
          <w:p w14:paraId="7D4BD410" w14:textId="77777777" w:rsidR="00247505" w:rsidRPr="005F7B0F" w:rsidRDefault="00247505" w:rsidP="001629CC">
            <w:pPr>
              <w:jc w:val="both"/>
              <w:rPr>
                <w:sz w:val="18"/>
                <w:szCs w:val="20"/>
              </w:rPr>
            </w:pPr>
            <w:r w:rsidRPr="005F7B0F">
              <w:rPr>
                <w:rFonts w:ascii="Times New Roman" w:hAnsi="Times New Roman"/>
                <w:sz w:val="18"/>
                <w:szCs w:val="20"/>
              </w:rPr>
              <w:t>18.0 ± 1.3</w:t>
            </w:r>
          </w:p>
        </w:tc>
        <w:tc>
          <w:tcPr>
            <w:tcW w:w="1032" w:type="dxa"/>
            <w:tcBorders>
              <w:top w:val="nil"/>
              <w:left w:val="nil"/>
              <w:bottom w:val="nil"/>
              <w:right w:val="nil"/>
            </w:tcBorders>
          </w:tcPr>
          <w:p w14:paraId="61136657" w14:textId="77777777" w:rsidR="00247505" w:rsidRPr="005F7B0F" w:rsidRDefault="00247505" w:rsidP="001629CC">
            <w:pPr>
              <w:jc w:val="both"/>
              <w:rPr>
                <w:sz w:val="18"/>
                <w:szCs w:val="20"/>
              </w:rPr>
            </w:pPr>
            <w:r w:rsidRPr="005F7B0F">
              <w:rPr>
                <w:rFonts w:ascii="Times New Roman" w:hAnsi="Times New Roman"/>
                <w:sz w:val="18"/>
                <w:szCs w:val="20"/>
              </w:rPr>
              <w:t>2.4 ± 0.5</w:t>
            </w:r>
          </w:p>
        </w:tc>
        <w:tc>
          <w:tcPr>
            <w:tcW w:w="962" w:type="dxa"/>
            <w:tcBorders>
              <w:top w:val="nil"/>
              <w:left w:val="nil"/>
              <w:bottom w:val="nil"/>
              <w:right w:val="nil"/>
            </w:tcBorders>
          </w:tcPr>
          <w:p w14:paraId="404A139D" w14:textId="77777777" w:rsidR="00247505" w:rsidRPr="005F7B0F" w:rsidRDefault="00247505" w:rsidP="001629CC">
            <w:pPr>
              <w:jc w:val="both"/>
              <w:rPr>
                <w:rFonts w:ascii="Times New Roman" w:hAnsi="Times New Roman"/>
                <w:sz w:val="18"/>
                <w:szCs w:val="20"/>
              </w:rPr>
            </w:pPr>
          </w:p>
        </w:tc>
      </w:tr>
      <w:tr w:rsidR="00247505" w:rsidRPr="005F7B0F" w14:paraId="27100610" w14:textId="77777777" w:rsidTr="001629CC">
        <w:tc>
          <w:tcPr>
            <w:tcW w:w="2843" w:type="dxa"/>
            <w:tcBorders>
              <w:top w:val="nil"/>
              <w:left w:val="nil"/>
              <w:bottom w:val="nil"/>
              <w:right w:val="nil"/>
            </w:tcBorders>
          </w:tcPr>
          <w:p w14:paraId="329EE786" w14:textId="77777777" w:rsidR="00247505" w:rsidRPr="005F7B0F" w:rsidRDefault="00247505" w:rsidP="001629CC">
            <w:pPr>
              <w:spacing w:before="120"/>
              <w:jc w:val="both"/>
              <w:rPr>
                <w:rFonts w:ascii="Times New Roman" w:hAnsi="Times New Roman"/>
                <w:sz w:val="18"/>
                <w:szCs w:val="20"/>
                <w:u w:val="single"/>
              </w:rPr>
            </w:pPr>
            <w:r w:rsidRPr="005F7B0F">
              <w:rPr>
                <w:rFonts w:ascii="Times New Roman" w:hAnsi="Times New Roman"/>
                <w:sz w:val="18"/>
                <w:szCs w:val="20"/>
                <w:u w:val="single"/>
              </w:rPr>
              <w:t>Arthritis Diagnosis (%)</w:t>
            </w:r>
          </w:p>
        </w:tc>
        <w:tc>
          <w:tcPr>
            <w:tcW w:w="1031" w:type="dxa"/>
            <w:tcBorders>
              <w:top w:val="nil"/>
              <w:left w:val="nil"/>
              <w:bottom w:val="nil"/>
              <w:right w:val="nil"/>
            </w:tcBorders>
          </w:tcPr>
          <w:p w14:paraId="1524DF5E" w14:textId="77777777" w:rsidR="00247505" w:rsidRPr="005F7B0F" w:rsidRDefault="00247505" w:rsidP="001629CC">
            <w:pPr>
              <w:spacing w:before="120"/>
              <w:jc w:val="both"/>
              <w:rPr>
                <w:rFonts w:ascii="Times New Roman" w:hAnsi="Times New Roman"/>
                <w:sz w:val="18"/>
                <w:szCs w:val="20"/>
              </w:rPr>
            </w:pPr>
          </w:p>
        </w:tc>
        <w:tc>
          <w:tcPr>
            <w:tcW w:w="1138" w:type="dxa"/>
            <w:tcBorders>
              <w:top w:val="nil"/>
              <w:left w:val="nil"/>
              <w:bottom w:val="nil"/>
              <w:right w:val="nil"/>
            </w:tcBorders>
          </w:tcPr>
          <w:p w14:paraId="4299CAE7" w14:textId="77777777" w:rsidR="00247505" w:rsidRPr="005F7B0F" w:rsidRDefault="00247505" w:rsidP="001629CC">
            <w:pPr>
              <w:spacing w:before="120"/>
              <w:jc w:val="both"/>
              <w:rPr>
                <w:rFonts w:ascii="Times New Roman" w:hAnsi="Times New Roman"/>
                <w:sz w:val="18"/>
                <w:szCs w:val="20"/>
              </w:rPr>
            </w:pPr>
          </w:p>
        </w:tc>
        <w:tc>
          <w:tcPr>
            <w:tcW w:w="1032" w:type="dxa"/>
            <w:tcBorders>
              <w:top w:val="nil"/>
              <w:left w:val="nil"/>
              <w:bottom w:val="nil"/>
              <w:right w:val="nil"/>
            </w:tcBorders>
          </w:tcPr>
          <w:p w14:paraId="2109CAC6" w14:textId="77777777" w:rsidR="00247505" w:rsidRPr="005F7B0F" w:rsidRDefault="00247505" w:rsidP="001629CC">
            <w:pPr>
              <w:spacing w:before="120"/>
              <w:jc w:val="both"/>
              <w:rPr>
                <w:rFonts w:ascii="Times New Roman" w:hAnsi="Times New Roman"/>
                <w:sz w:val="18"/>
                <w:szCs w:val="20"/>
              </w:rPr>
            </w:pPr>
          </w:p>
        </w:tc>
        <w:tc>
          <w:tcPr>
            <w:tcW w:w="962" w:type="dxa"/>
            <w:tcBorders>
              <w:top w:val="nil"/>
              <w:left w:val="nil"/>
              <w:bottom w:val="nil"/>
              <w:right w:val="nil"/>
            </w:tcBorders>
          </w:tcPr>
          <w:p w14:paraId="0FB4D304" w14:textId="77777777" w:rsidR="00247505" w:rsidRPr="005F7B0F" w:rsidRDefault="00247505" w:rsidP="001629CC">
            <w:pPr>
              <w:spacing w:before="120"/>
              <w:jc w:val="both"/>
              <w:rPr>
                <w:rFonts w:ascii="Times New Roman" w:hAnsi="Times New Roman"/>
                <w:sz w:val="18"/>
                <w:szCs w:val="20"/>
              </w:rPr>
            </w:pPr>
            <w:r w:rsidRPr="005F7B0F">
              <w:rPr>
                <w:rFonts w:ascii="Times New Roman" w:hAnsi="Times New Roman"/>
                <w:sz w:val="18"/>
                <w:szCs w:val="20"/>
              </w:rPr>
              <w:t>&lt;0.001</w:t>
            </w:r>
            <w:r w:rsidRPr="005F7B0F">
              <w:rPr>
                <w:rFonts w:ascii="Times New Roman" w:hAnsi="Times New Roman"/>
                <w:sz w:val="18"/>
                <w:szCs w:val="20"/>
                <w:vertAlign w:val="superscript"/>
              </w:rPr>
              <w:t>b</w:t>
            </w:r>
          </w:p>
        </w:tc>
      </w:tr>
      <w:tr w:rsidR="00247505" w:rsidRPr="005F7B0F" w14:paraId="2ED6DFDE" w14:textId="77777777" w:rsidTr="001629CC">
        <w:tc>
          <w:tcPr>
            <w:tcW w:w="2843" w:type="dxa"/>
            <w:tcBorders>
              <w:top w:val="nil"/>
              <w:left w:val="nil"/>
              <w:bottom w:val="nil"/>
              <w:right w:val="nil"/>
            </w:tcBorders>
          </w:tcPr>
          <w:p w14:paraId="2CC563D6"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Yes</w:t>
            </w:r>
          </w:p>
        </w:tc>
        <w:tc>
          <w:tcPr>
            <w:tcW w:w="1031" w:type="dxa"/>
            <w:tcBorders>
              <w:top w:val="nil"/>
              <w:left w:val="nil"/>
              <w:bottom w:val="nil"/>
              <w:right w:val="nil"/>
            </w:tcBorders>
          </w:tcPr>
          <w:p w14:paraId="2B93E248" w14:textId="77777777" w:rsidR="00247505" w:rsidRPr="005F7B0F" w:rsidRDefault="00247505" w:rsidP="001629CC">
            <w:pPr>
              <w:jc w:val="both"/>
              <w:rPr>
                <w:sz w:val="18"/>
                <w:szCs w:val="20"/>
              </w:rPr>
            </w:pPr>
            <w:r w:rsidRPr="005F7B0F">
              <w:rPr>
                <w:rFonts w:ascii="Times New Roman" w:hAnsi="Times New Roman"/>
                <w:sz w:val="18"/>
                <w:szCs w:val="20"/>
              </w:rPr>
              <w:t>53.0 ± 2.4</w:t>
            </w:r>
          </w:p>
        </w:tc>
        <w:tc>
          <w:tcPr>
            <w:tcW w:w="1138" w:type="dxa"/>
            <w:tcBorders>
              <w:top w:val="nil"/>
              <w:left w:val="nil"/>
              <w:bottom w:val="nil"/>
              <w:right w:val="nil"/>
            </w:tcBorders>
          </w:tcPr>
          <w:p w14:paraId="635CC051" w14:textId="77777777" w:rsidR="00247505" w:rsidRPr="005F7B0F" w:rsidRDefault="00247505" w:rsidP="001629CC">
            <w:pPr>
              <w:jc w:val="both"/>
              <w:rPr>
                <w:sz w:val="18"/>
                <w:szCs w:val="20"/>
              </w:rPr>
            </w:pPr>
            <w:r w:rsidRPr="005F7B0F">
              <w:rPr>
                <w:rFonts w:ascii="Times New Roman" w:hAnsi="Times New Roman"/>
                <w:sz w:val="18"/>
                <w:szCs w:val="20"/>
              </w:rPr>
              <w:t>31.5 ± 2.3</w:t>
            </w:r>
          </w:p>
        </w:tc>
        <w:tc>
          <w:tcPr>
            <w:tcW w:w="1032" w:type="dxa"/>
            <w:tcBorders>
              <w:top w:val="nil"/>
              <w:left w:val="nil"/>
              <w:bottom w:val="nil"/>
              <w:right w:val="nil"/>
            </w:tcBorders>
          </w:tcPr>
          <w:p w14:paraId="784ACD4C" w14:textId="77777777" w:rsidR="00247505" w:rsidRPr="005F7B0F" w:rsidRDefault="00247505" w:rsidP="001629CC">
            <w:pPr>
              <w:jc w:val="both"/>
              <w:rPr>
                <w:sz w:val="18"/>
                <w:szCs w:val="20"/>
              </w:rPr>
            </w:pPr>
            <w:r w:rsidRPr="005F7B0F">
              <w:rPr>
                <w:rFonts w:ascii="Times New Roman" w:hAnsi="Times New Roman"/>
                <w:sz w:val="18"/>
                <w:szCs w:val="20"/>
              </w:rPr>
              <w:t>15.5 ± 1.6</w:t>
            </w:r>
          </w:p>
        </w:tc>
        <w:tc>
          <w:tcPr>
            <w:tcW w:w="962" w:type="dxa"/>
            <w:tcBorders>
              <w:top w:val="nil"/>
              <w:left w:val="nil"/>
              <w:bottom w:val="nil"/>
              <w:right w:val="nil"/>
            </w:tcBorders>
          </w:tcPr>
          <w:p w14:paraId="68B2CFB2" w14:textId="77777777" w:rsidR="00247505" w:rsidRPr="005F7B0F" w:rsidRDefault="00247505" w:rsidP="001629CC">
            <w:pPr>
              <w:jc w:val="both"/>
              <w:rPr>
                <w:rFonts w:ascii="Times New Roman" w:hAnsi="Times New Roman"/>
                <w:sz w:val="18"/>
                <w:szCs w:val="20"/>
              </w:rPr>
            </w:pPr>
          </w:p>
        </w:tc>
      </w:tr>
      <w:tr w:rsidR="00247505" w:rsidRPr="005F7B0F" w14:paraId="0B0944EE" w14:textId="77777777" w:rsidTr="001629CC">
        <w:tc>
          <w:tcPr>
            <w:tcW w:w="2843" w:type="dxa"/>
            <w:tcBorders>
              <w:top w:val="nil"/>
              <w:left w:val="nil"/>
              <w:bottom w:val="single" w:sz="4" w:space="0" w:color="auto"/>
              <w:right w:val="nil"/>
            </w:tcBorders>
          </w:tcPr>
          <w:p w14:paraId="04571953" w14:textId="77777777" w:rsidR="00247505" w:rsidRPr="005F7B0F" w:rsidRDefault="00247505" w:rsidP="001629CC">
            <w:pPr>
              <w:jc w:val="both"/>
              <w:rPr>
                <w:rFonts w:ascii="Times New Roman" w:hAnsi="Times New Roman"/>
                <w:sz w:val="18"/>
                <w:szCs w:val="20"/>
              </w:rPr>
            </w:pPr>
            <w:r w:rsidRPr="005F7B0F">
              <w:rPr>
                <w:rFonts w:ascii="Times New Roman" w:hAnsi="Times New Roman"/>
                <w:sz w:val="18"/>
                <w:szCs w:val="20"/>
              </w:rPr>
              <w:t xml:space="preserve">     No</w:t>
            </w:r>
          </w:p>
        </w:tc>
        <w:tc>
          <w:tcPr>
            <w:tcW w:w="1031" w:type="dxa"/>
            <w:tcBorders>
              <w:top w:val="nil"/>
              <w:left w:val="nil"/>
              <w:bottom w:val="single" w:sz="4" w:space="0" w:color="auto"/>
              <w:right w:val="nil"/>
            </w:tcBorders>
          </w:tcPr>
          <w:p w14:paraId="1C73382E" w14:textId="77777777" w:rsidR="00247505" w:rsidRPr="005F7B0F" w:rsidRDefault="00247505" w:rsidP="001629CC">
            <w:pPr>
              <w:jc w:val="both"/>
              <w:rPr>
                <w:sz w:val="18"/>
                <w:szCs w:val="20"/>
              </w:rPr>
            </w:pPr>
            <w:r w:rsidRPr="005F7B0F">
              <w:rPr>
                <w:rFonts w:ascii="Times New Roman" w:hAnsi="Times New Roman"/>
                <w:sz w:val="18"/>
                <w:szCs w:val="20"/>
              </w:rPr>
              <w:t>80.6 ± 1.0</w:t>
            </w:r>
          </w:p>
        </w:tc>
        <w:tc>
          <w:tcPr>
            <w:tcW w:w="1138" w:type="dxa"/>
            <w:tcBorders>
              <w:top w:val="nil"/>
              <w:left w:val="nil"/>
              <w:bottom w:val="single" w:sz="4" w:space="0" w:color="auto"/>
              <w:right w:val="nil"/>
            </w:tcBorders>
          </w:tcPr>
          <w:p w14:paraId="0B3F0AF1" w14:textId="77777777" w:rsidR="00247505" w:rsidRPr="005F7B0F" w:rsidRDefault="00247505" w:rsidP="001629CC">
            <w:pPr>
              <w:jc w:val="both"/>
              <w:rPr>
                <w:sz w:val="18"/>
                <w:szCs w:val="20"/>
              </w:rPr>
            </w:pPr>
            <w:r w:rsidRPr="005F7B0F">
              <w:rPr>
                <w:rFonts w:ascii="Times New Roman" w:hAnsi="Times New Roman"/>
                <w:sz w:val="18"/>
                <w:szCs w:val="20"/>
              </w:rPr>
              <w:t>16.8 ± 0.9</w:t>
            </w:r>
          </w:p>
        </w:tc>
        <w:tc>
          <w:tcPr>
            <w:tcW w:w="1032" w:type="dxa"/>
            <w:tcBorders>
              <w:top w:val="nil"/>
              <w:left w:val="nil"/>
              <w:bottom w:val="single" w:sz="4" w:space="0" w:color="auto"/>
              <w:right w:val="nil"/>
            </w:tcBorders>
          </w:tcPr>
          <w:p w14:paraId="0C9364F2" w14:textId="77777777" w:rsidR="00247505" w:rsidRPr="005F7B0F" w:rsidRDefault="00247505" w:rsidP="001629CC">
            <w:pPr>
              <w:jc w:val="both"/>
              <w:rPr>
                <w:sz w:val="18"/>
                <w:szCs w:val="20"/>
              </w:rPr>
            </w:pPr>
            <w:r w:rsidRPr="005F7B0F">
              <w:rPr>
                <w:rFonts w:ascii="Times New Roman" w:hAnsi="Times New Roman"/>
                <w:sz w:val="18"/>
                <w:szCs w:val="20"/>
              </w:rPr>
              <w:t>2.6 ± 0.3</w:t>
            </w:r>
          </w:p>
        </w:tc>
        <w:tc>
          <w:tcPr>
            <w:tcW w:w="962" w:type="dxa"/>
            <w:tcBorders>
              <w:top w:val="nil"/>
              <w:left w:val="nil"/>
              <w:bottom w:val="single" w:sz="4" w:space="0" w:color="auto"/>
              <w:right w:val="nil"/>
            </w:tcBorders>
          </w:tcPr>
          <w:p w14:paraId="0D943D88" w14:textId="77777777" w:rsidR="00247505" w:rsidRPr="005F7B0F" w:rsidRDefault="00247505" w:rsidP="001629CC">
            <w:pPr>
              <w:jc w:val="both"/>
              <w:rPr>
                <w:rFonts w:ascii="Times New Roman" w:hAnsi="Times New Roman"/>
                <w:sz w:val="18"/>
                <w:szCs w:val="20"/>
              </w:rPr>
            </w:pPr>
          </w:p>
        </w:tc>
      </w:tr>
      <w:tr w:rsidR="00247505" w:rsidRPr="005F7B0F" w14:paraId="14FF7427" w14:textId="77777777" w:rsidTr="001629CC">
        <w:tc>
          <w:tcPr>
            <w:tcW w:w="7006" w:type="dxa"/>
            <w:gridSpan w:val="5"/>
            <w:tcBorders>
              <w:top w:val="single" w:sz="4" w:space="0" w:color="auto"/>
              <w:left w:val="nil"/>
              <w:bottom w:val="nil"/>
              <w:right w:val="nil"/>
            </w:tcBorders>
          </w:tcPr>
          <w:p w14:paraId="7DA60C9D" w14:textId="77777777" w:rsidR="00247505" w:rsidRPr="005F7B0F" w:rsidRDefault="00247505" w:rsidP="001629CC">
            <w:pPr>
              <w:spacing w:line="276" w:lineRule="auto"/>
              <w:jc w:val="both"/>
              <w:rPr>
                <w:rFonts w:ascii="Times New Roman" w:hAnsi="Times New Roman"/>
                <w:sz w:val="18"/>
                <w:szCs w:val="20"/>
              </w:rPr>
            </w:pPr>
            <w:r w:rsidRPr="005F7B0F">
              <w:rPr>
                <w:rFonts w:ascii="Times New Roman" w:hAnsi="Times New Roman"/>
                <w:sz w:val="18"/>
                <w:szCs w:val="20"/>
              </w:rPr>
              <w:t xml:space="preserve">Values are presented as weighted frequencies ± SE of US population. </w:t>
            </w:r>
            <w:r w:rsidRPr="005F7B0F">
              <w:rPr>
                <w:rFonts w:ascii="Times New Roman" w:hAnsi="Times New Roman"/>
                <w:sz w:val="18"/>
                <w:szCs w:val="20"/>
                <w:u w:val="single"/>
              </w:rPr>
              <w:t>BMI</w:t>
            </w:r>
            <w:r w:rsidRPr="005F7B0F">
              <w:rPr>
                <w:rFonts w:ascii="Times New Roman" w:hAnsi="Times New Roman"/>
                <w:sz w:val="18"/>
                <w:szCs w:val="20"/>
              </w:rPr>
              <w:t xml:space="preserve"> – Body mass index, Normal 17.5-24.9, Overweight 25.0-29.9, Obese ≥ 30.0; </w:t>
            </w:r>
            <w:r w:rsidRPr="005F7B0F">
              <w:rPr>
                <w:rFonts w:ascii="Times New Roman" w:hAnsi="Times New Roman"/>
                <w:sz w:val="18"/>
                <w:szCs w:val="20"/>
                <w:u w:val="single"/>
              </w:rPr>
              <w:t>Total physical activity</w:t>
            </w:r>
            <w:r w:rsidRPr="005F7B0F">
              <w:rPr>
                <w:rFonts w:ascii="Times New Roman" w:hAnsi="Times New Roman"/>
                <w:sz w:val="18"/>
                <w:szCs w:val="20"/>
              </w:rPr>
              <w:t xml:space="preserve"> – self-reported from the GPAQ and calculated as </w:t>
            </w:r>
            <w:proofErr w:type="spellStart"/>
            <w:r w:rsidRPr="005F7B0F">
              <w:rPr>
                <w:rFonts w:ascii="Times New Roman" w:hAnsi="Times New Roman"/>
                <w:sz w:val="18"/>
                <w:szCs w:val="20"/>
              </w:rPr>
              <w:t>MET∙min</w:t>
            </w:r>
            <w:proofErr w:type="spellEnd"/>
            <w:r w:rsidRPr="005F7B0F">
              <w:rPr>
                <w:rFonts w:ascii="Times New Roman" w:hAnsi="Times New Roman"/>
                <w:sz w:val="18"/>
                <w:szCs w:val="20"/>
              </w:rPr>
              <w:t xml:space="preserve"> of activity per week. </w:t>
            </w:r>
            <w:r w:rsidRPr="005F7B0F">
              <w:rPr>
                <w:rFonts w:ascii="Times New Roman" w:hAnsi="Times New Roman"/>
                <w:sz w:val="18"/>
                <w:szCs w:val="20"/>
                <w:u w:val="single"/>
              </w:rPr>
              <w:t>Recreational physical activity</w:t>
            </w:r>
            <w:r w:rsidRPr="005F7B0F">
              <w:rPr>
                <w:rFonts w:ascii="Times New Roman" w:hAnsi="Times New Roman"/>
                <w:sz w:val="18"/>
                <w:szCs w:val="20"/>
              </w:rPr>
              <w:t xml:space="preserve"> - self-reported from the GPAQ and calculated as </w:t>
            </w:r>
            <w:proofErr w:type="spellStart"/>
            <w:r w:rsidRPr="005F7B0F">
              <w:rPr>
                <w:rFonts w:ascii="Times New Roman" w:hAnsi="Times New Roman"/>
                <w:sz w:val="18"/>
                <w:szCs w:val="20"/>
              </w:rPr>
              <w:t>MET∙min</w:t>
            </w:r>
            <w:proofErr w:type="spellEnd"/>
            <w:r w:rsidRPr="005F7B0F">
              <w:rPr>
                <w:rFonts w:ascii="Times New Roman" w:hAnsi="Times New Roman"/>
                <w:sz w:val="18"/>
                <w:szCs w:val="20"/>
              </w:rPr>
              <w:t xml:space="preserve"> of activity per week. </w:t>
            </w:r>
            <w:r w:rsidRPr="005F7B0F">
              <w:rPr>
                <w:rFonts w:ascii="Times New Roman" w:hAnsi="Times New Roman"/>
                <w:sz w:val="18"/>
                <w:szCs w:val="20"/>
                <w:vertAlign w:val="superscript"/>
              </w:rPr>
              <w:t>b</w:t>
            </w:r>
            <w:r w:rsidRPr="005F7B0F">
              <w:rPr>
                <w:rFonts w:ascii="Times New Roman" w:hAnsi="Times New Roman"/>
                <w:sz w:val="18"/>
                <w:szCs w:val="20"/>
              </w:rPr>
              <w:t xml:space="preserve"> comparison of men vs. women across activity levels using a Rao-Scott Chi-square test of independence. </w:t>
            </w:r>
          </w:p>
          <w:p w14:paraId="663EDF0A" w14:textId="77777777" w:rsidR="00247505" w:rsidRPr="005F7B0F" w:rsidRDefault="00247505" w:rsidP="001629CC">
            <w:pPr>
              <w:jc w:val="both"/>
              <w:rPr>
                <w:rFonts w:ascii="Times New Roman" w:hAnsi="Times New Roman"/>
                <w:sz w:val="18"/>
                <w:szCs w:val="20"/>
              </w:rPr>
            </w:pPr>
          </w:p>
        </w:tc>
      </w:tr>
    </w:tbl>
    <w:p w14:paraId="2717B6C4" w14:textId="77777777" w:rsidR="00247505" w:rsidRPr="00171296" w:rsidRDefault="00247505" w:rsidP="00247505">
      <w:pPr>
        <w:spacing w:line="480" w:lineRule="auto"/>
        <w:jc w:val="both"/>
      </w:pPr>
    </w:p>
    <w:p w14:paraId="53CB3254" w14:textId="77777777" w:rsidR="00247505" w:rsidRDefault="00247505" w:rsidP="00247505">
      <w:pPr>
        <w:jc w:val="both"/>
        <w:rPr>
          <w:i/>
          <w:iCs/>
        </w:rPr>
      </w:pPr>
    </w:p>
    <w:p w14:paraId="3556920A" w14:textId="77777777" w:rsidR="00247505" w:rsidRDefault="00247505" w:rsidP="00247505">
      <w:pPr>
        <w:jc w:val="both"/>
        <w:rPr>
          <w:i/>
          <w:iCs/>
        </w:rPr>
      </w:pPr>
    </w:p>
    <w:p w14:paraId="47260376" w14:textId="77777777" w:rsidR="00247505" w:rsidRDefault="00247505" w:rsidP="00247505">
      <w:pPr>
        <w:jc w:val="both"/>
        <w:rPr>
          <w:i/>
          <w:iCs/>
        </w:rPr>
      </w:pPr>
    </w:p>
    <w:p w14:paraId="185F90E0" w14:textId="7183531A" w:rsidR="00247505" w:rsidRPr="00456C00" w:rsidRDefault="00247505" w:rsidP="00247505">
      <w:pPr>
        <w:spacing w:line="480" w:lineRule="auto"/>
        <w:jc w:val="both"/>
      </w:pPr>
      <w:r>
        <w:rPr>
          <w:i/>
          <w:iCs/>
        </w:rPr>
        <w:tab/>
      </w:r>
      <w:r w:rsidRPr="00456C00">
        <w:t>The weighted frequency of being within a given pain category based on BMI and total physical activity is shown in table 4. Significant differences in pain were found between the 5 BMI categories (</w:t>
      </w:r>
      <w:r w:rsidRPr="00456C00">
        <w:rPr>
          <w:i/>
          <w:iCs/>
        </w:rPr>
        <w:t xml:space="preserve">P </w:t>
      </w:r>
      <w:r w:rsidRPr="00456C00">
        <w:t>= 0.015) Individuals who were of a normal weight status had a significantly greater prevalence in the never pain category (78.5 ± 2.2</w:t>
      </w:r>
      <w:r w:rsidR="004E4CEC">
        <w:t xml:space="preserve"> %</w:t>
      </w:r>
      <w:r w:rsidRPr="00456C00">
        <w:t>) compared to overweight (74.9 ± 2.0</w:t>
      </w:r>
      <w:r w:rsidR="004E4CEC">
        <w:t xml:space="preserve"> %</w:t>
      </w:r>
      <w:r w:rsidRPr="00456C00">
        <w:t>), Obese I (72.2 ± 2.5</w:t>
      </w:r>
      <w:r w:rsidR="004E4CEC">
        <w:t xml:space="preserve"> %</w:t>
      </w:r>
      <w:r w:rsidRPr="00456C00">
        <w:t>), obese II (70.0 ± 3.0</w:t>
      </w:r>
      <w:r w:rsidR="004E4CEC">
        <w:t xml:space="preserve"> %</w:t>
      </w:r>
      <w:r w:rsidRPr="00456C00">
        <w:t>), and obese III (62.3 ± 2.7</w:t>
      </w:r>
      <w:r w:rsidR="004E4CEC">
        <w:t xml:space="preserve"> %</w:t>
      </w:r>
      <w:r w:rsidRPr="00456C00">
        <w:t>) groups. Additionally, those with a normal weight status also had a significantly lower prevalence of being in the sometimes pain category (18.1 ± 1.8</w:t>
      </w:r>
      <w:r w:rsidR="004E4CEC">
        <w:t xml:space="preserve"> %</w:t>
      </w:r>
      <w:r w:rsidRPr="00456C00">
        <w:t>) and the always pain category (3.5 ± 1.0</w:t>
      </w:r>
      <w:r w:rsidR="004E4CEC">
        <w:t xml:space="preserve"> %</w:t>
      </w:r>
      <w:r w:rsidRPr="00456C00">
        <w:t xml:space="preserve">) than the other BMI weight classes. </w:t>
      </w:r>
    </w:p>
    <w:p w14:paraId="1743E007" w14:textId="18B69CCB" w:rsidR="00247505" w:rsidRDefault="00247505" w:rsidP="00247505">
      <w:pPr>
        <w:spacing w:line="480" w:lineRule="auto"/>
        <w:jc w:val="both"/>
      </w:pPr>
      <w:r w:rsidRPr="00456C00">
        <w:tab/>
        <w:t>Significant differences in pain were also found among the total physical activity groups (P &lt; 0.001). Those who obtained a sufficient amount of physical activity through vigorous activity only had the greatest prevalence in the pain never category (82.3 ± 1.8</w:t>
      </w:r>
      <w:r w:rsidR="004E4CEC">
        <w:t xml:space="preserve"> %</w:t>
      </w:r>
      <w:r w:rsidRPr="00456C00">
        <w:t>). Individuals who were insufficiently active had the greatest prevalence in the always pain category (9.2 ± 0.8</w:t>
      </w:r>
      <w:r w:rsidR="004E4CEC">
        <w:t xml:space="preserve"> %</w:t>
      </w:r>
      <w:r w:rsidRPr="00456C00">
        <w:t>) and the second lowest prevalence in the pain never category (69.1 ± 2.0</w:t>
      </w:r>
      <w:r w:rsidR="004E4CEC">
        <w:t xml:space="preserve"> %</w:t>
      </w:r>
      <w:r w:rsidRPr="00456C00">
        <w:t>). Lastly, those with the lowest prevalence in the pain always category w</w:t>
      </w:r>
      <w:r>
        <w:t>ere</w:t>
      </w:r>
      <w:r w:rsidRPr="00456C00">
        <w:t xml:space="preserve"> individual</w:t>
      </w:r>
      <w:r>
        <w:t>s</w:t>
      </w:r>
      <w:r w:rsidRPr="00456C00">
        <w:t xml:space="preserve"> who obtained a sufficient amount of physical activity with neither vigorous nor moderate activity (1.7 ± 1.3</w:t>
      </w:r>
      <w:r w:rsidR="004E4CEC">
        <w:t xml:space="preserve"> %</w:t>
      </w:r>
      <w:r w:rsidRPr="00456C00">
        <w:t>).</w:t>
      </w:r>
    </w:p>
    <w:p w14:paraId="6FB1AB7D" w14:textId="0E0CD9DE" w:rsidR="00C008A4" w:rsidRDefault="00C008A4" w:rsidP="00247505">
      <w:pPr>
        <w:spacing w:line="480" w:lineRule="auto"/>
        <w:jc w:val="both"/>
      </w:pPr>
    </w:p>
    <w:p w14:paraId="1E0ECC14" w14:textId="38B7D81C" w:rsidR="00C008A4" w:rsidRDefault="00C008A4" w:rsidP="00247505">
      <w:pPr>
        <w:spacing w:line="480" w:lineRule="auto"/>
        <w:jc w:val="both"/>
      </w:pPr>
    </w:p>
    <w:p w14:paraId="7FEA7087" w14:textId="5FEBDA63" w:rsidR="00C008A4" w:rsidRDefault="00C008A4" w:rsidP="00247505">
      <w:pPr>
        <w:spacing w:line="480" w:lineRule="auto"/>
        <w:jc w:val="both"/>
      </w:pPr>
    </w:p>
    <w:p w14:paraId="7625DECE" w14:textId="25E172AF" w:rsidR="00C008A4" w:rsidRDefault="00C008A4" w:rsidP="00247505">
      <w:pPr>
        <w:spacing w:line="480" w:lineRule="auto"/>
        <w:jc w:val="both"/>
      </w:pPr>
    </w:p>
    <w:p w14:paraId="54F96223" w14:textId="7E36CC40" w:rsidR="00C008A4" w:rsidRDefault="00C008A4" w:rsidP="00247505">
      <w:pPr>
        <w:spacing w:line="480" w:lineRule="auto"/>
        <w:jc w:val="both"/>
      </w:pPr>
    </w:p>
    <w:p w14:paraId="1746B6E7" w14:textId="0EE374F1" w:rsidR="00C008A4" w:rsidRDefault="00C008A4" w:rsidP="00247505">
      <w:pPr>
        <w:spacing w:line="480" w:lineRule="auto"/>
        <w:jc w:val="both"/>
      </w:pPr>
    </w:p>
    <w:p w14:paraId="4709FDCB" w14:textId="655A3015" w:rsidR="00C008A4" w:rsidRDefault="00C008A4" w:rsidP="00247505">
      <w:pPr>
        <w:spacing w:line="480" w:lineRule="auto"/>
        <w:jc w:val="both"/>
      </w:pPr>
    </w:p>
    <w:p w14:paraId="54007813" w14:textId="77777777" w:rsidR="00C008A4" w:rsidRDefault="00C008A4" w:rsidP="00247505">
      <w:pPr>
        <w:spacing w:line="480" w:lineRule="auto"/>
        <w:jc w:val="both"/>
      </w:pPr>
    </w:p>
    <w:tbl>
      <w:tblPr>
        <w:tblStyle w:val="TableGrid"/>
        <w:tblW w:w="7513" w:type="dxa"/>
        <w:tblLook w:val="04A0" w:firstRow="1" w:lastRow="0" w:firstColumn="1" w:lastColumn="0" w:noHBand="0" w:noVBand="1"/>
      </w:tblPr>
      <w:tblGrid>
        <w:gridCol w:w="3133"/>
        <w:gridCol w:w="1170"/>
        <w:gridCol w:w="1215"/>
        <w:gridCol w:w="1035"/>
        <w:gridCol w:w="897"/>
        <w:gridCol w:w="63"/>
      </w:tblGrid>
      <w:tr w:rsidR="00247505" w:rsidRPr="005F7B0F" w14:paraId="7B5F442A" w14:textId="77777777" w:rsidTr="001629CC">
        <w:tc>
          <w:tcPr>
            <w:tcW w:w="7513" w:type="dxa"/>
            <w:gridSpan w:val="6"/>
            <w:tcBorders>
              <w:top w:val="nil"/>
              <w:left w:val="nil"/>
              <w:bottom w:val="double" w:sz="4" w:space="0" w:color="auto"/>
              <w:right w:val="nil"/>
            </w:tcBorders>
          </w:tcPr>
          <w:p w14:paraId="21F627BD" w14:textId="77777777" w:rsidR="00247505" w:rsidRPr="005F7B0F" w:rsidRDefault="00247505" w:rsidP="001629CC">
            <w:pPr>
              <w:jc w:val="both"/>
              <w:rPr>
                <w:rFonts w:ascii="Times New Roman" w:hAnsi="Times New Roman"/>
                <w:sz w:val="20"/>
                <w:szCs w:val="20"/>
              </w:rPr>
            </w:pPr>
            <w:r w:rsidRPr="005F7B0F">
              <w:rPr>
                <w:rFonts w:ascii="Times New Roman" w:hAnsi="Times New Roman"/>
                <w:b/>
                <w:sz w:val="20"/>
                <w:szCs w:val="20"/>
              </w:rPr>
              <w:lastRenderedPageBreak/>
              <w:t>Table 4</w:t>
            </w:r>
            <w:r w:rsidRPr="005F7B0F">
              <w:rPr>
                <w:rFonts w:ascii="Times New Roman" w:hAnsi="Times New Roman"/>
                <w:sz w:val="20"/>
                <w:szCs w:val="20"/>
              </w:rPr>
              <w:t xml:space="preserve"> – Prevalence of pain making it hard to perform usual activities </w:t>
            </w:r>
          </w:p>
        </w:tc>
      </w:tr>
      <w:tr w:rsidR="00247505" w:rsidRPr="005F7B0F" w14:paraId="19D0EBE6" w14:textId="77777777" w:rsidTr="001629CC">
        <w:trPr>
          <w:gridAfter w:val="1"/>
          <w:wAfter w:w="63" w:type="dxa"/>
        </w:trPr>
        <w:tc>
          <w:tcPr>
            <w:tcW w:w="3133" w:type="dxa"/>
            <w:tcBorders>
              <w:top w:val="double" w:sz="4" w:space="0" w:color="auto"/>
              <w:left w:val="nil"/>
              <w:bottom w:val="nil"/>
              <w:right w:val="nil"/>
            </w:tcBorders>
          </w:tcPr>
          <w:p w14:paraId="10C6FC8B" w14:textId="77777777" w:rsidR="00247505" w:rsidRPr="005F7B0F" w:rsidRDefault="00247505" w:rsidP="001629CC">
            <w:pPr>
              <w:jc w:val="both"/>
              <w:rPr>
                <w:rFonts w:ascii="Times New Roman" w:hAnsi="Times New Roman"/>
                <w:sz w:val="20"/>
                <w:szCs w:val="20"/>
              </w:rPr>
            </w:pPr>
          </w:p>
        </w:tc>
        <w:tc>
          <w:tcPr>
            <w:tcW w:w="1170" w:type="dxa"/>
            <w:tcBorders>
              <w:top w:val="double" w:sz="4" w:space="0" w:color="auto"/>
              <w:left w:val="nil"/>
              <w:bottom w:val="nil"/>
              <w:right w:val="nil"/>
            </w:tcBorders>
          </w:tcPr>
          <w:p w14:paraId="3CD30895" w14:textId="77777777" w:rsidR="00247505" w:rsidRPr="005F7B0F" w:rsidRDefault="00247505" w:rsidP="001629CC">
            <w:pPr>
              <w:jc w:val="both"/>
              <w:rPr>
                <w:rFonts w:ascii="Times New Roman" w:hAnsi="Times New Roman"/>
                <w:b/>
                <w:sz w:val="20"/>
                <w:szCs w:val="20"/>
                <w:u w:val="single"/>
              </w:rPr>
            </w:pPr>
            <w:r w:rsidRPr="005F7B0F">
              <w:rPr>
                <w:rFonts w:ascii="Times New Roman" w:hAnsi="Times New Roman"/>
                <w:b/>
                <w:sz w:val="20"/>
                <w:szCs w:val="20"/>
                <w:u w:val="single"/>
              </w:rPr>
              <w:t>Never</w:t>
            </w:r>
          </w:p>
        </w:tc>
        <w:tc>
          <w:tcPr>
            <w:tcW w:w="1215" w:type="dxa"/>
            <w:tcBorders>
              <w:top w:val="double" w:sz="4" w:space="0" w:color="auto"/>
              <w:left w:val="nil"/>
              <w:bottom w:val="nil"/>
              <w:right w:val="nil"/>
            </w:tcBorders>
          </w:tcPr>
          <w:p w14:paraId="06FD1CCA" w14:textId="77777777" w:rsidR="00247505" w:rsidRPr="005F7B0F" w:rsidRDefault="00247505" w:rsidP="001629CC">
            <w:pPr>
              <w:jc w:val="both"/>
              <w:rPr>
                <w:rFonts w:ascii="Times New Roman" w:hAnsi="Times New Roman"/>
                <w:b/>
                <w:sz w:val="20"/>
                <w:szCs w:val="20"/>
                <w:u w:val="single"/>
              </w:rPr>
            </w:pPr>
            <w:r w:rsidRPr="005F7B0F">
              <w:rPr>
                <w:rFonts w:ascii="Times New Roman" w:hAnsi="Times New Roman"/>
                <w:b/>
                <w:sz w:val="20"/>
                <w:szCs w:val="20"/>
                <w:u w:val="single"/>
              </w:rPr>
              <w:t>Sometimes</w:t>
            </w:r>
          </w:p>
        </w:tc>
        <w:tc>
          <w:tcPr>
            <w:tcW w:w="1035" w:type="dxa"/>
            <w:tcBorders>
              <w:top w:val="double" w:sz="4" w:space="0" w:color="auto"/>
              <w:left w:val="nil"/>
              <w:bottom w:val="nil"/>
              <w:right w:val="nil"/>
            </w:tcBorders>
          </w:tcPr>
          <w:p w14:paraId="374630FF" w14:textId="77777777" w:rsidR="00247505" w:rsidRPr="005F7B0F" w:rsidRDefault="00247505" w:rsidP="001629CC">
            <w:pPr>
              <w:jc w:val="both"/>
              <w:rPr>
                <w:rFonts w:ascii="Times New Roman" w:hAnsi="Times New Roman"/>
                <w:b/>
                <w:sz w:val="20"/>
                <w:szCs w:val="20"/>
                <w:u w:val="single"/>
              </w:rPr>
            </w:pPr>
            <w:r w:rsidRPr="005F7B0F">
              <w:rPr>
                <w:rFonts w:ascii="Times New Roman" w:hAnsi="Times New Roman"/>
                <w:b/>
                <w:sz w:val="20"/>
                <w:szCs w:val="20"/>
                <w:u w:val="single"/>
              </w:rPr>
              <w:t>Always</w:t>
            </w:r>
          </w:p>
        </w:tc>
        <w:tc>
          <w:tcPr>
            <w:tcW w:w="897" w:type="dxa"/>
            <w:tcBorders>
              <w:top w:val="double" w:sz="4" w:space="0" w:color="auto"/>
              <w:left w:val="nil"/>
              <w:bottom w:val="nil"/>
              <w:right w:val="nil"/>
            </w:tcBorders>
          </w:tcPr>
          <w:p w14:paraId="1AD288A5" w14:textId="77777777" w:rsidR="00247505" w:rsidRPr="005F7B0F" w:rsidRDefault="00247505" w:rsidP="001629CC">
            <w:pPr>
              <w:jc w:val="both"/>
              <w:rPr>
                <w:rFonts w:ascii="Times New Roman" w:hAnsi="Times New Roman"/>
                <w:b/>
                <w:sz w:val="20"/>
                <w:szCs w:val="20"/>
                <w:u w:val="single"/>
              </w:rPr>
            </w:pPr>
            <w:r w:rsidRPr="005F7B0F">
              <w:rPr>
                <w:rFonts w:ascii="Times New Roman" w:hAnsi="Times New Roman"/>
                <w:b/>
                <w:sz w:val="20"/>
                <w:szCs w:val="20"/>
                <w:u w:val="single"/>
              </w:rPr>
              <w:t>P-Value</w:t>
            </w:r>
          </w:p>
        </w:tc>
      </w:tr>
      <w:tr w:rsidR="00247505" w:rsidRPr="005F7B0F" w14:paraId="42D34E3C" w14:textId="77777777" w:rsidTr="001629CC">
        <w:trPr>
          <w:gridAfter w:val="1"/>
          <w:wAfter w:w="63" w:type="dxa"/>
        </w:trPr>
        <w:tc>
          <w:tcPr>
            <w:tcW w:w="3133" w:type="dxa"/>
            <w:tcBorders>
              <w:top w:val="nil"/>
              <w:left w:val="nil"/>
              <w:bottom w:val="nil"/>
              <w:right w:val="nil"/>
            </w:tcBorders>
          </w:tcPr>
          <w:p w14:paraId="7EF694BE" w14:textId="77777777" w:rsidR="00247505" w:rsidRPr="005F7B0F" w:rsidRDefault="00247505" w:rsidP="001629CC">
            <w:pPr>
              <w:spacing w:before="120"/>
              <w:jc w:val="both"/>
              <w:rPr>
                <w:rFonts w:ascii="Times New Roman" w:hAnsi="Times New Roman"/>
                <w:sz w:val="20"/>
                <w:szCs w:val="20"/>
                <w:u w:val="single"/>
              </w:rPr>
            </w:pPr>
            <w:r w:rsidRPr="005F7B0F">
              <w:rPr>
                <w:rFonts w:ascii="Times New Roman" w:hAnsi="Times New Roman"/>
                <w:sz w:val="20"/>
                <w:szCs w:val="20"/>
                <w:u w:val="single"/>
              </w:rPr>
              <w:t>BMI Category (%)</w:t>
            </w:r>
          </w:p>
        </w:tc>
        <w:tc>
          <w:tcPr>
            <w:tcW w:w="1170" w:type="dxa"/>
            <w:tcBorders>
              <w:top w:val="nil"/>
              <w:left w:val="nil"/>
              <w:bottom w:val="nil"/>
              <w:right w:val="nil"/>
            </w:tcBorders>
          </w:tcPr>
          <w:p w14:paraId="54B53415" w14:textId="77777777" w:rsidR="00247505" w:rsidRPr="005F7B0F" w:rsidRDefault="00247505" w:rsidP="001629CC">
            <w:pPr>
              <w:spacing w:before="120"/>
              <w:jc w:val="both"/>
              <w:rPr>
                <w:rFonts w:ascii="Times New Roman" w:hAnsi="Times New Roman"/>
                <w:sz w:val="20"/>
                <w:szCs w:val="20"/>
              </w:rPr>
            </w:pPr>
          </w:p>
        </w:tc>
        <w:tc>
          <w:tcPr>
            <w:tcW w:w="1215" w:type="dxa"/>
            <w:tcBorders>
              <w:top w:val="nil"/>
              <w:left w:val="nil"/>
              <w:bottom w:val="nil"/>
              <w:right w:val="nil"/>
            </w:tcBorders>
          </w:tcPr>
          <w:p w14:paraId="469BFB98" w14:textId="77777777" w:rsidR="00247505" w:rsidRPr="005F7B0F" w:rsidRDefault="00247505" w:rsidP="001629CC">
            <w:pPr>
              <w:spacing w:before="120"/>
              <w:jc w:val="both"/>
              <w:rPr>
                <w:rFonts w:ascii="Times New Roman" w:hAnsi="Times New Roman"/>
                <w:sz w:val="20"/>
                <w:szCs w:val="20"/>
              </w:rPr>
            </w:pPr>
          </w:p>
        </w:tc>
        <w:tc>
          <w:tcPr>
            <w:tcW w:w="1035" w:type="dxa"/>
            <w:tcBorders>
              <w:top w:val="nil"/>
              <w:left w:val="nil"/>
              <w:bottom w:val="nil"/>
              <w:right w:val="nil"/>
            </w:tcBorders>
          </w:tcPr>
          <w:p w14:paraId="690FDA9F" w14:textId="77777777" w:rsidR="00247505" w:rsidRPr="005F7B0F" w:rsidRDefault="00247505" w:rsidP="001629CC">
            <w:pPr>
              <w:spacing w:before="120"/>
              <w:jc w:val="both"/>
              <w:rPr>
                <w:rFonts w:ascii="Times New Roman" w:hAnsi="Times New Roman"/>
                <w:sz w:val="20"/>
                <w:szCs w:val="20"/>
              </w:rPr>
            </w:pPr>
          </w:p>
        </w:tc>
        <w:tc>
          <w:tcPr>
            <w:tcW w:w="897" w:type="dxa"/>
            <w:tcBorders>
              <w:top w:val="nil"/>
              <w:left w:val="nil"/>
              <w:bottom w:val="nil"/>
              <w:right w:val="nil"/>
            </w:tcBorders>
          </w:tcPr>
          <w:p w14:paraId="2042EEE3" w14:textId="77777777" w:rsidR="00247505" w:rsidRPr="005F7B0F" w:rsidRDefault="00247505" w:rsidP="001629CC">
            <w:pPr>
              <w:spacing w:before="120"/>
              <w:jc w:val="both"/>
              <w:rPr>
                <w:rFonts w:ascii="Times New Roman" w:hAnsi="Times New Roman"/>
                <w:sz w:val="20"/>
                <w:szCs w:val="20"/>
                <w:vertAlign w:val="superscript"/>
              </w:rPr>
            </w:pPr>
            <w:r w:rsidRPr="005F7B0F">
              <w:rPr>
                <w:rFonts w:ascii="Times New Roman" w:hAnsi="Times New Roman"/>
                <w:sz w:val="20"/>
                <w:szCs w:val="20"/>
              </w:rPr>
              <w:t>0.015</w:t>
            </w:r>
            <w:r w:rsidRPr="005F7B0F">
              <w:rPr>
                <w:rFonts w:ascii="Times New Roman" w:hAnsi="Times New Roman"/>
                <w:sz w:val="20"/>
                <w:szCs w:val="20"/>
                <w:vertAlign w:val="superscript"/>
              </w:rPr>
              <w:t>b</w:t>
            </w:r>
          </w:p>
        </w:tc>
      </w:tr>
      <w:tr w:rsidR="00247505" w:rsidRPr="005F7B0F" w14:paraId="69EAD759" w14:textId="77777777" w:rsidTr="001629CC">
        <w:trPr>
          <w:gridAfter w:val="1"/>
          <w:wAfter w:w="63" w:type="dxa"/>
        </w:trPr>
        <w:tc>
          <w:tcPr>
            <w:tcW w:w="3133" w:type="dxa"/>
            <w:tcBorders>
              <w:top w:val="nil"/>
              <w:left w:val="nil"/>
              <w:bottom w:val="nil"/>
              <w:right w:val="nil"/>
            </w:tcBorders>
          </w:tcPr>
          <w:p w14:paraId="3F6D307C"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Normal </w:t>
            </w:r>
          </w:p>
        </w:tc>
        <w:tc>
          <w:tcPr>
            <w:tcW w:w="1170" w:type="dxa"/>
            <w:tcBorders>
              <w:top w:val="nil"/>
              <w:left w:val="nil"/>
              <w:bottom w:val="nil"/>
              <w:right w:val="nil"/>
            </w:tcBorders>
          </w:tcPr>
          <w:p w14:paraId="5AE9D2F9"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78.5 ± 2.2</w:t>
            </w:r>
          </w:p>
        </w:tc>
        <w:tc>
          <w:tcPr>
            <w:tcW w:w="1215" w:type="dxa"/>
            <w:tcBorders>
              <w:top w:val="nil"/>
              <w:left w:val="nil"/>
              <w:bottom w:val="nil"/>
              <w:right w:val="nil"/>
            </w:tcBorders>
          </w:tcPr>
          <w:p w14:paraId="574F70B3" w14:textId="77777777" w:rsidR="00247505" w:rsidRPr="005F7B0F" w:rsidRDefault="00247505" w:rsidP="001629CC">
            <w:pPr>
              <w:jc w:val="both"/>
              <w:rPr>
                <w:sz w:val="20"/>
                <w:szCs w:val="20"/>
              </w:rPr>
            </w:pPr>
            <w:r w:rsidRPr="005F7B0F">
              <w:rPr>
                <w:rFonts w:ascii="Times New Roman" w:hAnsi="Times New Roman"/>
                <w:sz w:val="20"/>
                <w:szCs w:val="20"/>
              </w:rPr>
              <w:t>18.1 ± 1.8</w:t>
            </w:r>
          </w:p>
        </w:tc>
        <w:tc>
          <w:tcPr>
            <w:tcW w:w="1035" w:type="dxa"/>
            <w:tcBorders>
              <w:top w:val="nil"/>
              <w:left w:val="nil"/>
              <w:bottom w:val="nil"/>
              <w:right w:val="nil"/>
            </w:tcBorders>
          </w:tcPr>
          <w:p w14:paraId="1DA35F7E" w14:textId="77777777" w:rsidR="00247505" w:rsidRPr="005F7B0F" w:rsidRDefault="00247505" w:rsidP="001629CC">
            <w:pPr>
              <w:jc w:val="both"/>
              <w:rPr>
                <w:sz w:val="20"/>
                <w:szCs w:val="20"/>
              </w:rPr>
            </w:pPr>
            <w:r w:rsidRPr="005F7B0F">
              <w:rPr>
                <w:rFonts w:ascii="Times New Roman" w:hAnsi="Times New Roman"/>
                <w:sz w:val="20"/>
                <w:szCs w:val="20"/>
              </w:rPr>
              <w:t xml:space="preserve">  3.5 ± 1.0</w:t>
            </w:r>
          </w:p>
        </w:tc>
        <w:tc>
          <w:tcPr>
            <w:tcW w:w="897" w:type="dxa"/>
            <w:tcBorders>
              <w:top w:val="nil"/>
              <w:left w:val="nil"/>
              <w:bottom w:val="nil"/>
              <w:right w:val="nil"/>
            </w:tcBorders>
          </w:tcPr>
          <w:p w14:paraId="1F931DCC" w14:textId="77777777" w:rsidR="00247505" w:rsidRPr="005F7B0F" w:rsidRDefault="00247505" w:rsidP="001629CC">
            <w:pPr>
              <w:jc w:val="both"/>
              <w:rPr>
                <w:rFonts w:ascii="Times New Roman" w:hAnsi="Times New Roman"/>
                <w:sz w:val="20"/>
                <w:szCs w:val="20"/>
              </w:rPr>
            </w:pPr>
          </w:p>
        </w:tc>
      </w:tr>
      <w:tr w:rsidR="00247505" w:rsidRPr="005F7B0F" w14:paraId="6E9D875E" w14:textId="77777777" w:rsidTr="001629CC">
        <w:trPr>
          <w:gridAfter w:val="1"/>
          <w:wAfter w:w="63" w:type="dxa"/>
        </w:trPr>
        <w:tc>
          <w:tcPr>
            <w:tcW w:w="3133" w:type="dxa"/>
            <w:tcBorders>
              <w:top w:val="nil"/>
              <w:left w:val="nil"/>
              <w:bottom w:val="nil"/>
              <w:right w:val="nil"/>
            </w:tcBorders>
          </w:tcPr>
          <w:p w14:paraId="71547308"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Overweight</w:t>
            </w:r>
          </w:p>
        </w:tc>
        <w:tc>
          <w:tcPr>
            <w:tcW w:w="1170" w:type="dxa"/>
            <w:tcBorders>
              <w:top w:val="nil"/>
              <w:left w:val="nil"/>
              <w:bottom w:val="nil"/>
              <w:right w:val="nil"/>
            </w:tcBorders>
          </w:tcPr>
          <w:p w14:paraId="4FCDE3DB" w14:textId="77777777" w:rsidR="00247505" w:rsidRPr="005F7B0F" w:rsidRDefault="00247505" w:rsidP="001629CC">
            <w:pPr>
              <w:jc w:val="both"/>
              <w:rPr>
                <w:sz w:val="20"/>
                <w:szCs w:val="20"/>
              </w:rPr>
            </w:pPr>
            <w:r w:rsidRPr="005F7B0F">
              <w:rPr>
                <w:rFonts w:ascii="Times New Roman" w:hAnsi="Times New Roman"/>
                <w:sz w:val="20"/>
                <w:szCs w:val="20"/>
              </w:rPr>
              <w:t>74.9 ± 2.0</w:t>
            </w:r>
          </w:p>
        </w:tc>
        <w:tc>
          <w:tcPr>
            <w:tcW w:w="1215" w:type="dxa"/>
            <w:tcBorders>
              <w:top w:val="nil"/>
              <w:left w:val="nil"/>
              <w:bottom w:val="nil"/>
              <w:right w:val="nil"/>
            </w:tcBorders>
          </w:tcPr>
          <w:p w14:paraId="28AB1C68" w14:textId="77777777" w:rsidR="00247505" w:rsidRPr="005F7B0F" w:rsidRDefault="00247505" w:rsidP="001629CC">
            <w:pPr>
              <w:jc w:val="both"/>
              <w:rPr>
                <w:sz w:val="20"/>
                <w:szCs w:val="20"/>
              </w:rPr>
            </w:pPr>
            <w:r w:rsidRPr="005F7B0F">
              <w:rPr>
                <w:rFonts w:ascii="Times New Roman" w:hAnsi="Times New Roman"/>
                <w:sz w:val="20"/>
                <w:szCs w:val="20"/>
              </w:rPr>
              <w:t>20.1 ± 1.6</w:t>
            </w:r>
          </w:p>
        </w:tc>
        <w:tc>
          <w:tcPr>
            <w:tcW w:w="1035" w:type="dxa"/>
            <w:tcBorders>
              <w:top w:val="nil"/>
              <w:left w:val="nil"/>
              <w:bottom w:val="nil"/>
              <w:right w:val="nil"/>
            </w:tcBorders>
          </w:tcPr>
          <w:p w14:paraId="476D7F13" w14:textId="77777777" w:rsidR="00247505" w:rsidRPr="005F7B0F" w:rsidRDefault="00247505" w:rsidP="001629CC">
            <w:pPr>
              <w:jc w:val="both"/>
              <w:rPr>
                <w:sz w:val="20"/>
                <w:szCs w:val="20"/>
              </w:rPr>
            </w:pPr>
            <w:r w:rsidRPr="005F7B0F">
              <w:rPr>
                <w:rFonts w:ascii="Times New Roman" w:hAnsi="Times New Roman"/>
                <w:sz w:val="20"/>
                <w:szCs w:val="20"/>
              </w:rPr>
              <w:t xml:space="preserve">  5.0 ± 1.2</w:t>
            </w:r>
          </w:p>
        </w:tc>
        <w:tc>
          <w:tcPr>
            <w:tcW w:w="897" w:type="dxa"/>
            <w:tcBorders>
              <w:top w:val="nil"/>
              <w:left w:val="nil"/>
              <w:bottom w:val="nil"/>
              <w:right w:val="nil"/>
            </w:tcBorders>
          </w:tcPr>
          <w:p w14:paraId="4EB0C5B5" w14:textId="77777777" w:rsidR="00247505" w:rsidRPr="005F7B0F" w:rsidRDefault="00247505" w:rsidP="001629CC">
            <w:pPr>
              <w:jc w:val="both"/>
              <w:rPr>
                <w:rFonts w:ascii="Times New Roman" w:hAnsi="Times New Roman"/>
                <w:sz w:val="20"/>
                <w:szCs w:val="20"/>
              </w:rPr>
            </w:pPr>
          </w:p>
        </w:tc>
      </w:tr>
      <w:tr w:rsidR="00247505" w:rsidRPr="005F7B0F" w14:paraId="74EDA1D1" w14:textId="77777777" w:rsidTr="001629CC">
        <w:trPr>
          <w:gridAfter w:val="1"/>
          <w:wAfter w:w="63" w:type="dxa"/>
        </w:trPr>
        <w:tc>
          <w:tcPr>
            <w:tcW w:w="3133" w:type="dxa"/>
            <w:tcBorders>
              <w:top w:val="nil"/>
              <w:left w:val="nil"/>
              <w:bottom w:val="nil"/>
              <w:right w:val="nil"/>
            </w:tcBorders>
          </w:tcPr>
          <w:p w14:paraId="2C5F2074"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Obese I</w:t>
            </w:r>
          </w:p>
        </w:tc>
        <w:tc>
          <w:tcPr>
            <w:tcW w:w="1170" w:type="dxa"/>
            <w:tcBorders>
              <w:top w:val="nil"/>
              <w:left w:val="nil"/>
              <w:bottom w:val="nil"/>
              <w:right w:val="nil"/>
            </w:tcBorders>
          </w:tcPr>
          <w:p w14:paraId="586CCCFE" w14:textId="77777777" w:rsidR="00247505" w:rsidRPr="005F7B0F" w:rsidRDefault="00247505" w:rsidP="001629CC">
            <w:pPr>
              <w:jc w:val="both"/>
              <w:rPr>
                <w:sz w:val="20"/>
                <w:szCs w:val="20"/>
              </w:rPr>
            </w:pPr>
            <w:r w:rsidRPr="005F7B0F">
              <w:rPr>
                <w:rFonts w:ascii="Times New Roman" w:hAnsi="Times New Roman"/>
                <w:sz w:val="20"/>
                <w:szCs w:val="20"/>
              </w:rPr>
              <w:t>72.2 ± 2.5</w:t>
            </w:r>
          </w:p>
        </w:tc>
        <w:tc>
          <w:tcPr>
            <w:tcW w:w="1215" w:type="dxa"/>
            <w:tcBorders>
              <w:top w:val="nil"/>
              <w:left w:val="nil"/>
              <w:bottom w:val="nil"/>
              <w:right w:val="nil"/>
            </w:tcBorders>
          </w:tcPr>
          <w:p w14:paraId="610117B8" w14:textId="77777777" w:rsidR="00247505" w:rsidRPr="005F7B0F" w:rsidRDefault="00247505" w:rsidP="001629CC">
            <w:pPr>
              <w:jc w:val="both"/>
              <w:rPr>
                <w:sz w:val="20"/>
                <w:szCs w:val="20"/>
              </w:rPr>
            </w:pPr>
            <w:r w:rsidRPr="005F7B0F">
              <w:rPr>
                <w:rFonts w:ascii="Times New Roman" w:hAnsi="Times New Roman"/>
                <w:sz w:val="20"/>
                <w:szCs w:val="20"/>
              </w:rPr>
              <w:t>21.5 ± 1.9</w:t>
            </w:r>
          </w:p>
        </w:tc>
        <w:tc>
          <w:tcPr>
            <w:tcW w:w="1035" w:type="dxa"/>
            <w:tcBorders>
              <w:top w:val="nil"/>
              <w:left w:val="nil"/>
              <w:bottom w:val="nil"/>
              <w:right w:val="nil"/>
            </w:tcBorders>
          </w:tcPr>
          <w:p w14:paraId="01F7D9D2" w14:textId="77777777" w:rsidR="00247505" w:rsidRPr="005F7B0F" w:rsidRDefault="00247505" w:rsidP="001629CC">
            <w:pPr>
              <w:jc w:val="both"/>
              <w:rPr>
                <w:sz w:val="20"/>
                <w:szCs w:val="20"/>
              </w:rPr>
            </w:pPr>
            <w:r w:rsidRPr="005F7B0F">
              <w:rPr>
                <w:rFonts w:ascii="Times New Roman" w:hAnsi="Times New Roman"/>
                <w:sz w:val="20"/>
                <w:szCs w:val="20"/>
              </w:rPr>
              <w:t xml:space="preserve">  6.3 ± 1.3</w:t>
            </w:r>
          </w:p>
        </w:tc>
        <w:tc>
          <w:tcPr>
            <w:tcW w:w="897" w:type="dxa"/>
            <w:tcBorders>
              <w:top w:val="nil"/>
              <w:left w:val="nil"/>
              <w:bottom w:val="nil"/>
              <w:right w:val="nil"/>
            </w:tcBorders>
          </w:tcPr>
          <w:p w14:paraId="1C6BF6F4" w14:textId="77777777" w:rsidR="00247505" w:rsidRPr="005F7B0F" w:rsidRDefault="00247505" w:rsidP="001629CC">
            <w:pPr>
              <w:jc w:val="both"/>
              <w:rPr>
                <w:rFonts w:ascii="Times New Roman" w:hAnsi="Times New Roman"/>
                <w:sz w:val="20"/>
                <w:szCs w:val="20"/>
              </w:rPr>
            </w:pPr>
          </w:p>
        </w:tc>
      </w:tr>
      <w:tr w:rsidR="00247505" w:rsidRPr="005F7B0F" w14:paraId="39493013" w14:textId="77777777" w:rsidTr="001629CC">
        <w:trPr>
          <w:gridAfter w:val="1"/>
          <w:wAfter w:w="63" w:type="dxa"/>
        </w:trPr>
        <w:tc>
          <w:tcPr>
            <w:tcW w:w="3133" w:type="dxa"/>
            <w:tcBorders>
              <w:top w:val="nil"/>
              <w:left w:val="nil"/>
              <w:bottom w:val="nil"/>
              <w:right w:val="nil"/>
            </w:tcBorders>
          </w:tcPr>
          <w:p w14:paraId="5B65C217"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Obese II</w:t>
            </w:r>
          </w:p>
        </w:tc>
        <w:tc>
          <w:tcPr>
            <w:tcW w:w="1170" w:type="dxa"/>
            <w:tcBorders>
              <w:top w:val="nil"/>
              <w:left w:val="nil"/>
              <w:bottom w:val="nil"/>
              <w:right w:val="nil"/>
            </w:tcBorders>
          </w:tcPr>
          <w:p w14:paraId="69D3CD3C" w14:textId="77777777" w:rsidR="00247505" w:rsidRPr="005F7B0F" w:rsidRDefault="00247505" w:rsidP="001629CC">
            <w:pPr>
              <w:jc w:val="both"/>
              <w:rPr>
                <w:sz w:val="20"/>
                <w:szCs w:val="20"/>
              </w:rPr>
            </w:pPr>
            <w:r w:rsidRPr="005F7B0F">
              <w:rPr>
                <w:rFonts w:ascii="Times New Roman" w:hAnsi="Times New Roman"/>
                <w:sz w:val="20"/>
                <w:szCs w:val="20"/>
              </w:rPr>
              <w:t>70.0 ± 3.0</w:t>
            </w:r>
          </w:p>
        </w:tc>
        <w:tc>
          <w:tcPr>
            <w:tcW w:w="1215" w:type="dxa"/>
            <w:tcBorders>
              <w:top w:val="nil"/>
              <w:left w:val="nil"/>
              <w:bottom w:val="nil"/>
              <w:right w:val="nil"/>
            </w:tcBorders>
          </w:tcPr>
          <w:p w14:paraId="7D7571AD" w14:textId="77777777" w:rsidR="00247505" w:rsidRPr="005F7B0F" w:rsidRDefault="00247505" w:rsidP="001629CC">
            <w:pPr>
              <w:jc w:val="both"/>
              <w:rPr>
                <w:sz w:val="20"/>
                <w:szCs w:val="20"/>
              </w:rPr>
            </w:pPr>
            <w:r w:rsidRPr="005F7B0F">
              <w:rPr>
                <w:rFonts w:ascii="Times New Roman" w:hAnsi="Times New Roman"/>
                <w:sz w:val="20"/>
                <w:szCs w:val="20"/>
              </w:rPr>
              <w:t>22.8 ± 3.1</w:t>
            </w:r>
          </w:p>
        </w:tc>
        <w:tc>
          <w:tcPr>
            <w:tcW w:w="1035" w:type="dxa"/>
            <w:tcBorders>
              <w:top w:val="nil"/>
              <w:left w:val="nil"/>
              <w:bottom w:val="nil"/>
              <w:right w:val="nil"/>
            </w:tcBorders>
          </w:tcPr>
          <w:p w14:paraId="1D96F5DB" w14:textId="77777777" w:rsidR="00247505" w:rsidRPr="005F7B0F" w:rsidRDefault="00247505" w:rsidP="001629CC">
            <w:pPr>
              <w:jc w:val="both"/>
              <w:rPr>
                <w:sz w:val="20"/>
                <w:szCs w:val="20"/>
              </w:rPr>
            </w:pPr>
            <w:r w:rsidRPr="005F7B0F">
              <w:rPr>
                <w:rFonts w:ascii="Times New Roman" w:hAnsi="Times New Roman"/>
                <w:sz w:val="20"/>
                <w:szCs w:val="20"/>
              </w:rPr>
              <w:t xml:space="preserve">  7.2 ± 1.4</w:t>
            </w:r>
          </w:p>
        </w:tc>
        <w:tc>
          <w:tcPr>
            <w:tcW w:w="897" w:type="dxa"/>
            <w:tcBorders>
              <w:top w:val="nil"/>
              <w:left w:val="nil"/>
              <w:bottom w:val="nil"/>
              <w:right w:val="nil"/>
            </w:tcBorders>
          </w:tcPr>
          <w:p w14:paraId="43629DB6" w14:textId="77777777" w:rsidR="00247505" w:rsidRPr="005F7B0F" w:rsidRDefault="00247505" w:rsidP="001629CC">
            <w:pPr>
              <w:jc w:val="both"/>
              <w:rPr>
                <w:rFonts w:ascii="Times New Roman" w:hAnsi="Times New Roman"/>
                <w:sz w:val="20"/>
                <w:szCs w:val="20"/>
              </w:rPr>
            </w:pPr>
          </w:p>
        </w:tc>
      </w:tr>
      <w:tr w:rsidR="00247505" w:rsidRPr="005F7B0F" w14:paraId="653B66D8" w14:textId="77777777" w:rsidTr="001629CC">
        <w:trPr>
          <w:gridAfter w:val="1"/>
          <w:wAfter w:w="63" w:type="dxa"/>
        </w:trPr>
        <w:tc>
          <w:tcPr>
            <w:tcW w:w="3133" w:type="dxa"/>
            <w:tcBorders>
              <w:top w:val="nil"/>
              <w:left w:val="nil"/>
              <w:bottom w:val="nil"/>
              <w:right w:val="nil"/>
            </w:tcBorders>
          </w:tcPr>
          <w:p w14:paraId="47C62464"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Obese III</w:t>
            </w:r>
          </w:p>
        </w:tc>
        <w:tc>
          <w:tcPr>
            <w:tcW w:w="1170" w:type="dxa"/>
            <w:tcBorders>
              <w:top w:val="nil"/>
              <w:left w:val="nil"/>
              <w:bottom w:val="nil"/>
              <w:right w:val="nil"/>
            </w:tcBorders>
          </w:tcPr>
          <w:p w14:paraId="176EE1DA" w14:textId="77777777" w:rsidR="00247505" w:rsidRPr="005F7B0F" w:rsidRDefault="00247505" w:rsidP="001629CC">
            <w:pPr>
              <w:jc w:val="both"/>
              <w:rPr>
                <w:sz w:val="20"/>
                <w:szCs w:val="20"/>
              </w:rPr>
            </w:pPr>
            <w:r w:rsidRPr="005F7B0F">
              <w:rPr>
                <w:rFonts w:ascii="Times New Roman" w:hAnsi="Times New Roman"/>
                <w:sz w:val="20"/>
                <w:szCs w:val="20"/>
              </w:rPr>
              <w:t>62.3 ± 2.7</w:t>
            </w:r>
          </w:p>
        </w:tc>
        <w:tc>
          <w:tcPr>
            <w:tcW w:w="1215" w:type="dxa"/>
            <w:tcBorders>
              <w:top w:val="nil"/>
              <w:left w:val="nil"/>
              <w:bottom w:val="nil"/>
              <w:right w:val="nil"/>
            </w:tcBorders>
          </w:tcPr>
          <w:p w14:paraId="13DB33A7" w14:textId="77777777" w:rsidR="00247505" w:rsidRPr="005F7B0F" w:rsidRDefault="00247505" w:rsidP="001629CC">
            <w:pPr>
              <w:jc w:val="both"/>
              <w:rPr>
                <w:sz w:val="20"/>
                <w:szCs w:val="20"/>
              </w:rPr>
            </w:pPr>
            <w:r w:rsidRPr="005F7B0F">
              <w:rPr>
                <w:rFonts w:ascii="Times New Roman" w:hAnsi="Times New Roman"/>
                <w:sz w:val="20"/>
                <w:szCs w:val="20"/>
              </w:rPr>
              <w:t>24.7 ± 2.8</w:t>
            </w:r>
          </w:p>
        </w:tc>
        <w:tc>
          <w:tcPr>
            <w:tcW w:w="1035" w:type="dxa"/>
            <w:tcBorders>
              <w:top w:val="nil"/>
              <w:left w:val="nil"/>
              <w:bottom w:val="nil"/>
              <w:right w:val="nil"/>
            </w:tcBorders>
          </w:tcPr>
          <w:p w14:paraId="5B593DC5" w14:textId="77777777" w:rsidR="00247505" w:rsidRPr="005F7B0F" w:rsidRDefault="00247505" w:rsidP="001629CC">
            <w:pPr>
              <w:jc w:val="both"/>
              <w:rPr>
                <w:sz w:val="20"/>
                <w:szCs w:val="20"/>
              </w:rPr>
            </w:pPr>
            <w:r w:rsidRPr="005F7B0F">
              <w:rPr>
                <w:rFonts w:ascii="Times New Roman" w:hAnsi="Times New Roman"/>
                <w:sz w:val="20"/>
                <w:szCs w:val="20"/>
              </w:rPr>
              <w:t>13.0 ± 2.4</w:t>
            </w:r>
          </w:p>
        </w:tc>
        <w:tc>
          <w:tcPr>
            <w:tcW w:w="897" w:type="dxa"/>
            <w:tcBorders>
              <w:top w:val="nil"/>
              <w:left w:val="nil"/>
              <w:bottom w:val="nil"/>
              <w:right w:val="nil"/>
            </w:tcBorders>
          </w:tcPr>
          <w:p w14:paraId="09A39FF0" w14:textId="77777777" w:rsidR="00247505" w:rsidRPr="005F7B0F" w:rsidRDefault="00247505" w:rsidP="001629CC">
            <w:pPr>
              <w:jc w:val="both"/>
              <w:rPr>
                <w:rFonts w:ascii="Times New Roman" w:hAnsi="Times New Roman"/>
                <w:sz w:val="20"/>
                <w:szCs w:val="20"/>
              </w:rPr>
            </w:pPr>
          </w:p>
        </w:tc>
      </w:tr>
      <w:tr w:rsidR="00247505" w:rsidRPr="005F7B0F" w14:paraId="08AC8FCC" w14:textId="77777777" w:rsidTr="001629CC">
        <w:trPr>
          <w:gridAfter w:val="1"/>
          <w:wAfter w:w="63" w:type="dxa"/>
        </w:trPr>
        <w:tc>
          <w:tcPr>
            <w:tcW w:w="3133" w:type="dxa"/>
            <w:tcBorders>
              <w:top w:val="nil"/>
              <w:left w:val="nil"/>
              <w:bottom w:val="nil"/>
              <w:right w:val="nil"/>
            </w:tcBorders>
          </w:tcPr>
          <w:p w14:paraId="32E55033" w14:textId="77777777" w:rsidR="00247505" w:rsidRPr="005F7B0F" w:rsidRDefault="00247505" w:rsidP="001629CC">
            <w:pPr>
              <w:spacing w:before="120"/>
              <w:jc w:val="both"/>
              <w:rPr>
                <w:rFonts w:ascii="Times New Roman" w:hAnsi="Times New Roman"/>
                <w:sz w:val="20"/>
                <w:szCs w:val="20"/>
                <w:u w:val="single"/>
              </w:rPr>
            </w:pPr>
            <w:r w:rsidRPr="005F7B0F">
              <w:rPr>
                <w:rFonts w:ascii="Times New Roman" w:hAnsi="Times New Roman"/>
                <w:sz w:val="20"/>
                <w:szCs w:val="20"/>
                <w:u w:val="single"/>
              </w:rPr>
              <w:t>Total Physical Activity (%)</w:t>
            </w:r>
          </w:p>
        </w:tc>
        <w:tc>
          <w:tcPr>
            <w:tcW w:w="1170" w:type="dxa"/>
            <w:tcBorders>
              <w:top w:val="nil"/>
              <w:left w:val="nil"/>
              <w:bottom w:val="nil"/>
              <w:right w:val="nil"/>
            </w:tcBorders>
          </w:tcPr>
          <w:p w14:paraId="2242854D" w14:textId="77777777" w:rsidR="00247505" w:rsidRPr="005F7B0F" w:rsidRDefault="00247505" w:rsidP="001629CC">
            <w:pPr>
              <w:spacing w:before="120"/>
              <w:jc w:val="both"/>
              <w:rPr>
                <w:rFonts w:ascii="Times New Roman" w:hAnsi="Times New Roman"/>
                <w:sz w:val="20"/>
                <w:szCs w:val="20"/>
              </w:rPr>
            </w:pPr>
          </w:p>
        </w:tc>
        <w:tc>
          <w:tcPr>
            <w:tcW w:w="1215" w:type="dxa"/>
            <w:tcBorders>
              <w:top w:val="nil"/>
              <w:left w:val="nil"/>
              <w:bottom w:val="nil"/>
              <w:right w:val="nil"/>
            </w:tcBorders>
          </w:tcPr>
          <w:p w14:paraId="6D00AD77" w14:textId="77777777" w:rsidR="00247505" w:rsidRPr="005F7B0F" w:rsidRDefault="00247505" w:rsidP="001629CC">
            <w:pPr>
              <w:spacing w:before="120"/>
              <w:jc w:val="both"/>
              <w:rPr>
                <w:rFonts w:ascii="Times New Roman" w:hAnsi="Times New Roman"/>
                <w:sz w:val="20"/>
                <w:szCs w:val="20"/>
              </w:rPr>
            </w:pPr>
          </w:p>
        </w:tc>
        <w:tc>
          <w:tcPr>
            <w:tcW w:w="1035" w:type="dxa"/>
            <w:tcBorders>
              <w:top w:val="nil"/>
              <w:left w:val="nil"/>
              <w:bottom w:val="nil"/>
              <w:right w:val="nil"/>
            </w:tcBorders>
          </w:tcPr>
          <w:p w14:paraId="4E0BADE8" w14:textId="77777777" w:rsidR="00247505" w:rsidRPr="005F7B0F" w:rsidRDefault="00247505" w:rsidP="001629CC">
            <w:pPr>
              <w:spacing w:before="120"/>
              <w:jc w:val="both"/>
              <w:rPr>
                <w:rFonts w:ascii="Times New Roman" w:hAnsi="Times New Roman"/>
                <w:sz w:val="20"/>
                <w:szCs w:val="20"/>
              </w:rPr>
            </w:pPr>
          </w:p>
        </w:tc>
        <w:tc>
          <w:tcPr>
            <w:tcW w:w="897" w:type="dxa"/>
            <w:tcBorders>
              <w:top w:val="nil"/>
              <w:left w:val="nil"/>
              <w:bottom w:val="nil"/>
              <w:right w:val="nil"/>
            </w:tcBorders>
          </w:tcPr>
          <w:p w14:paraId="311B8AE7" w14:textId="77777777" w:rsidR="00247505" w:rsidRPr="005F7B0F" w:rsidRDefault="00247505" w:rsidP="001629CC">
            <w:pPr>
              <w:spacing w:before="120"/>
              <w:jc w:val="both"/>
              <w:rPr>
                <w:rFonts w:ascii="Times New Roman" w:hAnsi="Times New Roman"/>
                <w:sz w:val="20"/>
                <w:szCs w:val="20"/>
              </w:rPr>
            </w:pPr>
            <w:r w:rsidRPr="005F7B0F">
              <w:rPr>
                <w:rFonts w:ascii="Times New Roman" w:hAnsi="Times New Roman"/>
                <w:sz w:val="20"/>
                <w:szCs w:val="20"/>
              </w:rPr>
              <w:t>&lt;0.001</w:t>
            </w:r>
            <w:r w:rsidRPr="005F7B0F">
              <w:rPr>
                <w:rFonts w:ascii="Times New Roman" w:hAnsi="Times New Roman"/>
                <w:sz w:val="20"/>
                <w:szCs w:val="20"/>
                <w:vertAlign w:val="superscript"/>
              </w:rPr>
              <w:t>b</w:t>
            </w:r>
          </w:p>
        </w:tc>
      </w:tr>
      <w:tr w:rsidR="00247505" w:rsidRPr="005F7B0F" w14:paraId="49A39777" w14:textId="77777777" w:rsidTr="001629CC">
        <w:trPr>
          <w:gridAfter w:val="1"/>
          <w:wAfter w:w="63" w:type="dxa"/>
        </w:trPr>
        <w:tc>
          <w:tcPr>
            <w:tcW w:w="3133" w:type="dxa"/>
            <w:tcBorders>
              <w:top w:val="nil"/>
              <w:left w:val="nil"/>
              <w:bottom w:val="nil"/>
              <w:right w:val="nil"/>
            </w:tcBorders>
          </w:tcPr>
          <w:p w14:paraId="5F152A59"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Insufficient</w:t>
            </w:r>
          </w:p>
        </w:tc>
        <w:tc>
          <w:tcPr>
            <w:tcW w:w="1170" w:type="dxa"/>
            <w:tcBorders>
              <w:top w:val="nil"/>
              <w:left w:val="nil"/>
              <w:bottom w:val="nil"/>
              <w:right w:val="nil"/>
            </w:tcBorders>
          </w:tcPr>
          <w:p w14:paraId="4A067CBC" w14:textId="77777777" w:rsidR="00247505" w:rsidRPr="005F7B0F" w:rsidRDefault="00247505" w:rsidP="001629CC">
            <w:pPr>
              <w:jc w:val="both"/>
              <w:rPr>
                <w:sz w:val="20"/>
                <w:szCs w:val="20"/>
              </w:rPr>
            </w:pPr>
            <w:r w:rsidRPr="005F7B0F">
              <w:rPr>
                <w:rFonts w:ascii="Times New Roman" w:hAnsi="Times New Roman"/>
                <w:sz w:val="20"/>
                <w:szCs w:val="20"/>
              </w:rPr>
              <w:t>69.1 ± 2.0</w:t>
            </w:r>
          </w:p>
        </w:tc>
        <w:tc>
          <w:tcPr>
            <w:tcW w:w="1215" w:type="dxa"/>
            <w:tcBorders>
              <w:top w:val="nil"/>
              <w:left w:val="nil"/>
              <w:bottom w:val="nil"/>
              <w:right w:val="nil"/>
            </w:tcBorders>
          </w:tcPr>
          <w:p w14:paraId="75EC216B" w14:textId="77777777" w:rsidR="00247505" w:rsidRPr="005F7B0F" w:rsidRDefault="00247505" w:rsidP="001629CC">
            <w:pPr>
              <w:jc w:val="both"/>
              <w:rPr>
                <w:sz w:val="20"/>
                <w:szCs w:val="20"/>
              </w:rPr>
            </w:pPr>
            <w:r w:rsidRPr="005F7B0F">
              <w:rPr>
                <w:rFonts w:ascii="Times New Roman" w:hAnsi="Times New Roman"/>
                <w:sz w:val="20"/>
                <w:szCs w:val="20"/>
              </w:rPr>
              <w:t>21.8 ± 1.5</w:t>
            </w:r>
          </w:p>
        </w:tc>
        <w:tc>
          <w:tcPr>
            <w:tcW w:w="1035" w:type="dxa"/>
            <w:tcBorders>
              <w:top w:val="nil"/>
              <w:left w:val="nil"/>
              <w:bottom w:val="nil"/>
              <w:right w:val="nil"/>
            </w:tcBorders>
          </w:tcPr>
          <w:p w14:paraId="7ECB0000" w14:textId="77777777" w:rsidR="00247505" w:rsidRPr="005F7B0F" w:rsidRDefault="00247505" w:rsidP="001629CC">
            <w:pPr>
              <w:jc w:val="both"/>
              <w:rPr>
                <w:sz w:val="20"/>
                <w:szCs w:val="20"/>
              </w:rPr>
            </w:pPr>
            <w:r w:rsidRPr="005F7B0F">
              <w:rPr>
                <w:rFonts w:ascii="Times New Roman" w:hAnsi="Times New Roman"/>
                <w:sz w:val="20"/>
                <w:szCs w:val="20"/>
              </w:rPr>
              <w:t>9.2 ± 0.8</w:t>
            </w:r>
          </w:p>
        </w:tc>
        <w:tc>
          <w:tcPr>
            <w:tcW w:w="897" w:type="dxa"/>
            <w:tcBorders>
              <w:top w:val="nil"/>
              <w:left w:val="nil"/>
              <w:bottom w:val="nil"/>
              <w:right w:val="nil"/>
            </w:tcBorders>
          </w:tcPr>
          <w:p w14:paraId="4CCC0333" w14:textId="77777777" w:rsidR="00247505" w:rsidRPr="005F7B0F" w:rsidRDefault="00247505" w:rsidP="001629CC">
            <w:pPr>
              <w:jc w:val="both"/>
              <w:rPr>
                <w:rFonts w:ascii="Times New Roman" w:hAnsi="Times New Roman"/>
                <w:sz w:val="20"/>
                <w:szCs w:val="20"/>
              </w:rPr>
            </w:pPr>
          </w:p>
        </w:tc>
      </w:tr>
      <w:tr w:rsidR="00247505" w:rsidRPr="005F7B0F" w14:paraId="3E46E2B2" w14:textId="77777777" w:rsidTr="001629CC">
        <w:trPr>
          <w:gridAfter w:val="1"/>
          <w:wAfter w:w="63" w:type="dxa"/>
        </w:trPr>
        <w:tc>
          <w:tcPr>
            <w:tcW w:w="3133" w:type="dxa"/>
            <w:tcBorders>
              <w:top w:val="nil"/>
              <w:left w:val="nil"/>
              <w:bottom w:val="nil"/>
              <w:right w:val="nil"/>
            </w:tcBorders>
          </w:tcPr>
          <w:p w14:paraId="23F68534"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Sufficient (Vigorous Only)</w:t>
            </w:r>
          </w:p>
        </w:tc>
        <w:tc>
          <w:tcPr>
            <w:tcW w:w="1170" w:type="dxa"/>
            <w:tcBorders>
              <w:top w:val="nil"/>
              <w:left w:val="nil"/>
              <w:bottom w:val="nil"/>
              <w:right w:val="nil"/>
            </w:tcBorders>
          </w:tcPr>
          <w:p w14:paraId="4360CE9E" w14:textId="77777777" w:rsidR="00247505" w:rsidRPr="005F7B0F" w:rsidRDefault="00247505" w:rsidP="001629CC">
            <w:pPr>
              <w:jc w:val="both"/>
              <w:rPr>
                <w:sz w:val="20"/>
                <w:szCs w:val="20"/>
              </w:rPr>
            </w:pPr>
            <w:r w:rsidRPr="005F7B0F">
              <w:rPr>
                <w:rFonts w:ascii="Times New Roman" w:hAnsi="Times New Roman"/>
                <w:sz w:val="20"/>
                <w:szCs w:val="20"/>
              </w:rPr>
              <w:t>82.3 ± 1.8</w:t>
            </w:r>
          </w:p>
        </w:tc>
        <w:tc>
          <w:tcPr>
            <w:tcW w:w="1215" w:type="dxa"/>
            <w:tcBorders>
              <w:top w:val="nil"/>
              <w:left w:val="nil"/>
              <w:bottom w:val="nil"/>
              <w:right w:val="nil"/>
            </w:tcBorders>
          </w:tcPr>
          <w:p w14:paraId="73E35C1C" w14:textId="77777777" w:rsidR="00247505" w:rsidRPr="005F7B0F" w:rsidRDefault="00247505" w:rsidP="001629CC">
            <w:pPr>
              <w:jc w:val="both"/>
              <w:rPr>
                <w:sz w:val="20"/>
                <w:szCs w:val="20"/>
              </w:rPr>
            </w:pPr>
            <w:r w:rsidRPr="005F7B0F">
              <w:rPr>
                <w:rFonts w:ascii="Times New Roman" w:hAnsi="Times New Roman"/>
                <w:sz w:val="20"/>
                <w:szCs w:val="20"/>
              </w:rPr>
              <w:t>14.5 ± 1.5</w:t>
            </w:r>
          </w:p>
        </w:tc>
        <w:tc>
          <w:tcPr>
            <w:tcW w:w="1035" w:type="dxa"/>
            <w:tcBorders>
              <w:top w:val="nil"/>
              <w:left w:val="nil"/>
              <w:bottom w:val="nil"/>
              <w:right w:val="nil"/>
            </w:tcBorders>
          </w:tcPr>
          <w:p w14:paraId="7451A0C5" w14:textId="77777777" w:rsidR="00247505" w:rsidRPr="005F7B0F" w:rsidRDefault="00247505" w:rsidP="001629CC">
            <w:pPr>
              <w:jc w:val="both"/>
              <w:rPr>
                <w:sz w:val="20"/>
                <w:szCs w:val="20"/>
              </w:rPr>
            </w:pPr>
            <w:r w:rsidRPr="005F7B0F">
              <w:rPr>
                <w:rFonts w:ascii="Times New Roman" w:hAnsi="Times New Roman"/>
                <w:sz w:val="20"/>
                <w:szCs w:val="20"/>
              </w:rPr>
              <w:t>3.3 ± 1.1</w:t>
            </w:r>
          </w:p>
        </w:tc>
        <w:tc>
          <w:tcPr>
            <w:tcW w:w="897" w:type="dxa"/>
            <w:tcBorders>
              <w:top w:val="nil"/>
              <w:left w:val="nil"/>
              <w:bottom w:val="nil"/>
              <w:right w:val="nil"/>
            </w:tcBorders>
          </w:tcPr>
          <w:p w14:paraId="7A91967B" w14:textId="77777777" w:rsidR="00247505" w:rsidRPr="005F7B0F" w:rsidRDefault="00247505" w:rsidP="001629CC">
            <w:pPr>
              <w:jc w:val="both"/>
              <w:rPr>
                <w:rFonts w:ascii="Times New Roman" w:hAnsi="Times New Roman"/>
                <w:sz w:val="20"/>
                <w:szCs w:val="20"/>
              </w:rPr>
            </w:pPr>
          </w:p>
        </w:tc>
      </w:tr>
      <w:tr w:rsidR="00247505" w:rsidRPr="005F7B0F" w14:paraId="3C87C850" w14:textId="77777777" w:rsidTr="001629CC">
        <w:trPr>
          <w:gridAfter w:val="1"/>
          <w:wAfter w:w="63" w:type="dxa"/>
        </w:trPr>
        <w:tc>
          <w:tcPr>
            <w:tcW w:w="3133" w:type="dxa"/>
            <w:tcBorders>
              <w:top w:val="nil"/>
              <w:left w:val="nil"/>
              <w:bottom w:val="nil"/>
              <w:right w:val="nil"/>
            </w:tcBorders>
          </w:tcPr>
          <w:p w14:paraId="4073A3CD"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Sufficient (Moderate Only)</w:t>
            </w:r>
          </w:p>
        </w:tc>
        <w:tc>
          <w:tcPr>
            <w:tcW w:w="1170" w:type="dxa"/>
            <w:tcBorders>
              <w:top w:val="nil"/>
              <w:left w:val="nil"/>
              <w:bottom w:val="nil"/>
              <w:right w:val="nil"/>
            </w:tcBorders>
          </w:tcPr>
          <w:p w14:paraId="2F5FC0D9" w14:textId="77777777" w:rsidR="00247505" w:rsidRPr="005F7B0F" w:rsidRDefault="00247505" w:rsidP="001629CC">
            <w:pPr>
              <w:jc w:val="both"/>
              <w:rPr>
                <w:sz w:val="20"/>
                <w:szCs w:val="20"/>
              </w:rPr>
            </w:pPr>
            <w:r w:rsidRPr="005F7B0F">
              <w:rPr>
                <w:rFonts w:ascii="Times New Roman" w:hAnsi="Times New Roman"/>
                <w:sz w:val="20"/>
                <w:szCs w:val="20"/>
              </w:rPr>
              <w:t>76.2 ± 1.6</w:t>
            </w:r>
          </w:p>
        </w:tc>
        <w:tc>
          <w:tcPr>
            <w:tcW w:w="1215" w:type="dxa"/>
            <w:tcBorders>
              <w:top w:val="nil"/>
              <w:left w:val="nil"/>
              <w:bottom w:val="nil"/>
              <w:right w:val="nil"/>
            </w:tcBorders>
          </w:tcPr>
          <w:p w14:paraId="0776025A" w14:textId="77777777" w:rsidR="00247505" w:rsidRPr="005F7B0F" w:rsidRDefault="00247505" w:rsidP="001629CC">
            <w:pPr>
              <w:jc w:val="both"/>
              <w:rPr>
                <w:sz w:val="20"/>
                <w:szCs w:val="20"/>
              </w:rPr>
            </w:pPr>
            <w:r w:rsidRPr="005F7B0F">
              <w:rPr>
                <w:rFonts w:ascii="Times New Roman" w:hAnsi="Times New Roman"/>
                <w:sz w:val="20"/>
                <w:szCs w:val="20"/>
              </w:rPr>
              <w:t>19.0 ± 1.4</w:t>
            </w:r>
          </w:p>
        </w:tc>
        <w:tc>
          <w:tcPr>
            <w:tcW w:w="1035" w:type="dxa"/>
            <w:tcBorders>
              <w:top w:val="nil"/>
              <w:left w:val="nil"/>
              <w:bottom w:val="nil"/>
              <w:right w:val="nil"/>
            </w:tcBorders>
          </w:tcPr>
          <w:p w14:paraId="5544EF0A" w14:textId="77777777" w:rsidR="00247505" w:rsidRPr="005F7B0F" w:rsidRDefault="00247505" w:rsidP="001629CC">
            <w:pPr>
              <w:jc w:val="both"/>
              <w:rPr>
                <w:sz w:val="20"/>
                <w:szCs w:val="20"/>
              </w:rPr>
            </w:pPr>
            <w:r w:rsidRPr="005F7B0F">
              <w:rPr>
                <w:rFonts w:ascii="Times New Roman" w:hAnsi="Times New Roman"/>
                <w:sz w:val="20"/>
                <w:szCs w:val="20"/>
              </w:rPr>
              <w:t>4.7 ± 0.9</w:t>
            </w:r>
          </w:p>
        </w:tc>
        <w:tc>
          <w:tcPr>
            <w:tcW w:w="897" w:type="dxa"/>
            <w:tcBorders>
              <w:top w:val="nil"/>
              <w:left w:val="nil"/>
              <w:bottom w:val="nil"/>
              <w:right w:val="nil"/>
            </w:tcBorders>
          </w:tcPr>
          <w:p w14:paraId="50934340" w14:textId="77777777" w:rsidR="00247505" w:rsidRPr="005F7B0F" w:rsidRDefault="00247505" w:rsidP="001629CC">
            <w:pPr>
              <w:jc w:val="both"/>
              <w:rPr>
                <w:rFonts w:ascii="Times New Roman" w:hAnsi="Times New Roman"/>
                <w:sz w:val="20"/>
                <w:szCs w:val="20"/>
              </w:rPr>
            </w:pPr>
          </w:p>
        </w:tc>
      </w:tr>
      <w:tr w:rsidR="00247505" w:rsidRPr="005F7B0F" w14:paraId="20D98308" w14:textId="77777777" w:rsidTr="001629CC">
        <w:trPr>
          <w:gridAfter w:val="1"/>
          <w:wAfter w:w="63" w:type="dxa"/>
        </w:trPr>
        <w:tc>
          <w:tcPr>
            <w:tcW w:w="3133" w:type="dxa"/>
            <w:tcBorders>
              <w:top w:val="nil"/>
              <w:left w:val="nil"/>
              <w:bottom w:val="nil"/>
              <w:right w:val="nil"/>
            </w:tcBorders>
          </w:tcPr>
          <w:p w14:paraId="401C8BA4"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Sufficient (Both Vig and Mod)</w:t>
            </w:r>
          </w:p>
        </w:tc>
        <w:tc>
          <w:tcPr>
            <w:tcW w:w="1170" w:type="dxa"/>
            <w:tcBorders>
              <w:top w:val="nil"/>
              <w:left w:val="nil"/>
              <w:bottom w:val="nil"/>
              <w:right w:val="nil"/>
            </w:tcBorders>
          </w:tcPr>
          <w:p w14:paraId="2225DF9B" w14:textId="77777777" w:rsidR="00247505" w:rsidRPr="005F7B0F" w:rsidRDefault="00247505" w:rsidP="001629CC">
            <w:pPr>
              <w:jc w:val="both"/>
              <w:rPr>
                <w:sz w:val="20"/>
                <w:szCs w:val="20"/>
              </w:rPr>
            </w:pPr>
            <w:r w:rsidRPr="005F7B0F">
              <w:rPr>
                <w:rFonts w:ascii="Times New Roman" w:hAnsi="Times New Roman"/>
                <w:sz w:val="20"/>
                <w:szCs w:val="20"/>
              </w:rPr>
              <w:t>76.3 ± 2.0</w:t>
            </w:r>
          </w:p>
        </w:tc>
        <w:tc>
          <w:tcPr>
            <w:tcW w:w="1215" w:type="dxa"/>
            <w:tcBorders>
              <w:top w:val="nil"/>
              <w:left w:val="nil"/>
              <w:bottom w:val="nil"/>
              <w:right w:val="nil"/>
            </w:tcBorders>
          </w:tcPr>
          <w:p w14:paraId="22000CA9" w14:textId="77777777" w:rsidR="00247505" w:rsidRPr="005F7B0F" w:rsidRDefault="00247505" w:rsidP="001629CC">
            <w:pPr>
              <w:jc w:val="both"/>
              <w:rPr>
                <w:sz w:val="20"/>
                <w:szCs w:val="20"/>
              </w:rPr>
            </w:pPr>
            <w:r w:rsidRPr="005F7B0F">
              <w:rPr>
                <w:rFonts w:ascii="Times New Roman" w:hAnsi="Times New Roman"/>
                <w:sz w:val="20"/>
                <w:szCs w:val="20"/>
              </w:rPr>
              <w:t>21.1 ± 1.9</w:t>
            </w:r>
          </w:p>
        </w:tc>
        <w:tc>
          <w:tcPr>
            <w:tcW w:w="1035" w:type="dxa"/>
            <w:tcBorders>
              <w:top w:val="nil"/>
              <w:left w:val="nil"/>
              <w:bottom w:val="nil"/>
              <w:right w:val="nil"/>
            </w:tcBorders>
          </w:tcPr>
          <w:p w14:paraId="76F27094" w14:textId="77777777" w:rsidR="00247505" w:rsidRPr="005F7B0F" w:rsidRDefault="00247505" w:rsidP="001629CC">
            <w:pPr>
              <w:jc w:val="both"/>
              <w:rPr>
                <w:sz w:val="20"/>
                <w:szCs w:val="20"/>
              </w:rPr>
            </w:pPr>
            <w:r w:rsidRPr="005F7B0F">
              <w:rPr>
                <w:rFonts w:ascii="Times New Roman" w:hAnsi="Times New Roman"/>
                <w:sz w:val="20"/>
                <w:szCs w:val="20"/>
              </w:rPr>
              <w:t>2.5 ± 0.7</w:t>
            </w:r>
          </w:p>
        </w:tc>
        <w:tc>
          <w:tcPr>
            <w:tcW w:w="897" w:type="dxa"/>
            <w:tcBorders>
              <w:top w:val="nil"/>
              <w:left w:val="nil"/>
              <w:bottom w:val="nil"/>
              <w:right w:val="nil"/>
            </w:tcBorders>
          </w:tcPr>
          <w:p w14:paraId="4DD5DF04" w14:textId="77777777" w:rsidR="00247505" w:rsidRPr="005F7B0F" w:rsidRDefault="00247505" w:rsidP="001629CC">
            <w:pPr>
              <w:jc w:val="both"/>
              <w:rPr>
                <w:rFonts w:ascii="Times New Roman" w:hAnsi="Times New Roman"/>
                <w:sz w:val="20"/>
                <w:szCs w:val="20"/>
              </w:rPr>
            </w:pPr>
          </w:p>
        </w:tc>
      </w:tr>
      <w:tr w:rsidR="00247505" w:rsidRPr="005F7B0F" w14:paraId="05EB1FD5" w14:textId="77777777" w:rsidTr="001629CC">
        <w:trPr>
          <w:gridAfter w:val="1"/>
          <w:wAfter w:w="63" w:type="dxa"/>
        </w:trPr>
        <w:tc>
          <w:tcPr>
            <w:tcW w:w="3133" w:type="dxa"/>
            <w:tcBorders>
              <w:top w:val="nil"/>
              <w:left w:val="nil"/>
              <w:bottom w:val="nil"/>
              <w:right w:val="nil"/>
            </w:tcBorders>
          </w:tcPr>
          <w:p w14:paraId="538496EF" w14:textId="77777777" w:rsidR="00247505" w:rsidRPr="005F7B0F" w:rsidRDefault="00247505" w:rsidP="001629CC">
            <w:pPr>
              <w:jc w:val="both"/>
              <w:rPr>
                <w:rFonts w:ascii="Times New Roman" w:hAnsi="Times New Roman"/>
                <w:sz w:val="20"/>
                <w:szCs w:val="20"/>
              </w:rPr>
            </w:pPr>
            <w:r w:rsidRPr="005F7B0F">
              <w:rPr>
                <w:rFonts w:ascii="Times New Roman" w:hAnsi="Times New Roman"/>
                <w:sz w:val="20"/>
                <w:szCs w:val="20"/>
              </w:rPr>
              <w:t xml:space="preserve">     Sufficient (Neither Vig or Mod)</w:t>
            </w:r>
          </w:p>
        </w:tc>
        <w:tc>
          <w:tcPr>
            <w:tcW w:w="1170" w:type="dxa"/>
            <w:tcBorders>
              <w:top w:val="nil"/>
              <w:left w:val="nil"/>
              <w:bottom w:val="nil"/>
              <w:right w:val="nil"/>
            </w:tcBorders>
          </w:tcPr>
          <w:p w14:paraId="209F1E2D" w14:textId="5D51801F" w:rsidR="00247505" w:rsidRPr="005F7B0F" w:rsidRDefault="00247505" w:rsidP="001629CC">
            <w:pPr>
              <w:jc w:val="both"/>
              <w:rPr>
                <w:sz w:val="20"/>
                <w:szCs w:val="20"/>
              </w:rPr>
            </w:pPr>
            <w:r w:rsidRPr="005F7B0F">
              <w:rPr>
                <w:rFonts w:ascii="Times New Roman" w:hAnsi="Times New Roman"/>
                <w:sz w:val="20"/>
                <w:szCs w:val="20"/>
              </w:rPr>
              <w:t>66.5</w:t>
            </w:r>
            <w:r w:rsidR="0047668E">
              <w:rPr>
                <w:rFonts w:ascii="Times New Roman" w:hAnsi="Times New Roman"/>
                <w:sz w:val="20"/>
                <w:szCs w:val="20"/>
              </w:rPr>
              <w:t xml:space="preserve"> </w:t>
            </w:r>
            <w:r w:rsidRPr="005F7B0F">
              <w:rPr>
                <w:rFonts w:ascii="Times New Roman" w:hAnsi="Times New Roman"/>
                <w:sz w:val="20"/>
                <w:szCs w:val="20"/>
              </w:rPr>
              <w:t>± 12.6</w:t>
            </w:r>
          </w:p>
        </w:tc>
        <w:tc>
          <w:tcPr>
            <w:tcW w:w="1215" w:type="dxa"/>
            <w:tcBorders>
              <w:top w:val="nil"/>
              <w:left w:val="nil"/>
              <w:bottom w:val="nil"/>
              <w:right w:val="nil"/>
            </w:tcBorders>
          </w:tcPr>
          <w:p w14:paraId="1355658A" w14:textId="7E4F85BD" w:rsidR="00247505" w:rsidRPr="005F7B0F" w:rsidRDefault="00247505" w:rsidP="001629CC">
            <w:pPr>
              <w:jc w:val="both"/>
              <w:rPr>
                <w:sz w:val="20"/>
                <w:szCs w:val="20"/>
              </w:rPr>
            </w:pPr>
            <w:r w:rsidRPr="005F7B0F">
              <w:rPr>
                <w:rFonts w:ascii="Times New Roman" w:hAnsi="Times New Roman"/>
                <w:sz w:val="20"/>
                <w:szCs w:val="20"/>
              </w:rPr>
              <w:t>31.8 ± 13.2</w:t>
            </w:r>
          </w:p>
        </w:tc>
        <w:tc>
          <w:tcPr>
            <w:tcW w:w="1035" w:type="dxa"/>
            <w:tcBorders>
              <w:top w:val="nil"/>
              <w:left w:val="nil"/>
              <w:bottom w:val="nil"/>
              <w:right w:val="nil"/>
            </w:tcBorders>
          </w:tcPr>
          <w:p w14:paraId="4E2513A8" w14:textId="77777777" w:rsidR="00247505" w:rsidRPr="005F7B0F" w:rsidRDefault="00247505" w:rsidP="001629CC">
            <w:pPr>
              <w:jc w:val="both"/>
              <w:rPr>
                <w:sz w:val="20"/>
                <w:szCs w:val="20"/>
              </w:rPr>
            </w:pPr>
            <w:r w:rsidRPr="005F7B0F">
              <w:rPr>
                <w:rFonts w:ascii="Times New Roman" w:hAnsi="Times New Roman"/>
                <w:sz w:val="20"/>
                <w:szCs w:val="20"/>
              </w:rPr>
              <w:t>1.7 ± 1.3</w:t>
            </w:r>
          </w:p>
        </w:tc>
        <w:tc>
          <w:tcPr>
            <w:tcW w:w="897" w:type="dxa"/>
            <w:tcBorders>
              <w:top w:val="nil"/>
              <w:left w:val="nil"/>
              <w:bottom w:val="nil"/>
              <w:right w:val="nil"/>
            </w:tcBorders>
          </w:tcPr>
          <w:p w14:paraId="7F6FFA88" w14:textId="77777777" w:rsidR="00247505" w:rsidRPr="005F7B0F" w:rsidRDefault="00247505" w:rsidP="001629CC">
            <w:pPr>
              <w:jc w:val="both"/>
              <w:rPr>
                <w:rFonts w:ascii="Times New Roman" w:hAnsi="Times New Roman"/>
                <w:sz w:val="20"/>
                <w:szCs w:val="20"/>
              </w:rPr>
            </w:pPr>
          </w:p>
        </w:tc>
      </w:tr>
      <w:tr w:rsidR="00247505" w:rsidRPr="005F7B0F" w14:paraId="7563EB17" w14:textId="77777777" w:rsidTr="001629CC">
        <w:trPr>
          <w:gridAfter w:val="1"/>
          <w:wAfter w:w="63" w:type="dxa"/>
        </w:trPr>
        <w:tc>
          <w:tcPr>
            <w:tcW w:w="7450" w:type="dxa"/>
            <w:gridSpan w:val="5"/>
            <w:tcBorders>
              <w:top w:val="single" w:sz="4" w:space="0" w:color="auto"/>
              <w:left w:val="nil"/>
              <w:bottom w:val="nil"/>
              <w:right w:val="nil"/>
            </w:tcBorders>
          </w:tcPr>
          <w:p w14:paraId="2830DB90" w14:textId="77777777" w:rsidR="00247505" w:rsidRPr="005F7B0F" w:rsidRDefault="00247505" w:rsidP="001629CC">
            <w:pPr>
              <w:spacing w:line="276" w:lineRule="auto"/>
              <w:jc w:val="both"/>
              <w:rPr>
                <w:rFonts w:ascii="Times New Roman" w:hAnsi="Times New Roman"/>
                <w:sz w:val="20"/>
                <w:szCs w:val="20"/>
              </w:rPr>
            </w:pPr>
            <w:r w:rsidRPr="005F7B0F">
              <w:rPr>
                <w:rFonts w:ascii="Times New Roman" w:hAnsi="Times New Roman"/>
                <w:sz w:val="20"/>
                <w:szCs w:val="20"/>
              </w:rPr>
              <w:t xml:space="preserve">Values are presented as weighted frequencies ± SE of US population. </w:t>
            </w:r>
            <w:r w:rsidRPr="005F7B0F">
              <w:rPr>
                <w:rFonts w:ascii="Times New Roman" w:hAnsi="Times New Roman"/>
                <w:sz w:val="20"/>
                <w:szCs w:val="20"/>
                <w:u w:val="single"/>
              </w:rPr>
              <w:t>BMI</w:t>
            </w:r>
            <w:r w:rsidRPr="005F7B0F">
              <w:rPr>
                <w:rFonts w:ascii="Times New Roman" w:hAnsi="Times New Roman"/>
                <w:sz w:val="20"/>
                <w:szCs w:val="20"/>
              </w:rPr>
              <w:t xml:space="preserve"> – Body mass index; </w:t>
            </w:r>
            <w:r w:rsidRPr="005F7B0F">
              <w:rPr>
                <w:rFonts w:ascii="Times New Roman" w:hAnsi="Times New Roman"/>
                <w:sz w:val="20"/>
                <w:szCs w:val="20"/>
                <w:u w:val="single"/>
              </w:rPr>
              <w:t>Total physical activity</w:t>
            </w:r>
            <w:r w:rsidRPr="005F7B0F">
              <w:rPr>
                <w:rFonts w:ascii="Times New Roman" w:hAnsi="Times New Roman"/>
                <w:sz w:val="20"/>
                <w:szCs w:val="20"/>
              </w:rPr>
              <w:t xml:space="preserve"> – self-reported from the GPAQ and calculated as </w:t>
            </w:r>
            <w:proofErr w:type="spellStart"/>
            <w:r w:rsidRPr="005F7B0F">
              <w:rPr>
                <w:rFonts w:ascii="Times New Roman" w:hAnsi="Times New Roman"/>
                <w:sz w:val="20"/>
                <w:szCs w:val="20"/>
              </w:rPr>
              <w:t>MET∙min</w:t>
            </w:r>
            <w:proofErr w:type="spellEnd"/>
            <w:r w:rsidRPr="005F7B0F">
              <w:rPr>
                <w:rFonts w:ascii="Times New Roman" w:hAnsi="Times New Roman"/>
                <w:sz w:val="20"/>
                <w:szCs w:val="20"/>
              </w:rPr>
              <w:t xml:space="preserve"> of activity per week. </w:t>
            </w:r>
            <w:r w:rsidRPr="005F7B0F">
              <w:rPr>
                <w:rFonts w:ascii="Times New Roman" w:hAnsi="Times New Roman"/>
                <w:sz w:val="20"/>
                <w:szCs w:val="20"/>
                <w:u w:val="single"/>
              </w:rPr>
              <w:t>Recreational physical activity</w:t>
            </w:r>
            <w:r w:rsidRPr="005F7B0F">
              <w:rPr>
                <w:rFonts w:ascii="Times New Roman" w:hAnsi="Times New Roman"/>
                <w:sz w:val="20"/>
                <w:szCs w:val="20"/>
              </w:rPr>
              <w:t xml:space="preserve"> - self-reported from the GPAQ and calculated as </w:t>
            </w:r>
            <w:proofErr w:type="spellStart"/>
            <w:r w:rsidRPr="005F7B0F">
              <w:rPr>
                <w:rFonts w:ascii="Times New Roman" w:hAnsi="Times New Roman"/>
                <w:sz w:val="20"/>
                <w:szCs w:val="20"/>
              </w:rPr>
              <w:t>MET∙min</w:t>
            </w:r>
            <w:proofErr w:type="spellEnd"/>
            <w:r w:rsidRPr="005F7B0F">
              <w:rPr>
                <w:rFonts w:ascii="Times New Roman" w:hAnsi="Times New Roman"/>
                <w:sz w:val="20"/>
                <w:szCs w:val="20"/>
              </w:rPr>
              <w:t xml:space="preserve"> of activity per week. </w:t>
            </w:r>
            <w:r w:rsidRPr="005F7B0F">
              <w:rPr>
                <w:rFonts w:ascii="Times New Roman" w:hAnsi="Times New Roman"/>
                <w:sz w:val="20"/>
                <w:szCs w:val="20"/>
                <w:vertAlign w:val="superscript"/>
              </w:rPr>
              <w:t>b</w:t>
            </w:r>
            <w:r w:rsidRPr="005F7B0F">
              <w:rPr>
                <w:rFonts w:ascii="Times New Roman" w:hAnsi="Times New Roman"/>
                <w:sz w:val="20"/>
                <w:szCs w:val="20"/>
              </w:rPr>
              <w:t xml:space="preserve"> comparison of men vs. women across activity levels using a Rao-Scott Chi-square test of independence. </w:t>
            </w:r>
          </w:p>
        </w:tc>
      </w:tr>
    </w:tbl>
    <w:p w14:paraId="153ED203" w14:textId="77777777" w:rsidR="00247505" w:rsidRPr="005F7B0F" w:rsidRDefault="00247505" w:rsidP="00247505">
      <w:pPr>
        <w:spacing w:line="480" w:lineRule="auto"/>
        <w:ind w:firstLine="720"/>
        <w:jc w:val="both"/>
        <w:rPr>
          <w:sz w:val="20"/>
          <w:szCs w:val="20"/>
        </w:rPr>
      </w:pPr>
    </w:p>
    <w:p w14:paraId="260B6BEC" w14:textId="77777777" w:rsidR="00247505" w:rsidRDefault="00247505" w:rsidP="00247505">
      <w:pPr>
        <w:spacing w:line="480" w:lineRule="auto"/>
        <w:ind w:firstLine="720"/>
        <w:jc w:val="both"/>
      </w:pPr>
      <w:r>
        <w:t xml:space="preserve">The prevalence of pain making it hard to perform usual activities separated by physical activity and weight status is shown in Table 5. No significant interaction between pain and weight status was found among individuals who were insufficiently active. Additionally, there was not a significant interaction between pain and weight status when looking at individuals who were sufficiently active. </w:t>
      </w:r>
    </w:p>
    <w:p w14:paraId="54514711" w14:textId="77777777" w:rsidR="00247505" w:rsidRDefault="00247505" w:rsidP="00247505">
      <w:pPr>
        <w:spacing w:line="480" w:lineRule="auto"/>
        <w:jc w:val="both"/>
      </w:pPr>
    </w:p>
    <w:tbl>
      <w:tblPr>
        <w:tblStyle w:val="TableGrid"/>
        <w:tblW w:w="0" w:type="auto"/>
        <w:tblLook w:val="04A0" w:firstRow="1" w:lastRow="0" w:firstColumn="1" w:lastColumn="0" w:noHBand="0" w:noVBand="1"/>
      </w:tblPr>
      <w:tblGrid>
        <w:gridCol w:w="1310"/>
        <w:gridCol w:w="1217"/>
        <w:gridCol w:w="1365"/>
        <w:gridCol w:w="1222"/>
        <w:gridCol w:w="1217"/>
        <w:gridCol w:w="1365"/>
        <w:gridCol w:w="1217"/>
      </w:tblGrid>
      <w:tr w:rsidR="00247505" w:rsidRPr="00F61CB2" w14:paraId="6949DE00" w14:textId="77777777" w:rsidTr="001629CC">
        <w:tc>
          <w:tcPr>
            <w:tcW w:w="8913" w:type="dxa"/>
            <w:gridSpan w:val="7"/>
            <w:tcBorders>
              <w:top w:val="nil"/>
              <w:left w:val="nil"/>
              <w:bottom w:val="double" w:sz="4" w:space="0" w:color="auto"/>
              <w:right w:val="nil"/>
            </w:tcBorders>
          </w:tcPr>
          <w:p w14:paraId="4D204026" w14:textId="77777777" w:rsidR="00247505" w:rsidRPr="00F61CB2" w:rsidRDefault="00247505" w:rsidP="001629CC">
            <w:pPr>
              <w:spacing w:line="276" w:lineRule="auto"/>
              <w:jc w:val="both"/>
              <w:rPr>
                <w:rFonts w:ascii="Times New Roman" w:hAnsi="Times New Roman"/>
                <w:b/>
              </w:rPr>
            </w:pPr>
            <w:r w:rsidRPr="00F61CB2">
              <w:rPr>
                <w:rFonts w:ascii="Times New Roman" w:hAnsi="Times New Roman"/>
                <w:b/>
              </w:rPr>
              <w:t xml:space="preserve">Table 5. </w:t>
            </w:r>
            <w:r w:rsidRPr="001D538F">
              <w:rPr>
                <w:rFonts w:ascii="Times New Roman" w:hAnsi="Times New Roman"/>
              </w:rPr>
              <w:t>Prevalence of pain making it hard to perform usual activities</w:t>
            </w:r>
          </w:p>
        </w:tc>
      </w:tr>
      <w:tr w:rsidR="00247505" w:rsidRPr="00F61CB2" w14:paraId="5D9110CF" w14:textId="77777777" w:rsidTr="001629CC">
        <w:tc>
          <w:tcPr>
            <w:tcW w:w="1310" w:type="dxa"/>
            <w:tcBorders>
              <w:top w:val="double" w:sz="4" w:space="0" w:color="auto"/>
              <w:left w:val="nil"/>
              <w:bottom w:val="nil"/>
              <w:right w:val="nil"/>
            </w:tcBorders>
          </w:tcPr>
          <w:p w14:paraId="51D68AED" w14:textId="77777777" w:rsidR="00247505" w:rsidRPr="00F61CB2" w:rsidRDefault="00247505" w:rsidP="001629CC">
            <w:pPr>
              <w:spacing w:line="276" w:lineRule="auto"/>
              <w:jc w:val="both"/>
              <w:rPr>
                <w:rFonts w:ascii="Times New Roman" w:hAnsi="Times New Roman"/>
              </w:rPr>
            </w:pPr>
          </w:p>
        </w:tc>
        <w:tc>
          <w:tcPr>
            <w:tcW w:w="3804" w:type="dxa"/>
            <w:gridSpan w:val="3"/>
            <w:tcBorders>
              <w:top w:val="double" w:sz="4" w:space="0" w:color="auto"/>
              <w:left w:val="nil"/>
              <w:bottom w:val="nil"/>
              <w:right w:val="nil"/>
            </w:tcBorders>
          </w:tcPr>
          <w:p w14:paraId="2E9C99A3" w14:textId="77777777" w:rsidR="00247505" w:rsidRPr="00F61CB2" w:rsidRDefault="00247505" w:rsidP="0047668E">
            <w:pPr>
              <w:spacing w:line="276" w:lineRule="auto"/>
              <w:jc w:val="center"/>
              <w:rPr>
                <w:rFonts w:ascii="Times New Roman" w:hAnsi="Times New Roman"/>
                <w:b/>
                <w:u w:val="single"/>
              </w:rPr>
            </w:pPr>
            <w:r w:rsidRPr="00F61CB2">
              <w:rPr>
                <w:rFonts w:ascii="Times New Roman" w:hAnsi="Times New Roman"/>
                <w:b/>
                <w:u w:val="single"/>
              </w:rPr>
              <w:t>Insufficiently Active</w:t>
            </w:r>
          </w:p>
        </w:tc>
        <w:tc>
          <w:tcPr>
            <w:tcW w:w="3799" w:type="dxa"/>
            <w:gridSpan w:val="3"/>
            <w:tcBorders>
              <w:top w:val="double" w:sz="4" w:space="0" w:color="auto"/>
              <w:left w:val="nil"/>
              <w:bottom w:val="nil"/>
              <w:right w:val="nil"/>
            </w:tcBorders>
          </w:tcPr>
          <w:p w14:paraId="48BEDF80" w14:textId="77777777" w:rsidR="00247505" w:rsidRPr="00F61CB2" w:rsidRDefault="00247505" w:rsidP="0047668E">
            <w:pPr>
              <w:spacing w:line="276" w:lineRule="auto"/>
              <w:jc w:val="center"/>
              <w:rPr>
                <w:rFonts w:ascii="Times New Roman" w:hAnsi="Times New Roman"/>
                <w:b/>
                <w:u w:val="single"/>
              </w:rPr>
            </w:pPr>
            <w:r w:rsidRPr="00F61CB2">
              <w:rPr>
                <w:rFonts w:ascii="Times New Roman" w:hAnsi="Times New Roman"/>
                <w:b/>
                <w:u w:val="single"/>
              </w:rPr>
              <w:t>Sufficiently Active</w:t>
            </w:r>
          </w:p>
        </w:tc>
      </w:tr>
      <w:tr w:rsidR="00247505" w:rsidRPr="00F61CB2" w14:paraId="1CEF38B5" w14:textId="77777777" w:rsidTr="001629CC">
        <w:tc>
          <w:tcPr>
            <w:tcW w:w="1310" w:type="dxa"/>
            <w:tcBorders>
              <w:top w:val="nil"/>
              <w:left w:val="nil"/>
              <w:bottom w:val="nil"/>
              <w:right w:val="nil"/>
            </w:tcBorders>
          </w:tcPr>
          <w:p w14:paraId="213EB0D7" w14:textId="77777777" w:rsidR="00247505" w:rsidRPr="001D538F" w:rsidRDefault="00247505" w:rsidP="001629CC">
            <w:pPr>
              <w:spacing w:line="276" w:lineRule="auto"/>
              <w:jc w:val="both"/>
              <w:rPr>
                <w:rFonts w:ascii="Times New Roman" w:hAnsi="Times New Roman"/>
                <w:u w:val="single"/>
              </w:rPr>
            </w:pPr>
            <w:r w:rsidRPr="001D538F">
              <w:rPr>
                <w:rFonts w:ascii="Times New Roman" w:hAnsi="Times New Roman"/>
                <w:u w:val="single"/>
              </w:rPr>
              <w:t>Pain Status</w:t>
            </w:r>
          </w:p>
        </w:tc>
        <w:tc>
          <w:tcPr>
            <w:tcW w:w="1217" w:type="dxa"/>
            <w:tcBorders>
              <w:top w:val="nil"/>
              <w:left w:val="nil"/>
              <w:bottom w:val="nil"/>
              <w:right w:val="nil"/>
            </w:tcBorders>
          </w:tcPr>
          <w:p w14:paraId="7D12E133"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Normal</w:t>
            </w:r>
          </w:p>
        </w:tc>
        <w:tc>
          <w:tcPr>
            <w:tcW w:w="1365" w:type="dxa"/>
            <w:tcBorders>
              <w:top w:val="nil"/>
              <w:left w:val="nil"/>
              <w:bottom w:val="nil"/>
              <w:right w:val="nil"/>
            </w:tcBorders>
          </w:tcPr>
          <w:p w14:paraId="58564B1A"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Overweight</w:t>
            </w:r>
          </w:p>
        </w:tc>
        <w:tc>
          <w:tcPr>
            <w:tcW w:w="1222" w:type="dxa"/>
            <w:tcBorders>
              <w:top w:val="nil"/>
              <w:left w:val="nil"/>
              <w:bottom w:val="nil"/>
              <w:right w:val="dashSmallGap" w:sz="4" w:space="0" w:color="auto"/>
            </w:tcBorders>
          </w:tcPr>
          <w:p w14:paraId="018BFBBE"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Obese</w:t>
            </w:r>
          </w:p>
        </w:tc>
        <w:tc>
          <w:tcPr>
            <w:tcW w:w="1217" w:type="dxa"/>
            <w:tcBorders>
              <w:top w:val="nil"/>
              <w:left w:val="dashSmallGap" w:sz="4" w:space="0" w:color="auto"/>
              <w:bottom w:val="nil"/>
              <w:right w:val="nil"/>
            </w:tcBorders>
          </w:tcPr>
          <w:p w14:paraId="72454C96"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Normal</w:t>
            </w:r>
          </w:p>
        </w:tc>
        <w:tc>
          <w:tcPr>
            <w:tcW w:w="1365" w:type="dxa"/>
            <w:tcBorders>
              <w:top w:val="nil"/>
              <w:left w:val="nil"/>
              <w:bottom w:val="nil"/>
              <w:right w:val="nil"/>
            </w:tcBorders>
          </w:tcPr>
          <w:p w14:paraId="679808E8"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Overweight</w:t>
            </w:r>
          </w:p>
        </w:tc>
        <w:tc>
          <w:tcPr>
            <w:tcW w:w="1217" w:type="dxa"/>
            <w:tcBorders>
              <w:top w:val="nil"/>
              <w:left w:val="nil"/>
              <w:bottom w:val="nil"/>
              <w:right w:val="nil"/>
            </w:tcBorders>
          </w:tcPr>
          <w:p w14:paraId="4E9A9FBF" w14:textId="77777777" w:rsidR="00247505" w:rsidRPr="00F61CB2" w:rsidRDefault="00247505" w:rsidP="0047668E">
            <w:pPr>
              <w:spacing w:line="276" w:lineRule="auto"/>
              <w:jc w:val="center"/>
              <w:rPr>
                <w:rFonts w:ascii="Times New Roman" w:hAnsi="Times New Roman"/>
                <w:u w:val="single"/>
              </w:rPr>
            </w:pPr>
            <w:r w:rsidRPr="00F61CB2">
              <w:rPr>
                <w:rFonts w:ascii="Times New Roman" w:hAnsi="Times New Roman"/>
                <w:u w:val="single"/>
              </w:rPr>
              <w:t>Obese</w:t>
            </w:r>
          </w:p>
        </w:tc>
      </w:tr>
      <w:tr w:rsidR="00247505" w:rsidRPr="00F61CB2" w14:paraId="7F0D3BC5" w14:textId="77777777" w:rsidTr="001629CC">
        <w:tc>
          <w:tcPr>
            <w:tcW w:w="1310" w:type="dxa"/>
            <w:tcBorders>
              <w:top w:val="nil"/>
              <w:left w:val="nil"/>
              <w:bottom w:val="nil"/>
              <w:right w:val="nil"/>
            </w:tcBorders>
          </w:tcPr>
          <w:p w14:paraId="205F34D3" w14:textId="77777777" w:rsidR="00247505" w:rsidRPr="00F61CB2" w:rsidRDefault="00247505" w:rsidP="001629CC">
            <w:pPr>
              <w:spacing w:line="276" w:lineRule="auto"/>
              <w:jc w:val="both"/>
              <w:rPr>
                <w:rFonts w:ascii="Times New Roman" w:hAnsi="Times New Roman"/>
              </w:rPr>
            </w:pPr>
            <w:r w:rsidRPr="00F61CB2">
              <w:rPr>
                <w:rFonts w:ascii="Times New Roman" w:hAnsi="Times New Roman"/>
              </w:rPr>
              <w:t>Never</w:t>
            </w:r>
          </w:p>
        </w:tc>
        <w:tc>
          <w:tcPr>
            <w:tcW w:w="1217" w:type="dxa"/>
            <w:tcBorders>
              <w:top w:val="nil"/>
              <w:left w:val="nil"/>
              <w:bottom w:val="nil"/>
              <w:right w:val="nil"/>
            </w:tcBorders>
          </w:tcPr>
          <w:p w14:paraId="7F7A378C"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73.6 ± 3.7</w:t>
            </w:r>
          </w:p>
        </w:tc>
        <w:tc>
          <w:tcPr>
            <w:tcW w:w="1365" w:type="dxa"/>
            <w:tcBorders>
              <w:top w:val="nil"/>
              <w:left w:val="nil"/>
              <w:bottom w:val="nil"/>
              <w:right w:val="nil"/>
            </w:tcBorders>
          </w:tcPr>
          <w:p w14:paraId="0EB1FF35"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70.6 ± 2.5</w:t>
            </w:r>
          </w:p>
        </w:tc>
        <w:tc>
          <w:tcPr>
            <w:tcW w:w="1222" w:type="dxa"/>
            <w:tcBorders>
              <w:top w:val="nil"/>
              <w:left w:val="nil"/>
              <w:bottom w:val="nil"/>
              <w:right w:val="dashSmallGap" w:sz="4" w:space="0" w:color="auto"/>
            </w:tcBorders>
          </w:tcPr>
          <w:p w14:paraId="5D9845C8"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65.5 ± 2.4</w:t>
            </w:r>
          </w:p>
        </w:tc>
        <w:tc>
          <w:tcPr>
            <w:tcW w:w="1217" w:type="dxa"/>
            <w:tcBorders>
              <w:top w:val="nil"/>
              <w:left w:val="dashSmallGap" w:sz="4" w:space="0" w:color="auto"/>
              <w:bottom w:val="nil"/>
              <w:right w:val="nil"/>
            </w:tcBorders>
          </w:tcPr>
          <w:p w14:paraId="35B9E5F8"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80.4 ± 2.0</w:t>
            </w:r>
          </w:p>
        </w:tc>
        <w:tc>
          <w:tcPr>
            <w:tcW w:w="1365" w:type="dxa"/>
            <w:tcBorders>
              <w:top w:val="nil"/>
              <w:left w:val="nil"/>
              <w:bottom w:val="nil"/>
              <w:right w:val="nil"/>
            </w:tcBorders>
          </w:tcPr>
          <w:p w14:paraId="37B82C8B"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76.9 ± 2.2</w:t>
            </w:r>
          </w:p>
        </w:tc>
        <w:tc>
          <w:tcPr>
            <w:tcW w:w="1217" w:type="dxa"/>
            <w:tcBorders>
              <w:top w:val="nil"/>
              <w:left w:val="nil"/>
              <w:bottom w:val="nil"/>
              <w:right w:val="nil"/>
            </w:tcBorders>
          </w:tcPr>
          <w:p w14:paraId="2F9194FB"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73.2 ± 2.5</w:t>
            </w:r>
          </w:p>
        </w:tc>
      </w:tr>
      <w:tr w:rsidR="00247505" w:rsidRPr="00F61CB2" w14:paraId="31E0ED2D" w14:textId="77777777" w:rsidTr="001629CC">
        <w:tc>
          <w:tcPr>
            <w:tcW w:w="1310" w:type="dxa"/>
            <w:tcBorders>
              <w:top w:val="nil"/>
              <w:left w:val="nil"/>
              <w:bottom w:val="nil"/>
              <w:right w:val="nil"/>
            </w:tcBorders>
          </w:tcPr>
          <w:p w14:paraId="39BAE58F" w14:textId="77777777" w:rsidR="00247505" w:rsidRPr="00F61CB2" w:rsidRDefault="00247505" w:rsidP="001629CC">
            <w:pPr>
              <w:spacing w:line="276" w:lineRule="auto"/>
              <w:jc w:val="both"/>
              <w:rPr>
                <w:rFonts w:ascii="Times New Roman" w:hAnsi="Times New Roman"/>
              </w:rPr>
            </w:pPr>
            <w:r w:rsidRPr="00F61CB2">
              <w:rPr>
                <w:rFonts w:ascii="Times New Roman" w:hAnsi="Times New Roman"/>
              </w:rPr>
              <w:t>Sometimes</w:t>
            </w:r>
          </w:p>
        </w:tc>
        <w:tc>
          <w:tcPr>
            <w:tcW w:w="1217" w:type="dxa"/>
            <w:tcBorders>
              <w:top w:val="nil"/>
              <w:left w:val="nil"/>
              <w:bottom w:val="nil"/>
              <w:right w:val="nil"/>
            </w:tcBorders>
          </w:tcPr>
          <w:p w14:paraId="5205757E"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20.3 ± 2.7</w:t>
            </w:r>
          </w:p>
        </w:tc>
        <w:tc>
          <w:tcPr>
            <w:tcW w:w="1365" w:type="dxa"/>
            <w:tcBorders>
              <w:top w:val="nil"/>
              <w:left w:val="nil"/>
              <w:bottom w:val="nil"/>
              <w:right w:val="nil"/>
            </w:tcBorders>
          </w:tcPr>
          <w:p w14:paraId="367934BF"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20.7 ± 1.9</w:t>
            </w:r>
          </w:p>
        </w:tc>
        <w:tc>
          <w:tcPr>
            <w:tcW w:w="1222" w:type="dxa"/>
            <w:tcBorders>
              <w:top w:val="nil"/>
              <w:left w:val="nil"/>
              <w:bottom w:val="nil"/>
              <w:right w:val="dashSmallGap" w:sz="4" w:space="0" w:color="auto"/>
            </w:tcBorders>
          </w:tcPr>
          <w:p w14:paraId="62E95249"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23.6 ± 1.8</w:t>
            </w:r>
          </w:p>
        </w:tc>
        <w:tc>
          <w:tcPr>
            <w:tcW w:w="1217" w:type="dxa"/>
            <w:tcBorders>
              <w:top w:val="nil"/>
              <w:left w:val="dashSmallGap" w:sz="4" w:space="0" w:color="auto"/>
              <w:bottom w:val="nil"/>
              <w:right w:val="nil"/>
            </w:tcBorders>
          </w:tcPr>
          <w:p w14:paraId="2C069EA0"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17.2 ± 1.8</w:t>
            </w:r>
          </w:p>
        </w:tc>
        <w:tc>
          <w:tcPr>
            <w:tcW w:w="1365" w:type="dxa"/>
            <w:tcBorders>
              <w:top w:val="nil"/>
              <w:left w:val="nil"/>
              <w:bottom w:val="nil"/>
              <w:right w:val="nil"/>
            </w:tcBorders>
          </w:tcPr>
          <w:p w14:paraId="15002D61"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19.7 ± 1.9</w:t>
            </w:r>
          </w:p>
        </w:tc>
        <w:tc>
          <w:tcPr>
            <w:tcW w:w="1217" w:type="dxa"/>
            <w:tcBorders>
              <w:top w:val="nil"/>
              <w:left w:val="nil"/>
              <w:bottom w:val="nil"/>
              <w:right w:val="nil"/>
            </w:tcBorders>
          </w:tcPr>
          <w:p w14:paraId="42D9A021"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21.5 ± 2.1</w:t>
            </w:r>
          </w:p>
        </w:tc>
      </w:tr>
      <w:tr w:rsidR="00247505" w:rsidRPr="00F61CB2" w14:paraId="72B8FCFB" w14:textId="77777777" w:rsidTr="001629CC">
        <w:tc>
          <w:tcPr>
            <w:tcW w:w="1310" w:type="dxa"/>
            <w:tcBorders>
              <w:top w:val="nil"/>
              <w:left w:val="nil"/>
              <w:bottom w:val="nil"/>
              <w:right w:val="nil"/>
            </w:tcBorders>
          </w:tcPr>
          <w:p w14:paraId="1CF7B35D" w14:textId="77777777" w:rsidR="00247505" w:rsidRPr="00F61CB2" w:rsidRDefault="00247505" w:rsidP="001629CC">
            <w:pPr>
              <w:spacing w:line="276" w:lineRule="auto"/>
              <w:jc w:val="both"/>
              <w:rPr>
                <w:rFonts w:ascii="Times New Roman" w:hAnsi="Times New Roman"/>
              </w:rPr>
            </w:pPr>
            <w:r w:rsidRPr="00F61CB2">
              <w:rPr>
                <w:rFonts w:ascii="Times New Roman" w:hAnsi="Times New Roman"/>
              </w:rPr>
              <w:t>Always</w:t>
            </w:r>
          </w:p>
        </w:tc>
        <w:tc>
          <w:tcPr>
            <w:tcW w:w="1217" w:type="dxa"/>
            <w:tcBorders>
              <w:top w:val="nil"/>
              <w:left w:val="nil"/>
              <w:bottom w:val="nil"/>
              <w:right w:val="nil"/>
            </w:tcBorders>
          </w:tcPr>
          <w:p w14:paraId="65A8AC5B"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6.1 ± 1.8</w:t>
            </w:r>
          </w:p>
        </w:tc>
        <w:tc>
          <w:tcPr>
            <w:tcW w:w="1365" w:type="dxa"/>
            <w:tcBorders>
              <w:top w:val="nil"/>
              <w:left w:val="nil"/>
              <w:bottom w:val="nil"/>
              <w:right w:val="nil"/>
            </w:tcBorders>
          </w:tcPr>
          <w:p w14:paraId="12E91A65"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8.7 ± 2.3</w:t>
            </w:r>
          </w:p>
        </w:tc>
        <w:tc>
          <w:tcPr>
            <w:tcW w:w="1222" w:type="dxa"/>
            <w:tcBorders>
              <w:top w:val="nil"/>
              <w:left w:val="nil"/>
              <w:bottom w:val="nil"/>
              <w:right w:val="dashSmallGap" w:sz="4" w:space="0" w:color="auto"/>
            </w:tcBorders>
          </w:tcPr>
          <w:p w14:paraId="13A6476C"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10.9 ± 1.2</w:t>
            </w:r>
          </w:p>
        </w:tc>
        <w:tc>
          <w:tcPr>
            <w:tcW w:w="1217" w:type="dxa"/>
            <w:tcBorders>
              <w:top w:val="nil"/>
              <w:left w:val="dashSmallGap" w:sz="4" w:space="0" w:color="auto"/>
              <w:bottom w:val="nil"/>
              <w:right w:val="nil"/>
            </w:tcBorders>
          </w:tcPr>
          <w:p w14:paraId="6D0EAC95"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2.4 ± 0.8</w:t>
            </w:r>
          </w:p>
        </w:tc>
        <w:tc>
          <w:tcPr>
            <w:tcW w:w="1365" w:type="dxa"/>
            <w:tcBorders>
              <w:top w:val="nil"/>
              <w:left w:val="nil"/>
              <w:bottom w:val="nil"/>
              <w:right w:val="nil"/>
            </w:tcBorders>
          </w:tcPr>
          <w:p w14:paraId="66FFD2BA"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3.3 ± 1.0</w:t>
            </w:r>
          </w:p>
        </w:tc>
        <w:tc>
          <w:tcPr>
            <w:tcW w:w="1217" w:type="dxa"/>
            <w:tcBorders>
              <w:top w:val="nil"/>
              <w:left w:val="nil"/>
              <w:bottom w:val="nil"/>
              <w:right w:val="nil"/>
            </w:tcBorders>
          </w:tcPr>
          <w:p w14:paraId="7F441A7C" w14:textId="77777777" w:rsidR="00247505" w:rsidRPr="00F61CB2" w:rsidRDefault="00247505" w:rsidP="0047668E">
            <w:pPr>
              <w:spacing w:line="276" w:lineRule="auto"/>
              <w:jc w:val="center"/>
              <w:rPr>
                <w:rFonts w:ascii="Times New Roman" w:hAnsi="Times New Roman"/>
              </w:rPr>
            </w:pPr>
            <w:r w:rsidRPr="00F61CB2">
              <w:rPr>
                <w:rFonts w:ascii="Times New Roman" w:hAnsi="Times New Roman"/>
              </w:rPr>
              <w:t>5.3 ± 1.2</w:t>
            </w:r>
          </w:p>
        </w:tc>
      </w:tr>
      <w:tr w:rsidR="00247505" w:rsidRPr="00F61CB2" w14:paraId="2C19C2B1" w14:textId="77777777" w:rsidTr="001629CC">
        <w:tc>
          <w:tcPr>
            <w:tcW w:w="1310" w:type="dxa"/>
            <w:tcBorders>
              <w:top w:val="nil"/>
              <w:left w:val="nil"/>
              <w:bottom w:val="single" w:sz="4" w:space="0" w:color="auto"/>
              <w:right w:val="nil"/>
            </w:tcBorders>
          </w:tcPr>
          <w:p w14:paraId="3DCE25CA" w14:textId="77777777" w:rsidR="00247505" w:rsidRPr="00261402" w:rsidRDefault="00247505" w:rsidP="001629CC">
            <w:pPr>
              <w:spacing w:line="276" w:lineRule="auto"/>
              <w:jc w:val="both"/>
              <w:rPr>
                <w:rFonts w:ascii="Times New Roman" w:hAnsi="Times New Roman"/>
                <w:i/>
                <w:vertAlign w:val="superscript"/>
              </w:rPr>
            </w:pPr>
            <w:r w:rsidRPr="00261402">
              <w:rPr>
                <w:rFonts w:ascii="Times New Roman" w:hAnsi="Times New Roman"/>
                <w:i/>
              </w:rPr>
              <w:t>P-Value</w:t>
            </w:r>
          </w:p>
        </w:tc>
        <w:tc>
          <w:tcPr>
            <w:tcW w:w="3804" w:type="dxa"/>
            <w:gridSpan w:val="3"/>
            <w:tcBorders>
              <w:top w:val="nil"/>
              <w:left w:val="nil"/>
              <w:bottom w:val="single" w:sz="4" w:space="0" w:color="auto"/>
              <w:right w:val="dashSmallGap" w:sz="4" w:space="0" w:color="auto"/>
            </w:tcBorders>
          </w:tcPr>
          <w:p w14:paraId="288C92EC" w14:textId="77777777" w:rsidR="00247505" w:rsidRPr="00261402" w:rsidRDefault="00247505" w:rsidP="0047668E">
            <w:pPr>
              <w:spacing w:line="276" w:lineRule="auto"/>
              <w:jc w:val="center"/>
              <w:rPr>
                <w:rFonts w:ascii="Times New Roman" w:hAnsi="Times New Roman"/>
                <w:i/>
                <w:vertAlign w:val="superscript"/>
              </w:rPr>
            </w:pPr>
            <w:r w:rsidRPr="00261402">
              <w:rPr>
                <w:rFonts w:ascii="Times New Roman" w:hAnsi="Times New Roman"/>
                <w:i/>
              </w:rPr>
              <w:t>0.20</w:t>
            </w:r>
            <w:r w:rsidRPr="00261402">
              <w:rPr>
                <w:rFonts w:ascii="Times New Roman" w:hAnsi="Times New Roman"/>
                <w:i/>
                <w:vertAlign w:val="superscript"/>
              </w:rPr>
              <w:t>b</w:t>
            </w:r>
          </w:p>
        </w:tc>
        <w:tc>
          <w:tcPr>
            <w:tcW w:w="3799" w:type="dxa"/>
            <w:gridSpan w:val="3"/>
            <w:tcBorders>
              <w:top w:val="nil"/>
              <w:left w:val="dashSmallGap" w:sz="4" w:space="0" w:color="auto"/>
              <w:bottom w:val="single" w:sz="4" w:space="0" w:color="auto"/>
              <w:right w:val="nil"/>
            </w:tcBorders>
          </w:tcPr>
          <w:p w14:paraId="33ED27B9" w14:textId="77777777" w:rsidR="00247505" w:rsidRPr="00261402" w:rsidRDefault="00247505" w:rsidP="0047668E">
            <w:pPr>
              <w:spacing w:line="276" w:lineRule="auto"/>
              <w:jc w:val="center"/>
              <w:rPr>
                <w:rFonts w:ascii="Times New Roman" w:hAnsi="Times New Roman"/>
                <w:i/>
                <w:vertAlign w:val="superscript"/>
              </w:rPr>
            </w:pPr>
            <w:r w:rsidRPr="00261402">
              <w:rPr>
                <w:rFonts w:ascii="Times New Roman" w:hAnsi="Times New Roman"/>
                <w:i/>
              </w:rPr>
              <w:t>0.21</w:t>
            </w:r>
            <w:r w:rsidRPr="00261402">
              <w:rPr>
                <w:rFonts w:ascii="Times New Roman" w:hAnsi="Times New Roman"/>
                <w:i/>
                <w:vertAlign w:val="superscript"/>
              </w:rPr>
              <w:t>b</w:t>
            </w:r>
          </w:p>
        </w:tc>
      </w:tr>
      <w:tr w:rsidR="00247505" w:rsidRPr="00F61CB2" w14:paraId="335B4585" w14:textId="77777777" w:rsidTr="001629CC">
        <w:tc>
          <w:tcPr>
            <w:tcW w:w="8913" w:type="dxa"/>
            <w:gridSpan w:val="7"/>
            <w:tcBorders>
              <w:left w:val="nil"/>
              <w:bottom w:val="nil"/>
              <w:right w:val="nil"/>
            </w:tcBorders>
          </w:tcPr>
          <w:p w14:paraId="734EDC03" w14:textId="77777777" w:rsidR="00247505" w:rsidRPr="001D538F" w:rsidRDefault="00247505" w:rsidP="001629CC">
            <w:pPr>
              <w:spacing w:line="276" w:lineRule="auto"/>
              <w:jc w:val="both"/>
              <w:rPr>
                <w:rFonts w:ascii="Times New Roman" w:hAnsi="Times New Roman"/>
              </w:rPr>
            </w:pPr>
            <w:r>
              <w:rPr>
                <w:rFonts w:ascii="Times New Roman" w:hAnsi="Times New Roman"/>
              </w:rPr>
              <w:t xml:space="preserve">Values are weighted percentage ± SE of the US adult population. </w:t>
            </w:r>
            <w:r>
              <w:rPr>
                <w:rFonts w:ascii="Times New Roman" w:hAnsi="Times New Roman"/>
                <w:vertAlign w:val="superscript"/>
              </w:rPr>
              <w:t>b</w:t>
            </w:r>
            <w:r>
              <w:rPr>
                <w:rFonts w:ascii="Times New Roman" w:hAnsi="Times New Roman"/>
              </w:rPr>
              <w:t xml:space="preserve"> P values from the Rao-Scott Chi-square test of independence. </w:t>
            </w:r>
          </w:p>
        </w:tc>
      </w:tr>
    </w:tbl>
    <w:p w14:paraId="4F86BE7B" w14:textId="77777777" w:rsidR="00247505" w:rsidRPr="005A241C" w:rsidRDefault="00247505" w:rsidP="00247505">
      <w:pPr>
        <w:spacing w:line="480" w:lineRule="auto"/>
        <w:ind w:firstLine="720"/>
        <w:jc w:val="both"/>
      </w:pPr>
    </w:p>
    <w:p w14:paraId="3BF2A153" w14:textId="30A9E54C" w:rsidR="00A63D52" w:rsidRDefault="00A63D52" w:rsidP="00247505">
      <w:pPr>
        <w:spacing w:line="480" w:lineRule="auto"/>
        <w:jc w:val="both"/>
        <w:rPr>
          <w:i/>
          <w:iCs/>
        </w:rPr>
      </w:pPr>
    </w:p>
    <w:p w14:paraId="00CE6E61" w14:textId="77777777" w:rsidR="004E4CEC" w:rsidRDefault="004E4CEC" w:rsidP="00247505">
      <w:pPr>
        <w:spacing w:line="480" w:lineRule="auto"/>
        <w:jc w:val="both"/>
        <w:rPr>
          <w:i/>
          <w:iCs/>
        </w:rPr>
      </w:pPr>
    </w:p>
    <w:p w14:paraId="7F46533D" w14:textId="10EBAA58" w:rsidR="00247505" w:rsidRPr="004E4CEC" w:rsidRDefault="00247505" w:rsidP="00247505">
      <w:pPr>
        <w:spacing w:line="480" w:lineRule="auto"/>
        <w:jc w:val="both"/>
        <w:rPr>
          <w:b/>
          <w:bCs/>
        </w:rPr>
      </w:pPr>
      <w:r w:rsidRPr="004E4CEC">
        <w:rPr>
          <w:b/>
          <w:bCs/>
        </w:rPr>
        <w:lastRenderedPageBreak/>
        <w:t>Odds Ratio Reporting</w:t>
      </w:r>
    </w:p>
    <w:p w14:paraId="47F45434" w14:textId="77777777" w:rsidR="00247505" w:rsidRDefault="00247505" w:rsidP="00247505">
      <w:pPr>
        <w:spacing w:line="480" w:lineRule="auto"/>
        <w:ind w:firstLine="720"/>
        <w:jc w:val="both"/>
      </w:pPr>
      <w:r>
        <w:t>Table 6 displays the odds ratios of being within a given pain category. Within age, moving from the young adult category to the older adult category it’s 1.12 times more likely that you will move up in a pain category. Additionally, when moving from middle aged adult to the older adult group, it’s 0.73 times more likely that you will move up in a pain category. Within education level, when moving from the college graduate category to the &lt; high school category you are 1.48 times more likely to move up in a pain category. Similarly, moving from high school degree/equivalent to &lt; high school you are 1.37 times more likely to move up in a pain category. When moving from some college/AA group to &lt; high school you are 0.92 times more likely to move up in a pain group. Significant differences were also found between the household income groups. Moving from the &gt;65K annually group to the &lt;35K annually group you are 1.93 times more likely to be in a higher pain category. A similar trend was found between the 35K-65K group and the &gt;35K group, in which you would be 1.33 times more likely to move up in a pain category when moving from the former group to the latter. Lastly, among the arthritis groups when mobbing from individuals who do not have a diagnosis of arthritis to those who do, you are 3.45 times more likely to move up in a pain category.</w:t>
      </w:r>
    </w:p>
    <w:p w14:paraId="034F3147" w14:textId="328CCCAE" w:rsidR="00247505" w:rsidRDefault="00247505" w:rsidP="00247505">
      <w:pPr>
        <w:spacing w:line="480" w:lineRule="auto"/>
        <w:ind w:firstLine="720"/>
        <w:jc w:val="both"/>
      </w:pPr>
      <w:r>
        <w:t xml:space="preserve">Table 7 also presents the odds ratios of being in a given pain category; however, for this analysis physical activity was only included as total physical activity instead of also incorporating recreational physical activity. When this was done there was a significant odds ratio for total physical activity. When moving from sufficiently active to insufficiently active you are 1.28 times more likely to move up a pain category.  </w:t>
      </w:r>
    </w:p>
    <w:p w14:paraId="4AB6440C" w14:textId="35B8DF6E" w:rsidR="004E4CEC" w:rsidRDefault="004E4CEC" w:rsidP="004E4CEC">
      <w:pPr>
        <w:spacing w:line="480" w:lineRule="auto"/>
        <w:ind w:firstLine="720"/>
        <w:jc w:val="both"/>
      </w:pPr>
      <w:r>
        <w:t xml:space="preserve">Table 8 shows correlations between continuous variables with BMI. Percent body fat, total fat mass, and total lean mass were all significantly correlated with BMI. However, total fat mass </w:t>
      </w:r>
      <w:r>
        <w:lastRenderedPageBreak/>
        <w:t>had the strongest correlation (R = 0.91) with BMI. Thus, fat mass was used in place of BMI in the third odds ratio analysis (shown in table 9). Table 9 shows the odds ratios of being in a given pain category when controlling for total fat mass instead of BMI. When controlling for fat mass, the odds of moving up in a pain category is no longer affected by age, race/ethnicity, and physical activity. Additionally, the total amount of fat mass has no significant effect on the odds of moving up in a pain category. However, significant differences in the odds of moving up in a pain category were still observed for education, income, and arthritis.</w:t>
      </w:r>
    </w:p>
    <w:tbl>
      <w:tblPr>
        <w:tblStyle w:val="TableGrid"/>
        <w:tblW w:w="5245" w:type="dxa"/>
        <w:tblLayout w:type="fixed"/>
        <w:tblLook w:val="04A0" w:firstRow="1" w:lastRow="0" w:firstColumn="1" w:lastColumn="0" w:noHBand="0" w:noVBand="1"/>
      </w:tblPr>
      <w:tblGrid>
        <w:gridCol w:w="3956"/>
        <w:gridCol w:w="1289"/>
      </w:tblGrid>
      <w:tr w:rsidR="00247505" w14:paraId="0CA7ED60" w14:textId="77777777" w:rsidTr="001629CC">
        <w:tc>
          <w:tcPr>
            <w:tcW w:w="5245" w:type="dxa"/>
            <w:gridSpan w:val="2"/>
            <w:tcBorders>
              <w:top w:val="nil"/>
              <w:left w:val="nil"/>
              <w:bottom w:val="double" w:sz="4" w:space="0" w:color="auto"/>
              <w:right w:val="nil"/>
            </w:tcBorders>
          </w:tcPr>
          <w:p w14:paraId="05EDBE3D"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b/>
                <w:sz w:val="20"/>
                <w:szCs w:val="20"/>
              </w:rPr>
              <w:t>Table 6</w:t>
            </w:r>
            <w:r>
              <w:rPr>
                <w:rFonts w:ascii="Times New Roman" w:hAnsi="Times New Roman"/>
                <w:sz w:val="20"/>
                <w:szCs w:val="20"/>
              </w:rPr>
              <w:t xml:space="preserve"> – Odds of moving up a pain category with a move from one dependent variable category to another. </w:t>
            </w:r>
          </w:p>
        </w:tc>
      </w:tr>
      <w:tr w:rsidR="00247505" w14:paraId="35A2C5E5" w14:textId="77777777" w:rsidTr="001629CC">
        <w:tc>
          <w:tcPr>
            <w:tcW w:w="5245" w:type="dxa"/>
            <w:gridSpan w:val="2"/>
            <w:tcBorders>
              <w:top w:val="double" w:sz="4" w:space="0" w:color="auto"/>
              <w:left w:val="nil"/>
              <w:bottom w:val="single" w:sz="4" w:space="0" w:color="auto"/>
              <w:right w:val="nil"/>
            </w:tcBorders>
          </w:tcPr>
          <w:p w14:paraId="214A2CBB" w14:textId="77777777" w:rsidR="00247505" w:rsidRPr="00B76A3C"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rPr>
              <w:t>Overall fit – Psuedo R Squared: 0.15 (Nagelkerke)</w:t>
            </w:r>
          </w:p>
        </w:tc>
      </w:tr>
      <w:tr w:rsidR="00247505" w14:paraId="4734BB42" w14:textId="77777777" w:rsidTr="001629CC">
        <w:tc>
          <w:tcPr>
            <w:tcW w:w="3956" w:type="dxa"/>
            <w:tcBorders>
              <w:top w:val="single" w:sz="4" w:space="0" w:color="auto"/>
              <w:left w:val="nil"/>
              <w:bottom w:val="nil"/>
              <w:right w:val="nil"/>
            </w:tcBorders>
          </w:tcPr>
          <w:p w14:paraId="408EB25D" w14:textId="77777777" w:rsidR="00247505" w:rsidRPr="00B76A3C" w:rsidRDefault="00247505" w:rsidP="001629CC">
            <w:pPr>
              <w:spacing w:before="120" w:line="276" w:lineRule="auto"/>
              <w:jc w:val="both"/>
              <w:rPr>
                <w:rFonts w:ascii="Times New Roman" w:hAnsi="Times New Roman"/>
                <w:b/>
                <w:sz w:val="20"/>
                <w:szCs w:val="20"/>
                <w:u w:val="single"/>
              </w:rPr>
            </w:pPr>
            <w:r w:rsidRPr="00B76A3C">
              <w:rPr>
                <w:rFonts w:ascii="Times New Roman" w:hAnsi="Times New Roman"/>
                <w:b/>
                <w:sz w:val="20"/>
                <w:szCs w:val="20"/>
                <w:u w:val="single"/>
              </w:rPr>
              <w:t>Variable</w:t>
            </w:r>
          </w:p>
        </w:tc>
        <w:tc>
          <w:tcPr>
            <w:tcW w:w="1289" w:type="dxa"/>
            <w:tcBorders>
              <w:top w:val="single" w:sz="4" w:space="0" w:color="auto"/>
              <w:left w:val="nil"/>
              <w:bottom w:val="nil"/>
              <w:right w:val="nil"/>
            </w:tcBorders>
          </w:tcPr>
          <w:p w14:paraId="3D5D8143" w14:textId="77777777" w:rsidR="00247505" w:rsidRPr="00B76A3C" w:rsidRDefault="00247505" w:rsidP="001629CC">
            <w:pPr>
              <w:spacing w:before="120" w:line="276" w:lineRule="auto"/>
              <w:jc w:val="both"/>
              <w:rPr>
                <w:rFonts w:ascii="Times New Roman" w:hAnsi="Times New Roman"/>
                <w:b/>
                <w:sz w:val="20"/>
                <w:szCs w:val="20"/>
                <w:u w:val="single"/>
              </w:rPr>
            </w:pPr>
            <w:r>
              <w:rPr>
                <w:rFonts w:ascii="Times New Roman" w:hAnsi="Times New Roman"/>
                <w:b/>
                <w:sz w:val="20"/>
                <w:szCs w:val="20"/>
                <w:u w:val="single"/>
              </w:rPr>
              <w:t>Odds Ratio</w:t>
            </w:r>
          </w:p>
        </w:tc>
      </w:tr>
      <w:tr w:rsidR="00247505" w14:paraId="4D7E317B" w14:textId="77777777" w:rsidTr="001629CC">
        <w:tc>
          <w:tcPr>
            <w:tcW w:w="3956" w:type="dxa"/>
            <w:tcBorders>
              <w:top w:val="nil"/>
              <w:left w:val="nil"/>
              <w:bottom w:val="nil"/>
              <w:right w:val="nil"/>
            </w:tcBorders>
          </w:tcPr>
          <w:p w14:paraId="4D00BD99" w14:textId="77777777" w:rsidR="00247505" w:rsidRPr="00B76A3C" w:rsidRDefault="00247505" w:rsidP="001629CC">
            <w:pPr>
              <w:spacing w:before="120" w:line="276" w:lineRule="auto"/>
              <w:jc w:val="both"/>
              <w:rPr>
                <w:rFonts w:ascii="Times New Roman" w:hAnsi="Times New Roman"/>
                <w:sz w:val="20"/>
                <w:szCs w:val="20"/>
                <w:u w:val="single"/>
              </w:rPr>
            </w:pPr>
            <w:r w:rsidRPr="00B76A3C">
              <w:rPr>
                <w:rFonts w:ascii="Times New Roman" w:hAnsi="Times New Roman"/>
                <w:sz w:val="20"/>
                <w:szCs w:val="20"/>
                <w:u w:val="single"/>
              </w:rPr>
              <w:t>Age Group</w:t>
            </w:r>
            <w:r>
              <w:rPr>
                <w:rFonts w:ascii="Times New Roman" w:hAnsi="Times New Roman"/>
                <w:sz w:val="20"/>
                <w:szCs w:val="20"/>
                <w:u w:val="single"/>
              </w:rPr>
              <w:t xml:space="preserve"> </w:t>
            </w:r>
            <w:r w:rsidRPr="00992D01">
              <w:rPr>
                <w:rFonts w:ascii="Times New Roman" w:hAnsi="Times New Roman"/>
                <w:sz w:val="20"/>
                <w:szCs w:val="20"/>
              </w:rPr>
              <w:t>(p= 0.02)</w:t>
            </w:r>
          </w:p>
        </w:tc>
        <w:tc>
          <w:tcPr>
            <w:tcW w:w="1289" w:type="dxa"/>
            <w:tcBorders>
              <w:top w:val="nil"/>
              <w:left w:val="nil"/>
              <w:bottom w:val="nil"/>
              <w:right w:val="nil"/>
            </w:tcBorders>
          </w:tcPr>
          <w:p w14:paraId="307682A1"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066DF99D" w14:textId="77777777" w:rsidTr="001629CC">
        <w:tc>
          <w:tcPr>
            <w:tcW w:w="3956" w:type="dxa"/>
            <w:tcBorders>
              <w:top w:val="nil"/>
              <w:left w:val="nil"/>
              <w:bottom w:val="nil"/>
              <w:right w:val="nil"/>
            </w:tcBorders>
          </w:tcPr>
          <w:p w14:paraId="7D3D1119"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20-35 to 56+</w:t>
            </w:r>
          </w:p>
        </w:tc>
        <w:tc>
          <w:tcPr>
            <w:tcW w:w="1289" w:type="dxa"/>
            <w:tcBorders>
              <w:top w:val="nil"/>
              <w:left w:val="nil"/>
              <w:bottom w:val="nil"/>
              <w:right w:val="nil"/>
            </w:tcBorders>
          </w:tcPr>
          <w:p w14:paraId="2AC5EEFC"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1.12</w:t>
            </w:r>
          </w:p>
        </w:tc>
      </w:tr>
      <w:tr w:rsidR="00247505" w14:paraId="25862EC9" w14:textId="77777777" w:rsidTr="001629CC">
        <w:tc>
          <w:tcPr>
            <w:tcW w:w="3956" w:type="dxa"/>
            <w:tcBorders>
              <w:top w:val="nil"/>
              <w:left w:val="nil"/>
              <w:bottom w:val="nil"/>
              <w:right w:val="nil"/>
            </w:tcBorders>
          </w:tcPr>
          <w:p w14:paraId="440DBB20"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36-55 to 56+</w:t>
            </w:r>
          </w:p>
        </w:tc>
        <w:tc>
          <w:tcPr>
            <w:tcW w:w="1289" w:type="dxa"/>
            <w:tcBorders>
              <w:top w:val="nil"/>
              <w:left w:val="nil"/>
              <w:bottom w:val="nil"/>
              <w:right w:val="nil"/>
            </w:tcBorders>
          </w:tcPr>
          <w:p w14:paraId="5DD09237"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0.73</w:t>
            </w:r>
          </w:p>
        </w:tc>
      </w:tr>
      <w:tr w:rsidR="00247505" w14:paraId="4EE027C8" w14:textId="77777777" w:rsidTr="001629CC">
        <w:tc>
          <w:tcPr>
            <w:tcW w:w="3956" w:type="dxa"/>
            <w:tcBorders>
              <w:top w:val="nil"/>
              <w:left w:val="nil"/>
              <w:bottom w:val="nil"/>
              <w:right w:val="nil"/>
            </w:tcBorders>
          </w:tcPr>
          <w:p w14:paraId="27BD9097"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Race/Ethnicity</w:t>
            </w:r>
            <w:r>
              <w:rPr>
                <w:rFonts w:ascii="Times New Roman" w:hAnsi="Times New Roman"/>
                <w:sz w:val="20"/>
                <w:szCs w:val="20"/>
              </w:rPr>
              <w:t xml:space="preserve"> (p &lt; 0.001)</w:t>
            </w:r>
          </w:p>
        </w:tc>
        <w:tc>
          <w:tcPr>
            <w:tcW w:w="1289" w:type="dxa"/>
            <w:tcBorders>
              <w:top w:val="nil"/>
              <w:left w:val="nil"/>
              <w:bottom w:val="nil"/>
              <w:right w:val="nil"/>
            </w:tcBorders>
          </w:tcPr>
          <w:p w14:paraId="2E60B3D8"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6886D079" w14:textId="77777777" w:rsidTr="001629CC">
        <w:tc>
          <w:tcPr>
            <w:tcW w:w="3956" w:type="dxa"/>
            <w:tcBorders>
              <w:top w:val="nil"/>
              <w:left w:val="nil"/>
              <w:bottom w:val="nil"/>
              <w:right w:val="nil"/>
            </w:tcBorders>
          </w:tcPr>
          <w:p w14:paraId="0862F3FC"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Education</w:t>
            </w:r>
            <w:r>
              <w:rPr>
                <w:rFonts w:ascii="Times New Roman" w:hAnsi="Times New Roman"/>
                <w:sz w:val="20"/>
                <w:szCs w:val="20"/>
                <w:u w:val="single"/>
              </w:rPr>
              <w:t xml:space="preserve"> </w:t>
            </w:r>
            <w:r>
              <w:rPr>
                <w:rFonts w:ascii="Times New Roman" w:hAnsi="Times New Roman"/>
                <w:sz w:val="20"/>
                <w:szCs w:val="20"/>
              </w:rPr>
              <w:t>(p = 0.01)</w:t>
            </w:r>
          </w:p>
        </w:tc>
        <w:tc>
          <w:tcPr>
            <w:tcW w:w="1289" w:type="dxa"/>
            <w:tcBorders>
              <w:top w:val="nil"/>
              <w:left w:val="nil"/>
              <w:bottom w:val="nil"/>
              <w:right w:val="nil"/>
            </w:tcBorders>
          </w:tcPr>
          <w:p w14:paraId="5736B33B"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73C0B675" w14:textId="77777777" w:rsidTr="001629CC">
        <w:tc>
          <w:tcPr>
            <w:tcW w:w="3956" w:type="dxa"/>
            <w:tcBorders>
              <w:top w:val="nil"/>
              <w:left w:val="nil"/>
              <w:bottom w:val="nil"/>
              <w:right w:val="nil"/>
            </w:tcBorders>
          </w:tcPr>
          <w:p w14:paraId="16F89D55" w14:textId="77777777" w:rsidR="00247505"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College grad to &lt; High school</w:t>
            </w:r>
          </w:p>
        </w:tc>
        <w:tc>
          <w:tcPr>
            <w:tcW w:w="1289" w:type="dxa"/>
            <w:tcBorders>
              <w:top w:val="nil"/>
              <w:left w:val="nil"/>
              <w:bottom w:val="nil"/>
              <w:right w:val="nil"/>
            </w:tcBorders>
          </w:tcPr>
          <w:p w14:paraId="5AB88485"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1.48</w:t>
            </w:r>
          </w:p>
        </w:tc>
      </w:tr>
      <w:tr w:rsidR="00247505" w14:paraId="264618B7" w14:textId="77777777" w:rsidTr="001629CC">
        <w:tc>
          <w:tcPr>
            <w:tcW w:w="3956" w:type="dxa"/>
            <w:tcBorders>
              <w:top w:val="nil"/>
              <w:left w:val="nil"/>
              <w:bottom w:val="nil"/>
              <w:right w:val="nil"/>
            </w:tcBorders>
          </w:tcPr>
          <w:p w14:paraId="4324A608" w14:textId="77777777" w:rsidR="00247505"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Some college or AA to &lt; High school</w:t>
            </w:r>
          </w:p>
        </w:tc>
        <w:tc>
          <w:tcPr>
            <w:tcW w:w="1289" w:type="dxa"/>
            <w:tcBorders>
              <w:top w:val="nil"/>
              <w:left w:val="nil"/>
              <w:bottom w:val="nil"/>
              <w:right w:val="nil"/>
            </w:tcBorders>
          </w:tcPr>
          <w:p w14:paraId="700260BD"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0.92</w:t>
            </w:r>
          </w:p>
        </w:tc>
      </w:tr>
      <w:tr w:rsidR="00247505" w14:paraId="12F35EEF" w14:textId="77777777" w:rsidTr="001629CC">
        <w:tc>
          <w:tcPr>
            <w:tcW w:w="3956" w:type="dxa"/>
            <w:tcBorders>
              <w:top w:val="nil"/>
              <w:left w:val="nil"/>
              <w:bottom w:val="nil"/>
              <w:right w:val="nil"/>
            </w:tcBorders>
          </w:tcPr>
          <w:p w14:paraId="6A2EE73D" w14:textId="77777777" w:rsidR="00247505"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High school or Equivalent to &lt;High school</w:t>
            </w:r>
          </w:p>
        </w:tc>
        <w:tc>
          <w:tcPr>
            <w:tcW w:w="1289" w:type="dxa"/>
            <w:tcBorders>
              <w:top w:val="nil"/>
              <w:left w:val="nil"/>
              <w:bottom w:val="nil"/>
              <w:right w:val="nil"/>
            </w:tcBorders>
          </w:tcPr>
          <w:p w14:paraId="246A094C"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1.37</w:t>
            </w:r>
          </w:p>
        </w:tc>
      </w:tr>
      <w:tr w:rsidR="00247505" w14:paraId="40551FBC" w14:textId="77777777" w:rsidTr="001629CC">
        <w:tc>
          <w:tcPr>
            <w:tcW w:w="3956" w:type="dxa"/>
            <w:tcBorders>
              <w:top w:val="nil"/>
              <w:left w:val="nil"/>
              <w:bottom w:val="nil"/>
              <w:right w:val="nil"/>
            </w:tcBorders>
          </w:tcPr>
          <w:p w14:paraId="1D8DC4C1"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Annual Household Income</w:t>
            </w:r>
            <w:r>
              <w:rPr>
                <w:rFonts w:ascii="Times New Roman" w:hAnsi="Times New Roman"/>
                <w:sz w:val="20"/>
                <w:szCs w:val="20"/>
              </w:rPr>
              <w:t xml:space="preserve"> (p &lt; 0.001)</w:t>
            </w:r>
          </w:p>
        </w:tc>
        <w:tc>
          <w:tcPr>
            <w:tcW w:w="1289" w:type="dxa"/>
            <w:tcBorders>
              <w:top w:val="nil"/>
              <w:left w:val="nil"/>
              <w:bottom w:val="nil"/>
              <w:right w:val="nil"/>
            </w:tcBorders>
          </w:tcPr>
          <w:p w14:paraId="62C1CFFE"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64EB6C43" w14:textId="77777777" w:rsidTr="001629CC">
        <w:tc>
          <w:tcPr>
            <w:tcW w:w="3956" w:type="dxa"/>
            <w:tcBorders>
              <w:top w:val="nil"/>
              <w:left w:val="nil"/>
              <w:bottom w:val="nil"/>
              <w:right w:val="nil"/>
            </w:tcBorders>
          </w:tcPr>
          <w:p w14:paraId="1CAF4EAF" w14:textId="77777777" w:rsidR="00247505"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w:t>
            </w:r>
            <w:r w:rsidRPr="00B76A3C">
              <w:rPr>
                <w:rFonts w:ascii="Times New Roman" w:hAnsi="Times New Roman"/>
                <w:sz w:val="20"/>
                <w:szCs w:val="20"/>
              </w:rPr>
              <w:t>&gt;$65K</w:t>
            </w:r>
            <w:r>
              <w:rPr>
                <w:rFonts w:ascii="Times New Roman" w:hAnsi="Times New Roman"/>
                <w:sz w:val="20"/>
                <w:szCs w:val="20"/>
              </w:rPr>
              <w:t xml:space="preserve"> to &lt;$35K</w:t>
            </w:r>
          </w:p>
        </w:tc>
        <w:tc>
          <w:tcPr>
            <w:tcW w:w="1289" w:type="dxa"/>
            <w:tcBorders>
              <w:top w:val="nil"/>
              <w:left w:val="nil"/>
              <w:bottom w:val="nil"/>
              <w:right w:val="nil"/>
            </w:tcBorders>
          </w:tcPr>
          <w:p w14:paraId="0C6A4BD2"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1.93</w:t>
            </w:r>
          </w:p>
        </w:tc>
      </w:tr>
      <w:tr w:rsidR="00247505" w14:paraId="2BB1B57C" w14:textId="77777777" w:rsidTr="001629CC">
        <w:tc>
          <w:tcPr>
            <w:tcW w:w="3956" w:type="dxa"/>
            <w:tcBorders>
              <w:top w:val="nil"/>
              <w:left w:val="nil"/>
              <w:bottom w:val="nil"/>
              <w:right w:val="nil"/>
            </w:tcBorders>
          </w:tcPr>
          <w:p w14:paraId="36A5304A" w14:textId="77777777" w:rsidR="00247505"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$35K&lt;$65K to &lt;35K</w:t>
            </w:r>
          </w:p>
        </w:tc>
        <w:tc>
          <w:tcPr>
            <w:tcW w:w="1289" w:type="dxa"/>
            <w:tcBorders>
              <w:top w:val="nil"/>
              <w:left w:val="nil"/>
              <w:bottom w:val="nil"/>
              <w:right w:val="nil"/>
            </w:tcBorders>
          </w:tcPr>
          <w:p w14:paraId="7A3A5A93"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1.33</w:t>
            </w:r>
          </w:p>
        </w:tc>
      </w:tr>
      <w:tr w:rsidR="00247505" w14:paraId="1302B87A" w14:textId="77777777" w:rsidTr="001629CC">
        <w:tc>
          <w:tcPr>
            <w:tcW w:w="3956" w:type="dxa"/>
            <w:tcBorders>
              <w:top w:val="nil"/>
              <w:left w:val="nil"/>
              <w:bottom w:val="nil"/>
              <w:right w:val="nil"/>
            </w:tcBorders>
          </w:tcPr>
          <w:p w14:paraId="5B8C2818"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BMI Category (%)</w:t>
            </w:r>
            <w:r>
              <w:rPr>
                <w:rFonts w:ascii="Times New Roman" w:hAnsi="Times New Roman"/>
                <w:sz w:val="20"/>
                <w:szCs w:val="20"/>
              </w:rPr>
              <w:t xml:space="preserve"> (p = 0.45)</w:t>
            </w:r>
          </w:p>
        </w:tc>
        <w:tc>
          <w:tcPr>
            <w:tcW w:w="1289" w:type="dxa"/>
            <w:tcBorders>
              <w:top w:val="nil"/>
              <w:left w:val="nil"/>
              <w:bottom w:val="nil"/>
              <w:right w:val="nil"/>
            </w:tcBorders>
          </w:tcPr>
          <w:p w14:paraId="2AEAF697"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570DCFE3" w14:textId="77777777" w:rsidTr="001629CC">
        <w:tc>
          <w:tcPr>
            <w:tcW w:w="3956" w:type="dxa"/>
            <w:tcBorders>
              <w:top w:val="nil"/>
              <w:left w:val="nil"/>
              <w:bottom w:val="nil"/>
              <w:right w:val="nil"/>
            </w:tcBorders>
          </w:tcPr>
          <w:p w14:paraId="6A6BEDF2"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Normal to Obese</w:t>
            </w:r>
          </w:p>
        </w:tc>
        <w:tc>
          <w:tcPr>
            <w:tcW w:w="1289" w:type="dxa"/>
            <w:tcBorders>
              <w:top w:val="nil"/>
              <w:left w:val="nil"/>
              <w:bottom w:val="nil"/>
              <w:right w:val="nil"/>
            </w:tcBorders>
          </w:tcPr>
          <w:p w14:paraId="49943DA5"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1.24</w:t>
            </w:r>
          </w:p>
        </w:tc>
      </w:tr>
      <w:tr w:rsidR="00247505" w14:paraId="06CA0F37" w14:textId="77777777" w:rsidTr="001629CC">
        <w:tc>
          <w:tcPr>
            <w:tcW w:w="3956" w:type="dxa"/>
            <w:tcBorders>
              <w:top w:val="nil"/>
              <w:left w:val="nil"/>
              <w:bottom w:val="nil"/>
              <w:right w:val="nil"/>
            </w:tcBorders>
          </w:tcPr>
          <w:p w14:paraId="47ED155A"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Overweight to Obese</w:t>
            </w:r>
          </w:p>
        </w:tc>
        <w:tc>
          <w:tcPr>
            <w:tcW w:w="1289" w:type="dxa"/>
            <w:tcBorders>
              <w:top w:val="nil"/>
              <w:left w:val="nil"/>
              <w:bottom w:val="nil"/>
              <w:right w:val="nil"/>
            </w:tcBorders>
          </w:tcPr>
          <w:p w14:paraId="6D58E806"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1.09</w:t>
            </w:r>
          </w:p>
        </w:tc>
      </w:tr>
      <w:tr w:rsidR="00247505" w14:paraId="5166C90E" w14:textId="77777777" w:rsidTr="001629CC">
        <w:tc>
          <w:tcPr>
            <w:tcW w:w="3956" w:type="dxa"/>
            <w:tcBorders>
              <w:top w:val="nil"/>
              <w:left w:val="nil"/>
              <w:bottom w:val="nil"/>
              <w:right w:val="nil"/>
            </w:tcBorders>
          </w:tcPr>
          <w:p w14:paraId="10B66D27"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Total Physical Activity (%)</w:t>
            </w:r>
            <w:r>
              <w:rPr>
                <w:rFonts w:ascii="Times New Roman" w:hAnsi="Times New Roman"/>
                <w:sz w:val="20"/>
                <w:szCs w:val="20"/>
              </w:rPr>
              <w:t xml:space="preserve"> (p = 0.10)</w:t>
            </w:r>
          </w:p>
        </w:tc>
        <w:tc>
          <w:tcPr>
            <w:tcW w:w="1289" w:type="dxa"/>
            <w:tcBorders>
              <w:top w:val="nil"/>
              <w:left w:val="nil"/>
              <w:bottom w:val="nil"/>
              <w:right w:val="nil"/>
            </w:tcBorders>
          </w:tcPr>
          <w:p w14:paraId="41861F2D"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12D9328C" w14:textId="77777777" w:rsidTr="001629CC">
        <w:tc>
          <w:tcPr>
            <w:tcW w:w="3956" w:type="dxa"/>
            <w:tcBorders>
              <w:top w:val="nil"/>
              <w:left w:val="nil"/>
              <w:bottom w:val="nil"/>
              <w:right w:val="nil"/>
            </w:tcBorders>
          </w:tcPr>
          <w:p w14:paraId="6F3BF167"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Sufficient to Insufficient</w:t>
            </w:r>
          </w:p>
        </w:tc>
        <w:tc>
          <w:tcPr>
            <w:tcW w:w="1289" w:type="dxa"/>
            <w:tcBorders>
              <w:top w:val="nil"/>
              <w:left w:val="nil"/>
              <w:bottom w:val="nil"/>
              <w:right w:val="nil"/>
            </w:tcBorders>
          </w:tcPr>
          <w:p w14:paraId="69A8FC05"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1.17</w:t>
            </w:r>
          </w:p>
        </w:tc>
      </w:tr>
      <w:tr w:rsidR="00247505" w14:paraId="7A941AC1" w14:textId="77777777" w:rsidTr="001629CC">
        <w:tc>
          <w:tcPr>
            <w:tcW w:w="3956" w:type="dxa"/>
            <w:tcBorders>
              <w:top w:val="nil"/>
              <w:left w:val="nil"/>
              <w:bottom w:val="nil"/>
              <w:right w:val="nil"/>
            </w:tcBorders>
          </w:tcPr>
          <w:p w14:paraId="3174D976"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 xml:space="preserve">Recreational Physical Activity (%) </w:t>
            </w:r>
            <w:r>
              <w:rPr>
                <w:rFonts w:ascii="Times New Roman" w:hAnsi="Times New Roman"/>
                <w:sz w:val="20"/>
                <w:szCs w:val="20"/>
              </w:rPr>
              <w:t>(p = 0.53)</w:t>
            </w:r>
          </w:p>
        </w:tc>
        <w:tc>
          <w:tcPr>
            <w:tcW w:w="1289" w:type="dxa"/>
            <w:tcBorders>
              <w:top w:val="nil"/>
              <w:left w:val="nil"/>
              <w:bottom w:val="nil"/>
              <w:right w:val="nil"/>
            </w:tcBorders>
          </w:tcPr>
          <w:p w14:paraId="6AC74AF9"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13DC3018" w14:textId="77777777" w:rsidTr="001629CC">
        <w:tc>
          <w:tcPr>
            <w:tcW w:w="3956" w:type="dxa"/>
            <w:tcBorders>
              <w:top w:val="nil"/>
              <w:left w:val="nil"/>
              <w:bottom w:val="nil"/>
              <w:right w:val="nil"/>
            </w:tcBorders>
          </w:tcPr>
          <w:p w14:paraId="1ED35853"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Sufficient to None</w:t>
            </w:r>
          </w:p>
        </w:tc>
        <w:tc>
          <w:tcPr>
            <w:tcW w:w="1289" w:type="dxa"/>
            <w:tcBorders>
              <w:top w:val="nil"/>
              <w:left w:val="nil"/>
              <w:bottom w:val="nil"/>
              <w:right w:val="nil"/>
            </w:tcBorders>
          </w:tcPr>
          <w:p w14:paraId="2CF02585"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1.19</w:t>
            </w:r>
          </w:p>
        </w:tc>
      </w:tr>
      <w:tr w:rsidR="00247505" w14:paraId="3307B0D9" w14:textId="77777777" w:rsidTr="001629CC">
        <w:tc>
          <w:tcPr>
            <w:tcW w:w="3956" w:type="dxa"/>
            <w:tcBorders>
              <w:top w:val="nil"/>
              <w:left w:val="nil"/>
              <w:bottom w:val="nil"/>
              <w:right w:val="nil"/>
            </w:tcBorders>
          </w:tcPr>
          <w:p w14:paraId="012DB4DB"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Insufficient to None</w:t>
            </w:r>
          </w:p>
        </w:tc>
        <w:tc>
          <w:tcPr>
            <w:tcW w:w="1289" w:type="dxa"/>
            <w:tcBorders>
              <w:top w:val="nil"/>
              <w:left w:val="nil"/>
              <w:bottom w:val="nil"/>
              <w:right w:val="nil"/>
            </w:tcBorders>
          </w:tcPr>
          <w:p w14:paraId="517FE882"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1.01</w:t>
            </w:r>
          </w:p>
        </w:tc>
      </w:tr>
      <w:tr w:rsidR="00247505" w14:paraId="57D393BC" w14:textId="77777777" w:rsidTr="001629CC">
        <w:tc>
          <w:tcPr>
            <w:tcW w:w="3956" w:type="dxa"/>
            <w:tcBorders>
              <w:top w:val="nil"/>
              <w:left w:val="nil"/>
              <w:bottom w:val="nil"/>
              <w:right w:val="nil"/>
            </w:tcBorders>
          </w:tcPr>
          <w:p w14:paraId="4918502B" w14:textId="77777777" w:rsidR="00247505" w:rsidRPr="00992D01" w:rsidRDefault="00247505" w:rsidP="001629CC">
            <w:pPr>
              <w:spacing w:before="120" w:line="276" w:lineRule="auto"/>
              <w:jc w:val="both"/>
              <w:rPr>
                <w:rFonts w:ascii="Times New Roman" w:hAnsi="Times New Roman"/>
                <w:sz w:val="20"/>
                <w:szCs w:val="20"/>
              </w:rPr>
            </w:pPr>
            <w:r w:rsidRPr="00B76A3C">
              <w:rPr>
                <w:rFonts w:ascii="Times New Roman" w:hAnsi="Times New Roman"/>
                <w:sz w:val="20"/>
                <w:szCs w:val="20"/>
                <w:u w:val="single"/>
              </w:rPr>
              <w:t>Arthritis Diagnosis (%)</w:t>
            </w:r>
            <w:r>
              <w:rPr>
                <w:rFonts w:ascii="Times New Roman" w:hAnsi="Times New Roman"/>
                <w:sz w:val="20"/>
                <w:szCs w:val="20"/>
              </w:rPr>
              <w:t xml:space="preserve"> (p &lt; 0.001)</w:t>
            </w:r>
          </w:p>
        </w:tc>
        <w:tc>
          <w:tcPr>
            <w:tcW w:w="1289" w:type="dxa"/>
            <w:tcBorders>
              <w:top w:val="nil"/>
              <w:left w:val="nil"/>
              <w:bottom w:val="nil"/>
              <w:right w:val="nil"/>
            </w:tcBorders>
          </w:tcPr>
          <w:p w14:paraId="44C86B92"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2F885472" w14:textId="77777777" w:rsidTr="001629CC">
        <w:tc>
          <w:tcPr>
            <w:tcW w:w="3956" w:type="dxa"/>
            <w:tcBorders>
              <w:top w:val="nil"/>
              <w:left w:val="nil"/>
              <w:bottom w:val="single" w:sz="4" w:space="0" w:color="auto"/>
              <w:right w:val="nil"/>
            </w:tcBorders>
          </w:tcPr>
          <w:p w14:paraId="6AD76903" w14:textId="77777777" w:rsidR="00247505" w:rsidRPr="00B76A3C" w:rsidRDefault="00247505" w:rsidP="001629CC">
            <w:pPr>
              <w:spacing w:line="276" w:lineRule="auto"/>
              <w:jc w:val="both"/>
              <w:rPr>
                <w:rFonts w:ascii="Times New Roman" w:hAnsi="Times New Roman"/>
                <w:sz w:val="20"/>
                <w:szCs w:val="20"/>
              </w:rPr>
            </w:pPr>
            <w:r>
              <w:rPr>
                <w:rFonts w:ascii="Times New Roman" w:hAnsi="Times New Roman"/>
                <w:sz w:val="20"/>
                <w:szCs w:val="20"/>
              </w:rPr>
              <w:t xml:space="preserve">     </w:t>
            </w:r>
            <w:r w:rsidRPr="0087279A">
              <w:rPr>
                <w:rFonts w:ascii="Times New Roman" w:hAnsi="Times New Roman"/>
                <w:sz w:val="20"/>
                <w:szCs w:val="20"/>
              </w:rPr>
              <w:t>“No” to “Yes”</w:t>
            </w:r>
          </w:p>
        </w:tc>
        <w:tc>
          <w:tcPr>
            <w:tcW w:w="1289" w:type="dxa"/>
            <w:tcBorders>
              <w:top w:val="nil"/>
              <w:left w:val="nil"/>
              <w:bottom w:val="single" w:sz="4" w:space="0" w:color="auto"/>
              <w:right w:val="nil"/>
            </w:tcBorders>
          </w:tcPr>
          <w:p w14:paraId="64E4907F"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3.45</w:t>
            </w:r>
          </w:p>
        </w:tc>
      </w:tr>
    </w:tbl>
    <w:p w14:paraId="1C1C5A01" w14:textId="5C7B0B66" w:rsidR="00247505" w:rsidRDefault="00247505" w:rsidP="00247505">
      <w:pPr>
        <w:spacing w:line="480" w:lineRule="auto"/>
        <w:ind w:firstLine="720"/>
        <w:jc w:val="both"/>
      </w:pPr>
    </w:p>
    <w:p w14:paraId="65671392" w14:textId="77777777" w:rsidR="004E4CEC" w:rsidRDefault="004E4CEC" w:rsidP="004E4CEC">
      <w:pPr>
        <w:spacing w:line="480" w:lineRule="auto"/>
        <w:jc w:val="both"/>
      </w:pPr>
    </w:p>
    <w:tbl>
      <w:tblPr>
        <w:tblStyle w:val="TableGrid"/>
        <w:tblpPr w:leftFromText="180" w:rightFromText="180" w:vertAnchor="text" w:tblpY="1"/>
        <w:tblOverlap w:val="never"/>
        <w:tblW w:w="5245" w:type="dxa"/>
        <w:tblLayout w:type="fixed"/>
        <w:tblLook w:val="04A0" w:firstRow="1" w:lastRow="0" w:firstColumn="1" w:lastColumn="0" w:noHBand="0" w:noVBand="1"/>
      </w:tblPr>
      <w:tblGrid>
        <w:gridCol w:w="3956"/>
        <w:gridCol w:w="1289"/>
      </w:tblGrid>
      <w:tr w:rsidR="00247505" w14:paraId="010FA2C2" w14:textId="77777777" w:rsidTr="0047668E">
        <w:tc>
          <w:tcPr>
            <w:tcW w:w="5245" w:type="dxa"/>
            <w:gridSpan w:val="2"/>
            <w:tcBorders>
              <w:top w:val="nil"/>
              <w:left w:val="nil"/>
              <w:bottom w:val="double" w:sz="4" w:space="0" w:color="auto"/>
              <w:right w:val="nil"/>
            </w:tcBorders>
          </w:tcPr>
          <w:p w14:paraId="06B5A1DF" w14:textId="609DBFC8" w:rsidR="00247505" w:rsidRPr="00B76A3C" w:rsidRDefault="00247505" w:rsidP="0047668E">
            <w:pPr>
              <w:spacing w:line="276" w:lineRule="auto"/>
              <w:jc w:val="both"/>
              <w:rPr>
                <w:rFonts w:ascii="Times New Roman" w:hAnsi="Times New Roman"/>
                <w:sz w:val="20"/>
                <w:szCs w:val="20"/>
              </w:rPr>
            </w:pPr>
            <w:r>
              <w:rPr>
                <w:rFonts w:ascii="Times New Roman" w:hAnsi="Times New Roman"/>
                <w:b/>
                <w:sz w:val="20"/>
                <w:szCs w:val="20"/>
              </w:rPr>
              <w:lastRenderedPageBreak/>
              <w:t>Table 7</w:t>
            </w:r>
            <w:r w:rsidRPr="00B76A3C">
              <w:rPr>
                <w:rFonts w:ascii="Times New Roman" w:hAnsi="Times New Roman"/>
                <w:sz w:val="20"/>
                <w:szCs w:val="20"/>
              </w:rPr>
              <w:t xml:space="preserve"> – </w:t>
            </w:r>
            <w:r>
              <w:rPr>
                <w:rFonts w:ascii="Times New Roman" w:hAnsi="Times New Roman"/>
                <w:sz w:val="20"/>
                <w:szCs w:val="20"/>
              </w:rPr>
              <w:t>Odds of moving up a pain category with a move from one dependent variable category to another</w:t>
            </w:r>
          </w:p>
        </w:tc>
      </w:tr>
      <w:tr w:rsidR="00247505" w14:paraId="6CD20A69" w14:textId="77777777" w:rsidTr="0047668E">
        <w:tc>
          <w:tcPr>
            <w:tcW w:w="5245" w:type="dxa"/>
            <w:gridSpan w:val="2"/>
            <w:tcBorders>
              <w:top w:val="double" w:sz="4" w:space="0" w:color="auto"/>
              <w:left w:val="nil"/>
              <w:bottom w:val="single" w:sz="4" w:space="0" w:color="auto"/>
              <w:right w:val="nil"/>
            </w:tcBorders>
          </w:tcPr>
          <w:p w14:paraId="4FE3AF89" w14:textId="77777777" w:rsidR="00247505" w:rsidRPr="00B76A3C"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rPr>
              <w:t>Overall fit – Psuedo R Squared: 0.15 (Nagelkerke)</w:t>
            </w:r>
          </w:p>
        </w:tc>
      </w:tr>
      <w:tr w:rsidR="00247505" w14:paraId="11CF16AB" w14:textId="77777777" w:rsidTr="0047668E">
        <w:tc>
          <w:tcPr>
            <w:tcW w:w="3956" w:type="dxa"/>
            <w:tcBorders>
              <w:top w:val="single" w:sz="4" w:space="0" w:color="auto"/>
              <w:left w:val="nil"/>
              <w:bottom w:val="nil"/>
              <w:right w:val="nil"/>
            </w:tcBorders>
          </w:tcPr>
          <w:p w14:paraId="50E65C2C" w14:textId="77777777" w:rsidR="00247505" w:rsidRPr="00B76A3C" w:rsidRDefault="00247505" w:rsidP="0047668E">
            <w:pPr>
              <w:spacing w:before="120" w:line="276" w:lineRule="auto"/>
              <w:jc w:val="both"/>
              <w:rPr>
                <w:rFonts w:ascii="Times New Roman" w:hAnsi="Times New Roman"/>
                <w:b/>
                <w:sz w:val="20"/>
                <w:szCs w:val="20"/>
                <w:u w:val="single"/>
              </w:rPr>
            </w:pPr>
            <w:r w:rsidRPr="00B76A3C">
              <w:rPr>
                <w:rFonts w:ascii="Times New Roman" w:hAnsi="Times New Roman"/>
                <w:b/>
                <w:sz w:val="20"/>
                <w:szCs w:val="20"/>
                <w:u w:val="single"/>
              </w:rPr>
              <w:t>Variable</w:t>
            </w:r>
          </w:p>
        </w:tc>
        <w:tc>
          <w:tcPr>
            <w:tcW w:w="1289" w:type="dxa"/>
            <w:tcBorders>
              <w:top w:val="single" w:sz="4" w:space="0" w:color="auto"/>
              <w:left w:val="nil"/>
              <w:bottom w:val="nil"/>
              <w:right w:val="nil"/>
            </w:tcBorders>
          </w:tcPr>
          <w:p w14:paraId="306AF1E8" w14:textId="77777777" w:rsidR="00247505" w:rsidRPr="00B76A3C" w:rsidRDefault="00247505" w:rsidP="0047668E">
            <w:pPr>
              <w:spacing w:before="120" w:line="276" w:lineRule="auto"/>
              <w:jc w:val="both"/>
              <w:rPr>
                <w:rFonts w:ascii="Times New Roman" w:hAnsi="Times New Roman"/>
                <w:b/>
                <w:sz w:val="20"/>
                <w:szCs w:val="20"/>
                <w:u w:val="single"/>
              </w:rPr>
            </w:pPr>
            <w:r>
              <w:rPr>
                <w:rFonts w:ascii="Times New Roman" w:hAnsi="Times New Roman"/>
                <w:b/>
                <w:sz w:val="20"/>
                <w:szCs w:val="20"/>
                <w:u w:val="single"/>
              </w:rPr>
              <w:t>Odds Ratio</w:t>
            </w:r>
          </w:p>
        </w:tc>
      </w:tr>
      <w:tr w:rsidR="00247505" w14:paraId="0314C3DB" w14:textId="77777777" w:rsidTr="0047668E">
        <w:tc>
          <w:tcPr>
            <w:tcW w:w="3956" w:type="dxa"/>
            <w:tcBorders>
              <w:top w:val="nil"/>
              <w:left w:val="nil"/>
              <w:bottom w:val="nil"/>
              <w:right w:val="nil"/>
            </w:tcBorders>
          </w:tcPr>
          <w:p w14:paraId="50A5593D" w14:textId="77777777" w:rsidR="00247505" w:rsidRPr="00B76A3C" w:rsidRDefault="00247505" w:rsidP="0047668E">
            <w:pPr>
              <w:spacing w:before="120" w:line="276" w:lineRule="auto"/>
              <w:jc w:val="both"/>
              <w:rPr>
                <w:rFonts w:ascii="Times New Roman" w:hAnsi="Times New Roman"/>
                <w:sz w:val="20"/>
                <w:szCs w:val="20"/>
                <w:u w:val="single"/>
              </w:rPr>
            </w:pPr>
            <w:r w:rsidRPr="00B76A3C">
              <w:rPr>
                <w:rFonts w:ascii="Times New Roman" w:hAnsi="Times New Roman"/>
                <w:sz w:val="20"/>
                <w:szCs w:val="20"/>
                <w:u w:val="single"/>
              </w:rPr>
              <w:t>Age Group</w:t>
            </w:r>
            <w:r>
              <w:rPr>
                <w:rFonts w:ascii="Times New Roman" w:hAnsi="Times New Roman"/>
                <w:sz w:val="20"/>
                <w:szCs w:val="20"/>
                <w:u w:val="single"/>
              </w:rPr>
              <w:t xml:space="preserve"> </w:t>
            </w:r>
            <w:r w:rsidRPr="00992D01">
              <w:rPr>
                <w:rFonts w:ascii="Times New Roman" w:hAnsi="Times New Roman"/>
                <w:sz w:val="20"/>
                <w:szCs w:val="20"/>
              </w:rPr>
              <w:t>(p= 0.</w:t>
            </w:r>
            <w:r>
              <w:rPr>
                <w:rFonts w:ascii="Times New Roman" w:hAnsi="Times New Roman"/>
                <w:sz w:val="20"/>
                <w:szCs w:val="20"/>
              </w:rPr>
              <w:t>01</w:t>
            </w:r>
            <w:r w:rsidRPr="00992D01">
              <w:rPr>
                <w:rFonts w:ascii="Times New Roman" w:hAnsi="Times New Roman"/>
                <w:sz w:val="20"/>
                <w:szCs w:val="20"/>
              </w:rPr>
              <w:t>)</w:t>
            </w:r>
          </w:p>
        </w:tc>
        <w:tc>
          <w:tcPr>
            <w:tcW w:w="1289" w:type="dxa"/>
            <w:tcBorders>
              <w:top w:val="nil"/>
              <w:left w:val="nil"/>
              <w:bottom w:val="nil"/>
              <w:right w:val="nil"/>
            </w:tcBorders>
          </w:tcPr>
          <w:p w14:paraId="725D5F0F" w14:textId="77777777" w:rsidR="00247505" w:rsidRPr="00B76A3C" w:rsidRDefault="00247505" w:rsidP="0047668E">
            <w:pPr>
              <w:spacing w:before="120" w:line="276" w:lineRule="auto"/>
              <w:jc w:val="both"/>
              <w:rPr>
                <w:rFonts w:ascii="Times New Roman" w:hAnsi="Times New Roman"/>
                <w:sz w:val="20"/>
                <w:szCs w:val="20"/>
              </w:rPr>
            </w:pPr>
          </w:p>
        </w:tc>
      </w:tr>
      <w:tr w:rsidR="00247505" w14:paraId="04580501" w14:textId="77777777" w:rsidTr="0047668E">
        <w:tc>
          <w:tcPr>
            <w:tcW w:w="3956" w:type="dxa"/>
            <w:tcBorders>
              <w:top w:val="nil"/>
              <w:left w:val="nil"/>
              <w:bottom w:val="nil"/>
              <w:right w:val="nil"/>
            </w:tcBorders>
          </w:tcPr>
          <w:p w14:paraId="4EAA5058"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20-35 to 56+</w:t>
            </w:r>
          </w:p>
        </w:tc>
        <w:tc>
          <w:tcPr>
            <w:tcW w:w="1289" w:type="dxa"/>
            <w:tcBorders>
              <w:top w:val="nil"/>
              <w:left w:val="nil"/>
              <w:bottom w:val="nil"/>
              <w:right w:val="nil"/>
            </w:tcBorders>
          </w:tcPr>
          <w:p w14:paraId="76D92B1E"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1.12</w:t>
            </w:r>
          </w:p>
        </w:tc>
      </w:tr>
      <w:tr w:rsidR="00247505" w14:paraId="79FB2E2E" w14:textId="77777777" w:rsidTr="0047668E">
        <w:tc>
          <w:tcPr>
            <w:tcW w:w="3956" w:type="dxa"/>
            <w:tcBorders>
              <w:top w:val="nil"/>
              <w:left w:val="nil"/>
              <w:bottom w:val="nil"/>
              <w:right w:val="nil"/>
            </w:tcBorders>
          </w:tcPr>
          <w:p w14:paraId="3FC4A871"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36-55 to 56+</w:t>
            </w:r>
          </w:p>
        </w:tc>
        <w:tc>
          <w:tcPr>
            <w:tcW w:w="1289" w:type="dxa"/>
            <w:tcBorders>
              <w:top w:val="nil"/>
              <w:left w:val="nil"/>
              <w:bottom w:val="nil"/>
              <w:right w:val="nil"/>
            </w:tcBorders>
          </w:tcPr>
          <w:p w14:paraId="767ECFEA"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0.73</w:t>
            </w:r>
          </w:p>
        </w:tc>
      </w:tr>
      <w:tr w:rsidR="00247505" w14:paraId="6A86EECD" w14:textId="77777777" w:rsidTr="0047668E">
        <w:tc>
          <w:tcPr>
            <w:tcW w:w="3956" w:type="dxa"/>
            <w:tcBorders>
              <w:top w:val="nil"/>
              <w:left w:val="nil"/>
              <w:bottom w:val="nil"/>
              <w:right w:val="nil"/>
            </w:tcBorders>
          </w:tcPr>
          <w:p w14:paraId="34278363"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Race/Ethnicity</w:t>
            </w:r>
            <w:r>
              <w:rPr>
                <w:rFonts w:ascii="Times New Roman" w:hAnsi="Times New Roman"/>
                <w:sz w:val="20"/>
                <w:szCs w:val="20"/>
              </w:rPr>
              <w:t xml:space="preserve"> (p &lt; 0.001)</w:t>
            </w:r>
          </w:p>
        </w:tc>
        <w:tc>
          <w:tcPr>
            <w:tcW w:w="1289" w:type="dxa"/>
            <w:tcBorders>
              <w:top w:val="nil"/>
              <w:left w:val="nil"/>
              <w:bottom w:val="nil"/>
              <w:right w:val="nil"/>
            </w:tcBorders>
          </w:tcPr>
          <w:p w14:paraId="6AE83D5C"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2A08FE63" w14:textId="77777777" w:rsidTr="0047668E">
        <w:tc>
          <w:tcPr>
            <w:tcW w:w="3956" w:type="dxa"/>
            <w:tcBorders>
              <w:top w:val="nil"/>
              <w:left w:val="nil"/>
              <w:bottom w:val="nil"/>
              <w:right w:val="nil"/>
            </w:tcBorders>
          </w:tcPr>
          <w:p w14:paraId="55841C64"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Education</w:t>
            </w:r>
            <w:r>
              <w:rPr>
                <w:rFonts w:ascii="Times New Roman" w:hAnsi="Times New Roman"/>
                <w:sz w:val="20"/>
                <w:szCs w:val="20"/>
                <w:u w:val="single"/>
              </w:rPr>
              <w:t xml:space="preserve"> </w:t>
            </w:r>
            <w:r>
              <w:rPr>
                <w:rFonts w:ascii="Times New Roman" w:hAnsi="Times New Roman"/>
                <w:sz w:val="20"/>
                <w:szCs w:val="20"/>
              </w:rPr>
              <w:t>(p = 0.005)</w:t>
            </w:r>
          </w:p>
        </w:tc>
        <w:tc>
          <w:tcPr>
            <w:tcW w:w="1289" w:type="dxa"/>
            <w:tcBorders>
              <w:top w:val="nil"/>
              <w:left w:val="nil"/>
              <w:bottom w:val="nil"/>
              <w:right w:val="nil"/>
            </w:tcBorders>
          </w:tcPr>
          <w:p w14:paraId="48421413"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402071FE" w14:textId="77777777" w:rsidTr="0047668E">
        <w:tc>
          <w:tcPr>
            <w:tcW w:w="3956" w:type="dxa"/>
            <w:tcBorders>
              <w:top w:val="nil"/>
              <w:left w:val="nil"/>
              <w:bottom w:val="nil"/>
              <w:right w:val="nil"/>
            </w:tcBorders>
          </w:tcPr>
          <w:p w14:paraId="3613DB81" w14:textId="77777777" w:rsidR="00247505"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College grad to &lt; High school</w:t>
            </w:r>
          </w:p>
        </w:tc>
        <w:tc>
          <w:tcPr>
            <w:tcW w:w="1289" w:type="dxa"/>
            <w:tcBorders>
              <w:top w:val="nil"/>
              <w:left w:val="nil"/>
              <w:bottom w:val="nil"/>
              <w:right w:val="nil"/>
            </w:tcBorders>
          </w:tcPr>
          <w:p w14:paraId="32D8BEE7"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1.53</w:t>
            </w:r>
          </w:p>
        </w:tc>
      </w:tr>
      <w:tr w:rsidR="00247505" w14:paraId="3228108E" w14:textId="77777777" w:rsidTr="0047668E">
        <w:tc>
          <w:tcPr>
            <w:tcW w:w="3956" w:type="dxa"/>
            <w:tcBorders>
              <w:top w:val="nil"/>
              <w:left w:val="nil"/>
              <w:bottom w:val="nil"/>
              <w:right w:val="nil"/>
            </w:tcBorders>
          </w:tcPr>
          <w:p w14:paraId="37C20174" w14:textId="77777777" w:rsidR="00247505"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Some college or AA to &lt; High school</w:t>
            </w:r>
          </w:p>
        </w:tc>
        <w:tc>
          <w:tcPr>
            <w:tcW w:w="1289" w:type="dxa"/>
            <w:tcBorders>
              <w:top w:val="nil"/>
              <w:left w:val="nil"/>
              <w:bottom w:val="nil"/>
              <w:right w:val="nil"/>
            </w:tcBorders>
          </w:tcPr>
          <w:p w14:paraId="28BE935D"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0.94</w:t>
            </w:r>
          </w:p>
        </w:tc>
      </w:tr>
      <w:tr w:rsidR="00247505" w14:paraId="473D17F1" w14:textId="77777777" w:rsidTr="0047668E">
        <w:tc>
          <w:tcPr>
            <w:tcW w:w="3956" w:type="dxa"/>
            <w:tcBorders>
              <w:top w:val="nil"/>
              <w:left w:val="nil"/>
              <w:bottom w:val="nil"/>
              <w:right w:val="nil"/>
            </w:tcBorders>
          </w:tcPr>
          <w:p w14:paraId="460FF326" w14:textId="77777777" w:rsidR="00247505"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High school or Equivalent to &lt;High school</w:t>
            </w:r>
          </w:p>
        </w:tc>
        <w:tc>
          <w:tcPr>
            <w:tcW w:w="1289" w:type="dxa"/>
            <w:tcBorders>
              <w:top w:val="nil"/>
              <w:left w:val="nil"/>
              <w:bottom w:val="nil"/>
              <w:right w:val="nil"/>
            </w:tcBorders>
          </w:tcPr>
          <w:p w14:paraId="6CEFD14B"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1.39</w:t>
            </w:r>
          </w:p>
        </w:tc>
      </w:tr>
      <w:tr w:rsidR="00247505" w14:paraId="35B085C4" w14:textId="77777777" w:rsidTr="0047668E">
        <w:tc>
          <w:tcPr>
            <w:tcW w:w="3956" w:type="dxa"/>
            <w:tcBorders>
              <w:top w:val="nil"/>
              <w:left w:val="nil"/>
              <w:bottom w:val="nil"/>
              <w:right w:val="nil"/>
            </w:tcBorders>
          </w:tcPr>
          <w:p w14:paraId="0DCC4F65"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Annual Household Income</w:t>
            </w:r>
            <w:r>
              <w:rPr>
                <w:rFonts w:ascii="Times New Roman" w:hAnsi="Times New Roman"/>
                <w:sz w:val="20"/>
                <w:szCs w:val="20"/>
              </w:rPr>
              <w:t xml:space="preserve"> (p &lt; 0.001)</w:t>
            </w:r>
          </w:p>
        </w:tc>
        <w:tc>
          <w:tcPr>
            <w:tcW w:w="1289" w:type="dxa"/>
            <w:tcBorders>
              <w:top w:val="nil"/>
              <w:left w:val="nil"/>
              <w:bottom w:val="nil"/>
              <w:right w:val="nil"/>
            </w:tcBorders>
          </w:tcPr>
          <w:p w14:paraId="720E9D2C"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3249A138" w14:textId="77777777" w:rsidTr="0047668E">
        <w:tc>
          <w:tcPr>
            <w:tcW w:w="3956" w:type="dxa"/>
            <w:tcBorders>
              <w:top w:val="nil"/>
              <w:left w:val="nil"/>
              <w:bottom w:val="nil"/>
              <w:right w:val="nil"/>
            </w:tcBorders>
          </w:tcPr>
          <w:p w14:paraId="50086F84" w14:textId="77777777" w:rsidR="00247505"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w:t>
            </w:r>
            <w:r w:rsidRPr="00B76A3C">
              <w:rPr>
                <w:rFonts w:ascii="Times New Roman" w:hAnsi="Times New Roman"/>
                <w:sz w:val="20"/>
                <w:szCs w:val="20"/>
              </w:rPr>
              <w:t>&gt;$65K</w:t>
            </w:r>
            <w:r>
              <w:rPr>
                <w:rFonts w:ascii="Times New Roman" w:hAnsi="Times New Roman"/>
                <w:sz w:val="20"/>
                <w:szCs w:val="20"/>
              </w:rPr>
              <w:t xml:space="preserve"> to &lt;$35K</w:t>
            </w:r>
          </w:p>
        </w:tc>
        <w:tc>
          <w:tcPr>
            <w:tcW w:w="1289" w:type="dxa"/>
            <w:tcBorders>
              <w:top w:val="nil"/>
              <w:left w:val="nil"/>
              <w:bottom w:val="nil"/>
              <w:right w:val="nil"/>
            </w:tcBorders>
          </w:tcPr>
          <w:p w14:paraId="6EAB0772"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1.94</w:t>
            </w:r>
          </w:p>
        </w:tc>
      </w:tr>
      <w:tr w:rsidR="00247505" w14:paraId="29FBBA33" w14:textId="77777777" w:rsidTr="0047668E">
        <w:tc>
          <w:tcPr>
            <w:tcW w:w="3956" w:type="dxa"/>
            <w:tcBorders>
              <w:top w:val="nil"/>
              <w:left w:val="nil"/>
              <w:bottom w:val="nil"/>
              <w:right w:val="nil"/>
            </w:tcBorders>
          </w:tcPr>
          <w:p w14:paraId="4DBA9E1C" w14:textId="77777777" w:rsidR="00247505"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$35K&lt;$65K to &lt;35K</w:t>
            </w:r>
          </w:p>
        </w:tc>
        <w:tc>
          <w:tcPr>
            <w:tcW w:w="1289" w:type="dxa"/>
            <w:tcBorders>
              <w:top w:val="nil"/>
              <w:left w:val="nil"/>
              <w:bottom w:val="nil"/>
              <w:right w:val="nil"/>
            </w:tcBorders>
          </w:tcPr>
          <w:p w14:paraId="0B507DEE"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1.33</w:t>
            </w:r>
          </w:p>
        </w:tc>
      </w:tr>
      <w:tr w:rsidR="00247505" w14:paraId="62A65BD1" w14:textId="77777777" w:rsidTr="0047668E">
        <w:tc>
          <w:tcPr>
            <w:tcW w:w="3956" w:type="dxa"/>
            <w:tcBorders>
              <w:top w:val="nil"/>
              <w:left w:val="nil"/>
              <w:bottom w:val="nil"/>
              <w:right w:val="nil"/>
            </w:tcBorders>
          </w:tcPr>
          <w:p w14:paraId="39230CD8"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BMI Category (%)</w:t>
            </w:r>
            <w:r>
              <w:rPr>
                <w:rFonts w:ascii="Times New Roman" w:hAnsi="Times New Roman"/>
                <w:sz w:val="20"/>
                <w:szCs w:val="20"/>
              </w:rPr>
              <w:t xml:space="preserve"> (p = 0.42)</w:t>
            </w:r>
          </w:p>
        </w:tc>
        <w:tc>
          <w:tcPr>
            <w:tcW w:w="1289" w:type="dxa"/>
            <w:tcBorders>
              <w:top w:val="nil"/>
              <w:left w:val="nil"/>
              <w:bottom w:val="nil"/>
              <w:right w:val="nil"/>
            </w:tcBorders>
          </w:tcPr>
          <w:p w14:paraId="10B09DE7"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35F4DB6D" w14:textId="77777777" w:rsidTr="0047668E">
        <w:tc>
          <w:tcPr>
            <w:tcW w:w="3956" w:type="dxa"/>
            <w:tcBorders>
              <w:top w:val="nil"/>
              <w:left w:val="nil"/>
              <w:bottom w:val="nil"/>
              <w:right w:val="nil"/>
            </w:tcBorders>
          </w:tcPr>
          <w:p w14:paraId="231D43E8"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Normal to Obese</w:t>
            </w:r>
          </w:p>
        </w:tc>
        <w:tc>
          <w:tcPr>
            <w:tcW w:w="1289" w:type="dxa"/>
            <w:tcBorders>
              <w:top w:val="nil"/>
              <w:left w:val="nil"/>
              <w:bottom w:val="nil"/>
              <w:right w:val="nil"/>
            </w:tcBorders>
          </w:tcPr>
          <w:p w14:paraId="34C2F319"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1.25</w:t>
            </w:r>
          </w:p>
        </w:tc>
      </w:tr>
      <w:tr w:rsidR="00247505" w14:paraId="0C872F0C" w14:textId="77777777" w:rsidTr="0047668E">
        <w:tc>
          <w:tcPr>
            <w:tcW w:w="3956" w:type="dxa"/>
            <w:tcBorders>
              <w:top w:val="nil"/>
              <w:left w:val="nil"/>
              <w:bottom w:val="nil"/>
              <w:right w:val="nil"/>
            </w:tcBorders>
          </w:tcPr>
          <w:p w14:paraId="0D92BA2B"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Overweight to Obese</w:t>
            </w:r>
          </w:p>
        </w:tc>
        <w:tc>
          <w:tcPr>
            <w:tcW w:w="1289" w:type="dxa"/>
            <w:tcBorders>
              <w:top w:val="nil"/>
              <w:left w:val="nil"/>
              <w:bottom w:val="nil"/>
              <w:right w:val="nil"/>
            </w:tcBorders>
          </w:tcPr>
          <w:p w14:paraId="50FCC7BB"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1.11</w:t>
            </w:r>
          </w:p>
        </w:tc>
      </w:tr>
      <w:tr w:rsidR="00247505" w14:paraId="736B9D06" w14:textId="77777777" w:rsidTr="0047668E">
        <w:tc>
          <w:tcPr>
            <w:tcW w:w="3956" w:type="dxa"/>
            <w:tcBorders>
              <w:top w:val="nil"/>
              <w:left w:val="nil"/>
              <w:bottom w:val="nil"/>
              <w:right w:val="nil"/>
            </w:tcBorders>
          </w:tcPr>
          <w:p w14:paraId="3924983B"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Total Physical Activity (%)</w:t>
            </w:r>
            <w:r>
              <w:rPr>
                <w:rFonts w:ascii="Times New Roman" w:hAnsi="Times New Roman"/>
                <w:sz w:val="20"/>
                <w:szCs w:val="20"/>
              </w:rPr>
              <w:t xml:space="preserve"> (p = 0.01)</w:t>
            </w:r>
          </w:p>
        </w:tc>
        <w:tc>
          <w:tcPr>
            <w:tcW w:w="1289" w:type="dxa"/>
            <w:tcBorders>
              <w:top w:val="nil"/>
              <w:left w:val="nil"/>
              <w:bottom w:val="nil"/>
              <w:right w:val="nil"/>
            </w:tcBorders>
          </w:tcPr>
          <w:p w14:paraId="4BF0E41A"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2043DE64" w14:textId="77777777" w:rsidTr="0047668E">
        <w:tc>
          <w:tcPr>
            <w:tcW w:w="3956" w:type="dxa"/>
            <w:tcBorders>
              <w:top w:val="nil"/>
              <w:left w:val="nil"/>
              <w:bottom w:val="nil"/>
              <w:right w:val="nil"/>
            </w:tcBorders>
          </w:tcPr>
          <w:p w14:paraId="0273D862"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Sufficient to Insufficient</w:t>
            </w:r>
          </w:p>
        </w:tc>
        <w:tc>
          <w:tcPr>
            <w:tcW w:w="1289" w:type="dxa"/>
            <w:tcBorders>
              <w:top w:val="nil"/>
              <w:left w:val="nil"/>
              <w:bottom w:val="nil"/>
              <w:right w:val="nil"/>
            </w:tcBorders>
          </w:tcPr>
          <w:p w14:paraId="3140DBFA"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1.28</w:t>
            </w:r>
          </w:p>
        </w:tc>
      </w:tr>
      <w:tr w:rsidR="00247505" w14:paraId="48E74AE3" w14:textId="77777777" w:rsidTr="0047668E">
        <w:tc>
          <w:tcPr>
            <w:tcW w:w="3956" w:type="dxa"/>
            <w:tcBorders>
              <w:top w:val="nil"/>
              <w:left w:val="nil"/>
              <w:bottom w:val="nil"/>
              <w:right w:val="nil"/>
            </w:tcBorders>
          </w:tcPr>
          <w:p w14:paraId="66B76144" w14:textId="77777777" w:rsidR="00247505" w:rsidRPr="00992D01" w:rsidRDefault="00247505" w:rsidP="0047668E">
            <w:pPr>
              <w:spacing w:before="120" w:line="276" w:lineRule="auto"/>
              <w:jc w:val="both"/>
              <w:rPr>
                <w:rFonts w:ascii="Times New Roman" w:hAnsi="Times New Roman"/>
                <w:sz w:val="20"/>
                <w:szCs w:val="20"/>
              </w:rPr>
            </w:pPr>
            <w:r w:rsidRPr="00B76A3C">
              <w:rPr>
                <w:rFonts w:ascii="Times New Roman" w:hAnsi="Times New Roman"/>
                <w:sz w:val="20"/>
                <w:szCs w:val="20"/>
                <w:u w:val="single"/>
              </w:rPr>
              <w:t>Arthritis Diagnosis (%)</w:t>
            </w:r>
            <w:r>
              <w:rPr>
                <w:rFonts w:ascii="Times New Roman" w:hAnsi="Times New Roman"/>
                <w:sz w:val="20"/>
                <w:szCs w:val="20"/>
              </w:rPr>
              <w:t xml:space="preserve"> (p &lt; 0.001)</w:t>
            </w:r>
          </w:p>
        </w:tc>
        <w:tc>
          <w:tcPr>
            <w:tcW w:w="1289" w:type="dxa"/>
            <w:tcBorders>
              <w:top w:val="nil"/>
              <w:left w:val="nil"/>
              <w:bottom w:val="nil"/>
              <w:right w:val="nil"/>
            </w:tcBorders>
          </w:tcPr>
          <w:p w14:paraId="241B5DB9" w14:textId="77777777" w:rsidR="00247505" w:rsidRPr="00B76A3C" w:rsidRDefault="00247505" w:rsidP="0047668E">
            <w:pPr>
              <w:spacing w:before="120" w:line="276" w:lineRule="auto"/>
              <w:jc w:val="center"/>
              <w:rPr>
                <w:rFonts w:ascii="Times New Roman" w:hAnsi="Times New Roman"/>
                <w:sz w:val="20"/>
                <w:szCs w:val="20"/>
              </w:rPr>
            </w:pPr>
          </w:p>
        </w:tc>
      </w:tr>
      <w:tr w:rsidR="00247505" w14:paraId="7D3BA966" w14:textId="77777777" w:rsidTr="0047668E">
        <w:tc>
          <w:tcPr>
            <w:tcW w:w="3956" w:type="dxa"/>
            <w:tcBorders>
              <w:top w:val="nil"/>
              <w:left w:val="nil"/>
              <w:bottom w:val="single" w:sz="4" w:space="0" w:color="auto"/>
              <w:right w:val="nil"/>
            </w:tcBorders>
          </w:tcPr>
          <w:p w14:paraId="6C30C7A5" w14:textId="77777777" w:rsidR="00247505" w:rsidRPr="00B76A3C" w:rsidRDefault="00247505" w:rsidP="0047668E">
            <w:pPr>
              <w:spacing w:line="276" w:lineRule="auto"/>
              <w:jc w:val="both"/>
              <w:rPr>
                <w:rFonts w:ascii="Times New Roman" w:hAnsi="Times New Roman"/>
                <w:sz w:val="20"/>
                <w:szCs w:val="20"/>
              </w:rPr>
            </w:pPr>
            <w:r>
              <w:rPr>
                <w:rFonts w:ascii="Times New Roman" w:hAnsi="Times New Roman"/>
                <w:sz w:val="20"/>
                <w:szCs w:val="20"/>
              </w:rPr>
              <w:t xml:space="preserve">     </w:t>
            </w:r>
            <w:r w:rsidRPr="0087279A">
              <w:rPr>
                <w:rFonts w:ascii="Times New Roman" w:hAnsi="Times New Roman"/>
                <w:sz w:val="20"/>
                <w:szCs w:val="20"/>
              </w:rPr>
              <w:t>“No” to “Yes”</w:t>
            </w:r>
          </w:p>
        </w:tc>
        <w:tc>
          <w:tcPr>
            <w:tcW w:w="1289" w:type="dxa"/>
            <w:tcBorders>
              <w:top w:val="nil"/>
              <w:left w:val="nil"/>
              <w:bottom w:val="single" w:sz="4" w:space="0" w:color="auto"/>
              <w:right w:val="nil"/>
            </w:tcBorders>
          </w:tcPr>
          <w:p w14:paraId="2667F556" w14:textId="77777777" w:rsidR="00247505" w:rsidRPr="00B76A3C" w:rsidRDefault="00247505" w:rsidP="0047668E">
            <w:pPr>
              <w:spacing w:line="276" w:lineRule="auto"/>
              <w:jc w:val="center"/>
              <w:rPr>
                <w:rFonts w:ascii="Times New Roman" w:hAnsi="Times New Roman"/>
                <w:sz w:val="20"/>
                <w:szCs w:val="20"/>
              </w:rPr>
            </w:pPr>
            <w:r>
              <w:rPr>
                <w:rFonts w:ascii="Times New Roman" w:hAnsi="Times New Roman"/>
                <w:sz w:val="20"/>
                <w:szCs w:val="20"/>
              </w:rPr>
              <w:t>3.43</w:t>
            </w:r>
          </w:p>
        </w:tc>
      </w:tr>
    </w:tbl>
    <w:p w14:paraId="48D17DFD" w14:textId="652D98B4" w:rsidR="004E4CEC" w:rsidRDefault="0047668E" w:rsidP="00534327">
      <w:pPr>
        <w:spacing w:line="480" w:lineRule="auto"/>
        <w:jc w:val="both"/>
      </w:pPr>
      <w:r>
        <w:br w:type="textWrapping" w:clear="all"/>
      </w:r>
    </w:p>
    <w:p w14:paraId="2148309F" w14:textId="77777777" w:rsidR="004E4CEC" w:rsidRDefault="004E4CEC" w:rsidP="00534327">
      <w:pPr>
        <w:spacing w:line="480" w:lineRule="auto"/>
        <w:jc w:val="both"/>
      </w:pPr>
    </w:p>
    <w:tbl>
      <w:tblPr>
        <w:tblStyle w:val="TableGrid"/>
        <w:tblW w:w="837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744"/>
        <w:gridCol w:w="1029"/>
        <w:gridCol w:w="995"/>
        <w:gridCol w:w="996"/>
        <w:gridCol w:w="1056"/>
        <w:gridCol w:w="207"/>
        <w:gridCol w:w="834"/>
        <w:gridCol w:w="242"/>
        <w:gridCol w:w="991"/>
        <w:gridCol w:w="205"/>
      </w:tblGrid>
      <w:tr w:rsidR="004E4CEC" w:rsidRPr="00B048B4" w14:paraId="0CBAB238" w14:textId="77777777" w:rsidTr="001629CC">
        <w:tc>
          <w:tcPr>
            <w:tcW w:w="8373" w:type="dxa"/>
            <w:gridSpan w:val="11"/>
            <w:tcBorders>
              <w:bottom w:val="single" w:sz="4" w:space="0" w:color="auto"/>
            </w:tcBorders>
          </w:tcPr>
          <w:p w14:paraId="323A96DF" w14:textId="22F554A4" w:rsidR="004E4CEC" w:rsidRPr="004E4CEC" w:rsidRDefault="004E4CEC" w:rsidP="001629CC">
            <w:pPr>
              <w:spacing w:line="276" w:lineRule="auto"/>
              <w:rPr>
                <w:rFonts w:ascii="Times New Roman" w:hAnsi="Times New Roman"/>
                <w:b/>
                <w:sz w:val="20"/>
                <w:szCs w:val="20"/>
              </w:rPr>
            </w:pPr>
            <w:r w:rsidRPr="004E4CEC">
              <w:rPr>
                <w:rFonts w:ascii="Times New Roman" w:hAnsi="Times New Roman"/>
                <w:b/>
                <w:sz w:val="20"/>
                <w:szCs w:val="20"/>
              </w:rPr>
              <w:t xml:space="preserve">Table 8 – </w:t>
            </w:r>
            <w:r w:rsidRPr="004E4CEC">
              <w:rPr>
                <w:rFonts w:ascii="Times New Roman" w:hAnsi="Times New Roman"/>
                <w:sz w:val="20"/>
                <w:szCs w:val="20"/>
              </w:rPr>
              <w:t>Correlations among continuous variables</w:t>
            </w:r>
          </w:p>
        </w:tc>
      </w:tr>
      <w:tr w:rsidR="004E4CEC" w:rsidRPr="00B048B4" w14:paraId="459A0679" w14:textId="77777777" w:rsidTr="001629CC">
        <w:tc>
          <w:tcPr>
            <w:tcW w:w="1078" w:type="dxa"/>
            <w:tcBorders>
              <w:top w:val="single" w:sz="4" w:space="0" w:color="auto"/>
            </w:tcBorders>
          </w:tcPr>
          <w:p w14:paraId="7153D393" w14:textId="77777777" w:rsidR="004E4CEC" w:rsidRPr="00B048B4" w:rsidRDefault="004E4CEC" w:rsidP="001629CC">
            <w:pPr>
              <w:spacing w:line="276" w:lineRule="auto"/>
              <w:jc w:val="center"/>
              <w:rPr>
                <w:rFonts w:ascii="Times New Roman" w:hAnsi="Times New Roman"/>
                <w:b/>
              </w:rPr>
            </w:pPr>
          </w:p>
        </w:tc>
        <w:tc>
          <w:tcPr>
            <w:tcW w:w="744" w:type="dxa"/>
            <w:tcBorders>
              <w:top w:val="single" w:sz="4" w:space="0" w:color="auto"/>
            </w:tcBorders>
          </w:tcPr>
          <w:p w14:paraId="37E8A850"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BMI</w:t>
            </w:r>
          </w:p>
        </w:tc>
        <w:tc>
          <w:tcPr>
            <w:tcW w:w="1029" w:type="dxa"/>
            <w:tcBorders>
              <w:top w:val="single" w:sz="4" w:space="0" w:color="auto"/>
            </w:tcBorders>
          </w:tcPr>
          <w:p w14:paraId="738DCCEA"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%Fat</w:t>
            </w:r>
          </w:p>
        </w:tc>
        <w:tc>
          <w:tcPr>
            <w:tcW w:w="995" w:type="dxa"/>
            <w:tcBorders>
              <w:top w:val="single" w:sz="4" w:space="0" w:color="auto"/>
            </w:tcBorders>
          </w:tcPr>
          <w:p w14:paraId="21FB34A1"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Lean</w:t>
            </w:r>
          </w:p>
        </w:tc>
        <w:tc>
          <w:tcPr>
            <w:tcW w:w="996" w:type="dxa"/>
            <w:tcBorders>
              <w:top w:val="single" w:sz="4" w:space="0" w:color="auto"/>
            </w:tcBorders>
          </w:tcPr>
          <w:p w14:paraId="3D1ED5A3"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Fat</w:t>
            </w:r>
          </w:p>
        </w:tc>
        <w:tc>
          <w:tcPr>
            <w:tcW w:w="1263" w:type="dxa"/>
            <w:gridSpan w:val="2"/>
            <w:tcBorders>
              <w:top w:val="single" w:sz="4" w:space="0" w:color="auto"/>
            </w:tcBorders>
          </w:tcPr>
          <w:p w14:paraId="62F69D30"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Total PA</w:t>
            </w:r>
          </w:p>
        </w:tc>
        <w:tc>
          <w:tcPr>
            <w:tcW w:w="1076" w:type="dxa"/>
            <w:gridSpan w:val="2"/>
            <w:tcBorders>
              <w:top w:val="single" w:sz="4" w:space="0" w:color="auto"/>
            </w:tcBorders>
          </w:tcPr>
          <w:p w14:paraId="29F92583"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Vig PA</w:t>
            </w:r>
          </w:p>
        </w:tc>
        <w:tc>
          <w:tcPr>
            <w:tcW w:w="1196" w:type="dxa"/>
            <w:gridSpan w:val="2"/>
            <w:tcBorders>
              <w:top w:val="single" w:sz="4" w:space="0" w:color="auto"/>
            </w:tcBorders>
          </w:tcPr>
          <w:p w14:paraId="5620DBB8" w14:textId="77777777" w:rsidR="004E4CEC" w:rsidRPr="00B048B4" w:rsidRDefault="004E4CEC" w:rsidP="001629CC">
            <w:pPr>
              <w:spacing w:line="276" w:lineRule="auto"/>
              <w:jc w:val="center"/>
              <w:rPr>
                <w:rFonts w:ascii="Times New Roman" w:hAnsi="Times New Roman"/>
                <w:b/>
                <w:u w:val="single"/>
              </w:rPr>
            </w:pPr>
            <w:r w:rsidRPr="00B048B4">
              <w:rPr>
                <w:rFonts w:ascii="Times New Roman" w:hAnsi="Times New Roman"/>
                <w:b/>
                <w:u w:val="single"/>
              </w:rPr>
              <w:t>Mod PA</w:t>
            </w:r>
          </w:p>
        </w:tc>
      </w:tr>
      <w:tr w:rsidR="004E4CEC" w:rsidRPr="00B048B4" w14:paraId="54C6FCF4" w14:textId="77777777" w:rsidTr="001629CC">
        <w:trPr>
          <w:gridAfter w:val="1"/>
          <w:wAfter w:w="205" w:type="dxa"/>
        </w:trPr>
        <w:tc>
          <w:tcPr>
            <w:tcW w:w="1078" w:type="dxa"/>
          </w:tcPr>
          <w:p w14:paraId="40F727A0"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BMI</w:t>
            </w:r>
          </w:p>
        </w:tc>
        <w:tc>
          <w:tcPr>
            <w:tcW w:w="744" w:type="dxa"/>
          </w:tcPr>
          <w:p w14:paraId="64B7EC88"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1029" w:type="dxa"/>
          </w:tcPr>
          <w:p w14:paraId="7EF9FB37"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0.55*</w:t>
            </w:r>
          </w:p>
        </w:tc>
        <w:tc>
          <w:tcPr>
            <w:tcW w:w="995" w:type="dxa"/>
          </w:tcPr>
          <w:p w14:paraId="572756B4"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0.57*</w:t>
            </w:r>
          </w:p>
        </w:tc>
        <w:tc>
          <w:tcPr>
            <w:tcW w:w="996" w:type="dxa"/>
          </w:tcPr>
          <w:p w14:paraId="1B361C9F"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0.91*</w:t>
            </w:r>
          </w:p>
        </w:tc>
        <w:tc>
          <w:tcPr>
            <w:tcW w:w="1056" w:type="dxa"/>
          </w:tcPr>
          <w:p w14:paraId="05F4C274"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-0.04</w:t>
            </w:r>
          </w:p>
        </w:tc>
        <w:tc>
          <w:tcPr>
            <w:tcW w:w="1041" w:type="dxa"/>
            <w:gridSpan w:val="2"/>
          </w:tcPr>
          <w:p w14:paraId="19D48295"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-0.14*</w:t>
            </w:r>
          </w:p>
        </w:tc>
        <w:tc>
          <w:tcPr>
            <w:tcW w:w="1233" w:type="dxa"/>
            <w:gridSpan w:val="2"/>
          </w:tcPr>
          <w:p w14:paraId="08A24894"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-0.03</w:t>
            </w:r>
          </w:p>
        </w:tc>
      </w:tr>
      <w:tr w:rsidR="004E4CEC" w:rsidRPr="00B048B4" w14:paraId="653A6A22" w14:textId="77777777" w:rsidTr="001629CC">
        <w:trPr>
          <w:gridAfter w:val="1"/>
          <w:wAfter w:w="205" w:type="dxa"/>
        </w:trPr>
        <w:tc>
          <w:tcPr>
            <w:tcW w:w="1078" w:type="dxa"/>
          </w:tcPr>
          <w:p w14:paraId="70E2F667"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%Fat</w:t>
            </w:r>
          </w:p>
        </w:tc>
        <w:tc>
          <w:tcPr>
            <w:tcW w:w="744" w:type="dxa"/>
          </w:tcPr>
          <w:p w14:paraId="4E13BE7C" w14:textId="77777777" w:rsidR="004E4CEC" w:rsidRPr="008703E1" w:rsidRDefault="004E4CEC" w:rsidP="001629CC">
            <w:pPr>
              <w:spacing w:line="276" w:lineRule="auto"/>
              <w:jc w:val="center"/>
              <w:rPr>
                <w:rFonts w:ascii="Times New Roman" w:hAnsi="Times New Roman"/>
                <w:sz w:val="20"/>
                <w:szCs w:val="20"/>
              </w:rPr>
            </w:pPr>
          </w:p>
        </w:tc>
        <w:tc>
          <w:tcPr>
            <w:tcW w:w="1029" w:type="dxa"/>
          </w:tcPr>
          <w:p w14:paraId="667F78A1"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995" w:type="dxa"/>
          </w:tcPr>
          <w:p w14:paraId="4343B3AC"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-0.28*</w:t>
            </w:r>
          </w:p>
        </w:tc>
        <w:tc>
          <w:tcPr>
            <w:tcW w:w="996" w:type="dxa"/>
          </w:tcPr>
          <w:p w14:paraId="175098A4"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0.77*</w:t>
            </w:r>
          </w:p>
        </w:tc>
        <w:tc>
          <w:tcPr>
            <w:tcW w:w="1056" w:type="dxa"/>
          </w:tcPr>
          <w:p w14:paraId="09FC862D"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-0.26*</w:t>
            </w:r>
          </w:p>
        </w:tc>
        <w:tc>
          <w:tcPr>
            <w:tcW w:w="1041" w:type="dxa"/>
            <w:gridSpan w:val="2"/>
          </w:tcPr>
          <w:p w14:paraId="37B42179"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-0.26*</w:t>
            </w:r>
          </w:p>
        </w:tc>
        <w:tc>
          <w:tcPr>
            <w:tcW w:w="1233" w:type="dxa"/>
            <w:gridSpan w:val="2"/>
          </w:tcPr>
          <w:p w14:paraId="1474F07B"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-0.15*</w:t>
            </w:r>
          </w:p>
        </w:tc>
      </w:tr>
      <w:tr w:rsidR="004E4CEC" w:rsidRPr="00B048B4" w14:paraId="56A362D3" w14:textId="77777777" w:rsidTr="001629CC">
        <w:trPr>
          <w:gridAfter w:val="1"/>
          <w:wAfter w:w="205" w:type="dxa"/>
        </w:trPr>
        <w:tc>
          <w:tcPr>
            <w:tcW w:w="1078" w:type="dxa"/>
          </w:tcPr>
          <w:p w14:paraId="0D06972F"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Lean</w:t>
            </w:r>
          </w:p>
        </w:tc>
        <w:tc>
          <w:tcPr>
            <w:tcW w:w="744" w:type="dxa"/>
          </w:tcPr>
          <w:p w14:paraId="50E2B114" w14:textId="77777777" w:rsidR="004E4CEC" w:rsidRPr="008703E1" w:rsidRDefault="004E4CEC" w:rsidP="001629CC">
            <w:pPr>
              <w:spacing w:line="276" w:lineRule="auto"/>
              <w:jc w:val="center"/>
              <w:rPr>
                <w:rFonts w:ascii="Times New Roman" w:hAnsi="Times New Roman"/>
                <w:sz w:val="20"/>
                <w:szCs w:val="20"/>
              </w:rPr>
            </w:pPr>
          </w:p>
        </w:tc>
        <w:tc>
          <w:tcPr>
            <w:tcW w:w="1029" w:type="dxa"/>
          </w:tcPr>
          <w:p w14:paraId="23B01F4A" w14:textId="77777777" w:rsidR="004E4CEC" w:rsidRPr="008703E1" w:rsidRDefault="004E4CEC" w:rsidP="001629CC">
            <w:pPr>
              <w:spacing w:line="276" w:lineRule="auto"/>
              <w:jc w:val="center"/>
              <w:rPr>
                <w:rFonts w:ascii="Times New Roman" w:hAnsi="Times New Roman"/>
                <w:sz w:val="20"/>
                <w:szCs w:val="20"/>
              </w:rPr>
            </w:pPr>
          </w:p>
        </w:tc>
        <w:tc>
          <w:tcPr>
            <w:tcW w:w="995" w:type="dxa"/>
          </w:tcPr>
          <w:p w14:paraId="36AD1740"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996" w:type="dxa"/>
          </w:tcPr>
          <w:p w14:paraId="2961C306"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0.32*</w:t>
            </w:r>
          </w:p>
        </w:tc>
        <w:tc>
          <w:tcPr>
            <w:tcW w:w="1056" w:type="dxa"/>
          </w:tcPr>
          <w:p w14:paraId="26838FAD"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0.17*</w:t>
            </w:r>
          </w:p>
        </w:tc>
        <w:tc>
          <w:tcPr>
            <w:tcW w:w="1041" w:type="dxa"/>
            <w:gridSpan w:val="2"/>
          </w:tcPr>
          <w:p w14:paraId="202BB92A"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0.17*</w:t>
            </w:r>
          </w:p>
        </w:tc>
        <w:tc>
          <w:tcPr>
            <w:tcW w:w="1233" w:type="dxa"/>
            <w:gridSpan w:val="2"/>
          </w:tcPr>
          <w:p w14:paraId="486B4784"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0.10*</w:t>
            </w:r>
          </w:p>
        </w:tc>
      </w:tr>
      <w:tr w:rsidR="004E4CEC" w:rsidRPr="00B048B4" w14:paraId="5B4AC091" w14:textId="77777777" w:rsidTr="001629CC">
        <w:trPr>
          <w:gridAfter w:val="1"/>
          <w:wAfter w:w="205" w:type="dxa"/>
        </w:trPr>
        <w:tc>
          <w:tcPr>
            <w:tcW w:w="1078" w:type="dxa"/>
          </w:tcPr>
          <w:p w14:paraId="55132A9E"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Fat</w:t>
            </w:r>
          </w:p>
        </w:tc>
        <w:tc>
          <w:tcPr>
            <w:tcW w:w="744" w:type="dxa"/>
          </w:tcPr>
          <w:p w14:paraId="5B56D3CD" w14:textId="77777777" w:rsidR="004E4CEC" w:rsidRPr="008703E1" w:rsidRDefault="004E4CEC" w:rsidP="001629CC">
            <w:pPr>
              <w:spacing w:line="276" w:lineRule="auto"/>
              <w:jc w:val="center"/>
              <w:rPr>
                <w:rFonts w:ascii="Times New Roman" w:hAnsi="Times New Roman"/>
                <w:sz w:val="20"/>
                <w:szCs w:val="20"/>
              </w:rPr>
            </w:pPr>
          </w:p>
        </w:tc>
        <w:tc>
          <w:tcPr>
            <w:tcW w:w="1029" w:type="dxa"/>
          </w:tcPr>
          <w:p w14:paraId="2D084899" w14:textId="77777777" w:rsidR="004E4CEC" w:rsidRPr="008703E1" w:rsidRDefault="004E4CEC" w:rsidP="001629CC">
            <w:pPr>
              <w:spacing w:line="276" w:lineRule="auto"/>
              <w:jc w:val="center"/>
              <w:rPr>
                <w:rFonts w:ascii="Times New Roman" w:hAnsi="Times New Roman"/>
                <w:sz w:val="20"/>
                <w:szCs w:val="20"/>
              </w:rPr>
            </w:pPr>
          </w:p>
        </w:tc>
        <w:tc>
          <w:tcPr>
            <w:tcW w:w="995" w:type="dxa"/>
          </w:tcPr>
          <w:p w14:paraId="31D5E95A" w14:textId="77777777" w:rsidR="004E4CEC" w:rsidRPr="008703E1" w:rsidRDefault="004E4CEC" w:rsidP="001629CC">
            <w:pPr>
              <w:spacing w:line="276" w:lineRule="auto"/>
              <w:jc w:val="center"/>
              <w:rPr>
                <w:rFonts w:ascii="Times New Roman" w:hAnsi="Times New Roman"/>
                <w:sz w:val="20"/>
                <w:szCs w:val="20"/>
              </w:rPr>
            </w:pPr>
          </w:p>
        </w:tc>
        <w:tc>
          <w:tcPr>
            <w:tcW w:w="996" w:type="dxa"/>
          </w:tcPr>
          <w:p w14:paraId="7665FE61"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1056" w:type="dxa"/>
          </w:tcPr>
          <w:p w14:paraId="41DCC387"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-0.14*</w:t>
            </w:r>
          </w:p>
        </w:tc>
        <w:tc>
          <w:tcPr>
            <w:tcW w:w="1041" w:type="dxa"/>
            <w:gridSpan w:val="2"/>
          </w:tcPr>
          <w:p w14:paraId="4D45E849"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-0.14*</w:t>
            </w:r>
          </w:p>
        </w:tc>
        <w:tc>
          <w:tcPr>
            <w:tcW w:w="1233" w:type="dxa"/>
            <w:gridSpan w:val="2"/>
          </w:tcPr>
          <w:p w14:paraId="0DED14FC"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-0.10*</w:t>
            </w:r>
          </w:p>
        </w:tc>
      </w:tr>
      <w:tr w:rsidR="004E4CEC" w:rsidRPr="00B048B4" w14:paraId="21F251CA" w14:textId="77777777" w:rsidTr="001629CC">
        <w:trPr>
          <w:gridAfter w:val="1"/>
          <w:wAfter w:w="205" w:type="dxa"/>
        </w:trPr>
        <w:tc>
          <w:tcPr>
            <w:tcW w:w="1078" w:type="dxa"/>
          </w:tcPr>
          <w:p w14:paraId="5DCA5D48"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Total PA</w:t>
            </w:r>
          </w:p>
        </w:tc>
        <w:tc>
          <w:tcPr>
            <w:tcW w:w="744" w:type="dxa"/>
          </w:tcPr>
          <w:p w14:paraId="37696E7F" w14:textId="77777777" w:rsidR="004E4CEC" w:rsidRPr="008703E1" w:rsidRDefault="004E4CEC" w:rsidP="001629CC">
            <w:pPr>
              <w:spacing w:line="276" w:lineRule="auto"/>
              <w:jc w:val="center"/>
              <w:rPr>
                <w:rFonts w:ascii="Times New Roman" w:hAnsi="Times New Roman"/>
                <w:sz w:val="20"/>
                <w:szCs w:val="20"/>
              </w:rPr>
            </w:pPr>
          </w:p>
        </w:tc>
        <w:tc>
          <w:tcPr>
            <w:tcW w:w="1029" w:type="dxa"/>
          </w:tcPr>
          <w:p w14:paraId="62C0C1B8" w14:textId="77777777" w:rsidR="004E4CEC" w:rsidRPr="008703E1" w:rsidRDefault="004E4CEC" w:rsidP="001629CC">
            <w:pPr>
              <w:spacing w:line="276" w:lineRule="auto"/>
              <w:jc w:val="center"/>
              <w:rPr>
                <w:rFonts w:ascii="Times New Roman" w:hAnsi="Times New Roman"/>
                <w:sz w:val="20"/>
                <w:szCs w:val="20"/>
              </w:rPr>
            </w:pPr>
          </w:p>
        </w:tc>
        <w:tc>
          <w:tcPr>
            <w:tcW w:w="995" w:type="dxa"/>
          </w:tcPr>
          <w:p w14:paraId="17D4A9E8" w14:textId="77777777" w:rsidR="004E4CEC" w:rsidRPr="008703E1" w:rsidRDefault="004E4CEC" w:rsidP="001629CC">
            <w:pPr>
              <w:spacing w:line="276" w:lineRule="auto"/>
              <w:jc w:val="center"/>
              <w:rPr>
                <w:rFonts w:ascii="Times New Roman" w:hAnsi="Times New Roman"/>
                <w:sz w:val="20"/>
                <w:szCs w:val="20"/>
              </w:rPr>
            </w:pPr>
          </w:p>
        </w:tc>
        <w:tc>
          <w:tcPr>
            <w:tcW w:w="996" w:type="dxa"/>
          </w:tcPr>
          <w:p w14:paraId="5486D8A3" w14:textId="77777777" w:rsidR="004E4CEC" w:rsidRPr="008703E1" w:rsidRDefault="004E4CEC" w:rsidP="001629CC">
            <w:pPr>
              <w:spacing w:line="276" w:lineRule="auto"/>
              <w:jc w:val="center"/>
              <w:rPr>
                <w:rFonts w:ascii="Times New Roman" w:hAnsi="Times New Roman"/>
                <w:sz w:val="20"/>
                <w:szCs w:val="20"/>
              </w:rPr>
            </w:pPr>
          </w:p>
        </w:tc>
        <w:tc>
          <w:tcPr>
            <w:tcW w:w="1056" w:type="dxa"/>
          </w:tcPr>
          <w:p w14:paraId="5431B743"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1041" w:type="dxa"/>
            <w:gridSpan w:val="2"/>
          </w:tcPr>
          <w:p w14:paraId="12505B36"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0.89*</w:t>
            </w:r>
          </w:p>
        </w:tc>
        <w:tc>
          <w:tcPr>
            <w:tcW w:w="1233" w:type="dxa"/>
            <w:gridSpan w:val="2"/>
          </w:tcPr>
          <w:p w14:paraId="2FC7E03D"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0.75*</w:t>
            </w:r>
          </w:p>
        </w:tc>
      </w:tr>
      <w:tr w:rsidR="004E4CEC" w:rsidRPr="00B048B4" w14:paraId="5E53092F" w14:textId="77777777" w:rsidTr="001629CC">
        <w:trPr>
          <w:gridAfter w:val="1"/>
          <w:wAfter w:w="205" w:type="dxa"/>
        </w:trPr>
        <w:tc>
          <w:tcPr>
            <w:tcW w:w="1078" w:type="dxa"/>
          </w:tcPr>
          <w:p w14:paraId="68386CC0"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Vig PA</w:t>
            </w:r>
          </w:p>
        </w:tc>
        <w:tc>
          <w:tcPr>
            <w:tcW w:w="744" w:type="dxa"/>
          </w:tcPr>
          <w:p w14:paraId="57B0EEB2" w14:textId="77777777" w:rsidR="004E4CEC" w:rsidRPr="008703E1" w:rsidRDefault="004E4CEC" w:rsidP="001629CC">
            <w:pPr>
              <w:spacing w:line="276" w:lineRule="auto"/>
              <w:jc w:val="center"/>
              <w:rPr>
                <w:rFonts w:ascii="Times New Roman" w:hAnsi="Times New Roman"/>
                <w:sz w:val="20"/>
                <w:szCs w:val="20"/>
              </w:rPr>
            </w:pPr>
          </w:p>
        </w:tc>
        <w:tc>
          <w:tcPr>
            <w:tcW w:w="1029" w:type="dxa"/>
          </w:tcPr>
          <w:p w14:paraId="39C2008D" w14:textId="77777777" w:rsidR="004E4CEC" w:rsidRPr="008703E1" w:rsidRDefault="004E4CEC" w:rsidP="001629CC">
            <w:pPr>
              <w:spacing w:line="276" w:lineRule="auto"/>
              <w:jc w:val="center"/>
              <w:rPr>
                <w:rFonts w:ascii="Times New Roman" w:hAnsi="Times New Roman"/>
                <w:sz w:val="20"/>
                <w:szCs w:val="20"/>
              </w:rPr>
            </w:pPr>
          </w:p>
        </w:tc>
        <w:tc>
          <w:tcPr>
            <w:tcW w:w="995" w:type="dxa"/>
          </w:tcPr>
          <w:p w14:paraId="629BEB8D" w14:textId="77777777" w:rsidR="004E4CEC" w:rsidRPr="008703E1" w:rsidRDefault="004E4CEC" w:rsidP="001629CC">
            <w:pPr>
              <w:spacing w:line="276" w:lineRule="auto"/>
              <w:jc w:val="center"/>
              <w:rPr>
                <w:rFonts w:ascii="Times New Roman" w:hAnsi="Times New Roman"/>
                <w:sz w:val="20"/>
                <w:szCs w:val="20"/>
              </w:rPr>
            </w:pPr>
          </w:p>
        </w:tc>
        <w:tc>
          <w:tcPr>
            <w:tcW w:w="996" w:type="dxa"/>
          </w:tcPr>
          <w:p w14:paraId="12A86142" w14:textId="77777777" w:rsidR="004E4CEC" w:rsidRPr="008703E1" w:rsidRDefault="004E4CEC" w:rsidP="001629CC">
            <w:pPr>
              <w:spacing w:line="276" w:lineRule="auto"/>
              <w:jc w:val="center"/>
              <w:rPr>
                <w:rFonts w:ascii="Times New Roman" w:hAnsi="Times New Roman"/>
                <w:sz w:val="20"/>
                <w:szCs w:val="20"/>
              </w:rPr>
            </w:pPr>
          </w:p>
        </w:tc>
        <w:tc>
          <w:tcPr>
            <w:tcW w:w="1056" w:type="dxa"/>
          </w:tcPr>
          <w:p w14:paraId="60A7DD11" w14:textId="77777777" w:rsidR="004E4CEC" w:rsidRPr="008703E1" w:rsidRDefault="004E4CEC" w:rsidP="001629CC">
            <w:pPr>
              <w:spacing w:line="276" w:lineRule="auto"/>
              <w:jc w:val="center"/>
              <w:rPr>
                <w:rFonts w:ascii="Times New Roman" w:hAnsi="Times New Roman"/>
                <w:sz w:val="20"/>
                <w:szCs w:val="20"/>
              </w:rPr>
            </w:pPr>
          </w:p>
        </w:tc>
        <w:tc>
          <w:tcPr>
            <w:tcW w:w="1041" w:type="dxa"/>
            <w:gridSpan w:val="2"/>
          </w:tcPr>
          <w:p w14:paraId="22D8C8F1"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w:t>
            </w:r>
          </w:p>
        </w:tc>
        <w:tc>
          <w:tcPr>
            <w:tcW w:w="1233" w:type="dxa"/>
            <w:gridSpan w:val="2"/>
          </w:tcPr>
          <w:p w14:paraId="71A19160" w14:textId="77777777" w:rsidR="004E4CEC" w:rsidRPr="008703E1" w:rsidRDefault="004E4CEC" w:rsidP="001629CC">
            <w:pPr>
              <w:spacing w:line="276" w:lineRule="auto"/>
              <w:jc w:val="center"/>
              <w:rPr>
                <w:rFonts w:ascii="Times New Roman" w:hAnsi="Times New Roman"/>
                <w:sz w:val="20"/>
                <w:szCs w:val="20"/>
              </w:rPr>
            </w:pPr>
            <w:r w:rsidRPr="008703E1">
              <w:rPr>
                <w:rFonts w:ascii="Times New Roman" w:hAnsi="Times New Roman"/>
                <w:sz w:val="20"/>
                <w:szCs w:val="20"/>
              </w:rPr>
              <w:t>0.36*</w:t>
            </w:r>
          </w:p>
        </w:tc>
      </w:tr>
      <w:tr w:rsidR="004E4CEC" w:rsidRPr="00B048B4" w14:paraId="345EE9A9" w14:textId="77777777" w:rsidTr="001629CC">
        <w:trPr>
          <w:gridAfter w:val="1"/>
          <w:wAfter w:w="205" w:type="dxa"/>
        </w:trPr>
        <w:tc>
          <w:tcPr>
            <w:tcW w:w="1078" w:type="dxa"/>
          </w:tcPr>
          <w:p w14:paraId="32942CE9" w14:textId="77777777" w:rsidR="004E4CEC" w:rsidRPr="00B048B4" w:rsidRDefault="004E4CEC" w:rsidP="001629CC">
            <w:pPr>
              <w:spacing w:line="276" w:lineRule="auto"/>
              <w:rPr>
                <w:rFonts w:ascii="Times New Roman" w:hAnsi="Times New Roman"/>
                <w:b/>
              </w:rPr>
            </w:pPr>
            <w:r w:rsidRPr="00B048B4">
              <w:rPr>
                <w:rFonts w:ascii="Times New Roman" w:hAnsi="Times New Roman"/>
                <w:b/>
              </w:rPr>
              <w:t>Mod PA</w:t>
            </w:r>
          </w:p>
        </w:tc>
        <w:tc>
          <w:tcPr>
            <w:tcW w:w="744" w:type="dxa"/>
          </w:tcPr>
          <w:p w14:paraId="798BC281" w14:textId="77777777" w:rsidR="004E4CEC" w:rsidRPr="00B048B4" w:rsidRDefault="004E4CEC" w:rsidP="001629CC">
            <w:pPr>
              <w:spacing w:line="276" w:lineRule="auto"/>
              <w:jc w:val="center"/>
              <w:rPr>
                <w:rFonts w:ascii="Times New Roman" w:hAnsi="Times New Roman"/>
              </w:rPr>
            </w:pPr>
          </w:p>
        </w:tc>
        <w:tc>
          <w:tcPr>
            <w:tcW w:w="1029" w:type="dxa"/>
          </w:tcPr>
          <w:p w14:paraId="01B1C33B" w14:textId="77777777" w:rsidR="004E4CEC" w:rsidRPr="00B048B4" w:rsidRDefault="004E4CEC" w:rsidP="001629CC">
            <w:pPr>
              <w:spacing w:line="276" w:lineRule="auto"/>
              <w:jc w:val="center"/>
              <w:rPr>
                <w:rFonts w:ascii="Times New Roman" w:hAnsi="Times New Roman"/>
              </w:rPr>
            </w:pPr>
          </w:p>
        </w:tc>
        <w:tc>
          <w:tcPr>
            <w:tcW w:w="995" w:type="dxa"/>
          </w:tcPr>
          <w:p w14:paraId="1B9B655C" w14:textId="77777777" w:rsidR="004E4CEC" w:rsidRPr="00B048B4" w:rsidRDefault="004E4CEC" w:rsidP="001629CC">
            <w:pPr>
              <w:spacing w:line="276" w:lineRule="auto"/>
              <w:jc w:val="center"/>
              <w:rPr>
                <w:rFonts w:ascii="Times New Roman" w:hAnsi="Times New Roman"/>
              </w:rPr>
            </w:pPr>
          </w:p>
        </w:tc>
        <w:tc>
          <w:tcPr>
            <w:tcW w:w="996" w:type="dxa"/>
          </w:tcPr>
          <w:p w14:paraId="338C335F" w14:textId="77777777" w:rsidR="004E4CEC" w:rsidRPr="00B048B4" w:rsidRDefault="004E4CEC" w:rsidP="001629CC">
            <w:pPr>
              <w:spacing w:line="276" w:lineRule="auto"/>
              <w:jc w:val="center"/>
              <w:rPr>
                <w:rFonts w:ascii="Times New Roman" w:hAnsi="Times New Roman"/>
              </w:rPr>
            </w:pPr>
          </w:p>
        </w:tc>
        <w:tc>
          <w:tcPr>
            <w:tcW w:w="1056" w:type="dxa"/>
          </w:tcPr>
          <w:p w14:paraId="249B8FCA" w14:textId="77777777" w:rsidR="004E4CEC" w:rsidRPr="00B048B4" w:rsidRDefault="004E4CEC" w:rsidP="001629CC">
            <w:pPr>
              <w:spacing w:line="276" w:lineRule="auto"/>
              <w:jc w:val="center"/>
              <w:rPr>
                <w:rFonts w:ascii="Times New Roman" w:hAnsi="Times New Roman"/>
              </w:rPr>
            </w:pPr>
          </w:p>
        </w:tc>
        <w:tc>
          <w:tcPr>
            <w:tcW w:w="1041" w:type="dxa"/>
            <w:gridSpan w:val="2"/>
          </w:tcPr>
          <w:p w14:paraId="7EE80EC6" w14:textId="77777777" w:rsidR="004E4CEC" w:rsidRPr="00B048B4" w:rsidRDefault="004E4CEC" w:rsidP="001629CC">
            <w:pPr>
              <w:spacing w:line="276" w:lineRule="auto"/>
              <w:jc w:val="center"/>
              <w:rPr>
                <w:rFonts w:ascii="Times New Roman" w:hAnsi="Times New Roman"/>
              </w:rPr>
            </w:pPr>
          </w:p>
        </w:tc>
        <w:tc>
          <w:tcPr>
            <w:tcW w:w="1233" w:type="dxa"/>
            <w:gridSpan w:val="2"/>
          </w:tcPr>
          <w:p w14:paraId="278BAC54" w14:textId="77777777" w:rsidR="004E4CEC" w:rsidRPr="00B048B4" w:rsidRDefault="004E4CEC" w:rsidP="001629CC">
            <w:pPr>
              <w:spacing w:line="276" w:lineRule="auto"/>
              <w:jc w:val="center"/>
              <w:rPr>
                <w:rFonts w:ascii="Times New Roman" w:hAnsi="Times New Roman"/>
              </w:rPr>
            </w:pPr>
            <w:r w:rsidRPr="00B048B4">
              <w:rPr>
                <w:rFonts w:ascii="Times New Roman" w:hAnsi="Times New Roman"/>
              </w:rPr>
              <w:t>---</w:t>
            </w:r>
          </w:p>
        </w:tc>
      </w:tr>
    </w:tbl>
    <w:p w14:paraId="1EE8EC92" w14:textId="68C85BD4" w:rsidR="004E4CEC" w:rsidRDefault="004E4CEC" w:rsidP="00534327">
      <w:pPr>
        <w:spacing w:line="480" w:lineRule="auto"/>
        <w:jc w:val="both"/>
      </w:pPr>
    </w:p>
    <w:p w14:paraId="6977B618" w14:textId="3091AE01" w:rsidR="004E4CEC" w:rsidRDefault="004E4CEC" w:rsidP="00534327">
      <w:pPr>
        <w:spacing w:line="480" w:lineRule="auto"/>
        <w:jc w:val="both"/>
      </w:pPr>
    </w:p>
    <w:p w14:paraId="5FCD3CCB" w14:textId="5FA22F2E" w:rsidR="004E4CEC" w:rsidRDefault="004E4CEC" w:rsidP="00534327">
      <w:pPr>
        <w:spacing w:line="480" w:lineRule="auto"/>
        <w:jc w:val="both"/>
      </w:pPr>
    </w:p>
    <w:p w14:paraId="34658D1E" w14:textId="77777777" w:rsidR="004E4CEC" w:rsidRDefault="004E4CEC" w:rsidP="00534327">
      <w:pPr>
        <w:spacing w:line="480" w:lineRule="auto"/>
        <w:jc w:val="both"/>
      </w:pPr>
    </w:p>
    <w:tbl>
      <w:tblPr>
        <w:tblStyle w:val="TableGrid"/>
        <w:tblW w:w="5245" w:type="dxa"/>
        <w:tblLayout w:type="fixed"/>
        <w:tblLook w:val="04A0" w:firstRow="1" w:lastRow="0" w:firstColumn="1" w:lastColumn="0" w:noHBand="0" w:noVBand="1"/>
      </w:tblPr>
      <w:tblGrid>
        <w:gridCol w:w="3956"/>
        <w:gridCol w:w="1289"/>
      </w:tblGrid>
      <w:tr w:rsidR="004E4CEC" w14:paraId="281038FD" w14:textId="77777777" w:rsidTr="001629CC">
        <w:tc>
          <w:tcPr>
            <w:tcW w:w="5245" w:type="dxa"/>
            <w:gridSpan w:val="2"/>
            <w:tcBorders>
              <w:top w:val="nil"/>
              <w:left w:val="nil"/>
              <w:bottom w:val="double" w:sz="4" w:space="0" w:color="auto"/>
              <w:right w:val="nil"/>
            </w:tcBorders>
          </w:tcPr>
          <w:p w14:paraId="71C184CA" w14:textId="410E03FF" w:rsidR="004E4CEC" w:rsidRPr="00B76A3C" w:rsidRDefault="004E4CEC" w:rsidP="001629CC">
            <w:pPr>
              <w:spacing w:line="276" w:lineRule="auto"/>
              <w:jc w:val="both"/>
              <w:rPr>
                <w:rFonts w:ascii="Times New Roman" w:hAnsi="Times New Roman"/>
                <w:sz w:val="20"/>
                <w:szCs w:val="20"/>
              </w:rPr>
            </w:pPr>
            <w:r>
              <w:rPr>
                <w:rFonts w:ascii="Times New Roman" w:hAnsi="Times New Roman"/>
                <w:b/>
                <w:sz w:val="20"/>
                <w:szCs w:val="20"/>
              </w:rPr>
              <w:lastRenderedPageBreak/>
              <w:t>Table 9</w:t>
            </w:r>
            <w:r w:rsidRPr="00B76A3C">
              <w:rPr>
                <w:rFonts w:ascii="Times New Roman" w:hAnsi="Times New Roman"/>
                <w:sz w:val="20"/>
                <w:szCs w:val="20"/>
              </w:rPr>
              <w:t xml:space="preserve"> – </w:t>
            </w:r>
            <w:r>
              <w:rPr>
                <w:rFonts w:ascii="Times New Roman" w:hAnsi="Times New Roman"/>
                <w:sz w:val="20"/>
                <w:szCs w:val="20"/>
              </w:rPr>
              <w:t>Odds of moving up a pain category with a move from one dependent variable category to another: Controlling for Percent body fat from DXA rather than BMI</w:t>
            </w:r>
          </w:p>
        </w:tc>
      </w:tr>
      <w:tr w:rsidR="004E4CEC" w14:paraId="37CF1265" w14:textId="77777777" w:rsidTr="001629CC">
        <w:tc>
          <w:tcPr>
            <w:tcW w:w="5245" w:type="dxa"/>
            <w:gridSpan w:val="2"/>
            <w:tcBorders>
              <w:top w:val="double" w:sz="4" w:space="0" w:color="auto"/>
              <w:left w:val="nil"/>
              <w:bottom w:val="single" w:sz="4" w:space="0" w:color="auto"/>
              <w:right w:val="nil"/>
            </w:tcBorders>
          </w:tcPr>
          <w:p w14:paraId="11670247" w14:textId="77777777" w:rsidR="004E4CEC" w:rsidRPr="00B76A3C" w:rsidRDefault="004E4CEC" w:rsidP="001629CC">
            <w:pPr>
              <w:spacing w:before="120" w:line="276" w:lineRule="auto"/>
              <w:jc w:val="both"/>
              <w:rPr>
                <w:rFonts w:ascii="Times New Roman" w:hAnsi="Times New Roman"/>
                <w:sz w:val="20"/>
                <w:szCs w:val="20"/>
              </w:rPr>
            </w:pPr>
            <w:r w:rsidRPr="00B76A3C">
              <w:rPr>
                <w:rFonts w:ascii="Times New Roman" w:hAnsi="Times New Roman"/>
                <w:sz w:val="20"/>
                <w:szCs w:val="20"/>
              </w:rPr>
              <w:t>Overall fit – Psuedo R Squared: 0.15 (Nagelkerke)</w:t>
            </w:r>
          </w:p>
        </w:tc>
      </w:tr>
      <w:tr w:rsidR="004E4CEC" w14:paraId="5C0E2CFD" w14:textId="77777777" w:rsidTr="001629CC">
        <w:tc>
          <w:tcPr>
            <w:tcW w:w="3956" w:type="dxa"/>
            <w:tcBorders>
              <w:top w:val="single" w:sz="4" w:space="0" w:color="auto"/>
              <w:left w:val="nil"/>
              <w:bottom w:val="nil"/>
              <w:right w:val="nil"/>
            </w:tcBorders>
          </w:tcPr>
          <w:p w14:paraId="1E0173CD" w14:textId="77777777" w:rsidR="004E4CEC" w:rsidRPr="00B76A3C" w:rsidRDefault="004E4CEC" w:rsidP="001629CC">
            <w:pPr>
              <w:spacing w:before="120" w:line="276" w:lineRule="auto"/>
              <w:jc w:val="both"/>
              <w:rPr>
                <w:rFonts w:ascii="Times New Roman" w:hAnsi="Times New Roman"/>
                <w:b/>
                <w:sz w:val="20"/>
                <w:szCs w:val="20"/>
                <w:u w:val="single"/>
              </w:rPr>
            </w:pPr>
            <w:r w:rsidRPr="00B76A3C">
              <w:rPr>
                <w:rFonts w:ascii="Times New Roman" w:hAnsi="Times New Roman"/>
                <w:b/>
                <w:sz w:val="20"/>
                <w:szCs w:val="20"/>
                <w:u w:val="single"/>
              </w:rPr>
              <w:t>Variable</w:t>
            </w:r>
          </w:p>
        </w:tc>
        <w:tc>
          <w:tcPr>
            <w:tcW w:w="1289" w:type="dxa"/>
            <w:tcBorders>
              <w:top w:val="single" w:sz="4" w:space="0" w:color="auto"/>
              <w:left w:val="nil"/>
              <w:bottom w:val="nil"/>
              <w:right w:val="nil"/>
            </w:tcBorders>
          </w:tcPr>
          <w:p w14:paraId="38C44169" w14:textId="77777777" w:rsidR="004E4CEC" w:rsidRPr="00B76A3C" w:rsidRDefault="004E4CEC" w:rsidP="001629CC">
            <w:pPr>
              <w:spacing w:before="120" w:line="276" w:lineRule="auto"/>
              <w:jc w:val="center"/>
              <w:rPr>
                <w:rFonts w:ascii="Times New Roman" w:hAnsi="Times New Roman"/>
                <w:b/>
                <w:sz w:val="20"/>
                <w:szCs w:val="20"/>
                <w:u w:val="single"/>
              </w:rPr>
            </w:pPr>
            <w:r>
              <w:rPr>
                <w:rFonts w:ascii="Times New Roman" w:hAnsi="Times New Roman"/>
                <w:b/>
                <w:sz w:val="20"/>
                <w:szCs w:val="20"/>
                <w:u w:val="single"/>
              </w:rPr>
              <w:t>Odds Ratio</w:t>
            </w:r>
          </w:p>
        </w:tc>
      </w:tr>
      <w:tr w:rsidR="004E4CEC" w14:paraId="08240A4E" w14:textId="77777777" w:rsidTr="001629CC">
        <w:tc>
          <w:tcPr>
            <w:tcW w:w="3956" w:type="dxa"/>
            <w:tcBorders>
              <w:top w:val="nil"/>
              <w:left w:val="nil"/>
              <w:bottom w:val="nil"/>
              <w:right w:val="nil"/>
            </w:tcBorders>
          </w:tcPr>
          <w:p w14:paraId="26E0C991" w14:textId="77777777" w:rsidR="004E4CEC" w:rsidRPr="00B76A3C" w:rsidRDefault="004E4CEC" w:rsidP="001629CC">
            <w:pPr>
              <w:spacing w:before="120" w:line="276" w:lineRule="auto"/>
              <w:jc w:val="both"/>
              <w:rPr>
                <w:rFonts w:ascii="Times New Roman" w:hAnsi="Times New Roman"/>
                <w:sz w:val="20"/>
                <w:szCs w:val="20"/>
                <w:u w:val="single"/>
              </w:rPr>
            </w:pPr>
            <w:r w:rsidRPr="00B76A3C">
              <w:rPr>
                <w:rFonts w:ascii="Times New Roman" w:hAnsi="Times New Roman"/>
                <w:sz w:val="20"/>
                <w:szCs w:val="20"/>
                <w:u w:val="single"/>
              </w:rPr>
              <w:t>Age Group</w:t>
            </w:r>
            <w:r>
              <w:rPr>
                <w:rFonts w:ascii="Times New Roman" w:hAnsi="Times New Roman"/>
                <w:sz w:val="20"/>
                <w:szCs w:val="20"/>
                <w:u w:val="single"/>
              </w:rPr>
              <w:t xml:space="preserve"> </w:t>
            </w:r>
            <w:r w:rsidRPr="00992D01">
              <w:rPr>
                <w:rFonts w:ascii="Times New Roman" w:hAnsi="Times New Roman"/>
                <w:sz w:val="20"/>
                <w:szCs w:val="20"/>
              </w:rPr>
              <w:t>(p= 0.</w:t>
            </w:r>
            <w:r>
              <w:rPr>
                <w:rFonts w:ascii="Times New Roman" w:hAnsi="Times New Roman"/>
                <w:sz w:val="20"/>
                <w:szCs w:val="20"/>
              </w:rPr>
              <w:t>13</w:t>
            </w:r>
            <w:r w:rsidRPr="00992D01">
              <w:rPr>
                <w:rFonts w:ascii="Times New Roman" w:hAnsi="Times New Roman"/>
                <w:sz w:val="20"/>
                <w:szCs w:val="20"/>
              </w:rPr>
              <w:t>)</w:t>
            </w:r>
          </w:p>
        </w:tc>
        <w:tc>
          <w:tcPr>
            <w:tcW w:w="1289" w:type="dxa"/>
            <w:tcBorders>
              <w:top w:val="nil"/>
              <w:left w:val="nil"/>
              <w:bottom w:val="nil"/>
              <w:right w:val="nil"/>
            </w:tcBorders>
          </w:tcPr>
          <w:p w14:paraId="18A1897C" w14:textId="77777777" w:rsidR="004E4CEC" w:rsidRPr="00B76A3C" w:rsidRDefault="004E4CEC" w:rsidP="001629CC">
            <w:pPr>
              <w:spacing w:before="120" w:line="276" w:lineRule="auto"/>
              <w:jc w:val="center"/>
              <w:rPr>
                <w:rFonts w:ascii="Times New Roman" w:hAnsi="Times New Roman"/>
                <w:sz w:val="20"/>
                <w:szCs w:val="20"/>
              </w:rPr>
            </w:pPr>
          </w:p>
        </w:tc>
      </w:tr>
      <w:tr w:rsidR="004E4CEC" w14:paraId="0912B681" w14:textId="77777777" w:rsidTr="001629CC">
        <w:tc>
          <w:tcPr>
            <w:tcW w:w="3956" w:type="dxa"/>
            <w:tcBorders>
              <w:top w:val="nil"/>
              <w:left w:val="nil"/>
              <w:bottom w:val="nil"/>
              <w:right w:val="nil"/>
            </w:tcBorders>
          </w:tcPr>
          <w:p w14:paraId="69AC04E9" w14:textId="77777777" w:rsidR="004E4CEC" w:rsidRPr="00B76A3C" w:rsidRDefault="004E4CEC" w:rsidP="001629CC">
            <w:pPr>
              <w:spacing w:line="276" w:lineRule="auto"/>
              <w:jc w:val="both"/>
              <w:rPr>
                <w:rFonts w:ascii="Times New Roman" w:hAnsi="Times New Roman"/>
                <w:sz w:val="20"/>
                <w:szCs w:val="20"/>
                <w:u w:val="single"/>
              </w:rPr>
            </w:pPr>
          </w:p>
        </w:tc>
        <w:tc>
          <w:tcPr>
            <w:tcW w:w="1289" w:type="dxa"/>
            <w:tcBorders>
              <w:top w:val="nil"/>
              <w:left w:val="nil"/>
              <w:bottom w:val="nil"/>
              <w:right w:val="nil"/>
            </w:tcBorders>
          </w:tcPr>
          <w:p w14:paraId="07454FCA" w14:textId="77777777" w:rsidR="004E4CEC" w:rsidRPr="00B76A3C" w:rsidRDefault="004E4CEC" w:rsidP="001629CC">
            <w:pPr>
              <w:spacing w:line="276" w:lineRule="auto"/>
              <w:jc w:val="center"/>
              <w:rPr>
                <w:rFonts w:ascii="Times New Roman" w:hAnsi="Times New Roman"/>
                <w:sz w:val="20"/>
                <w:szCs w:val="20"/>
              </w:rPr>
            </w:pPr>
          </w:p>
        </w:tc>
      </w:tr>
      <w:tr w:rsidR="004E4CEC" w14:paraId="6476F3B0" w14:textId="77777777" w:rsidTr="001629CC">
        <w:tc>
          <w:tcPr>
            <w:tcW w:w="3956" w:type="dxa"/>
            <w:tcBorders>
              <w:top w:val="nil"/>
              <w:left w:val="nil"/>
              <w:bottom w:val="nil"/>
              <w:right w:val="nil"/>
            </w:tcBorders>
          </w:tcPr>
          <w:p w14:paraId="2DF0163B" w14:textId="77777777" w:rsidR="004E4CEC" w:rsidRPr="00B76A3C" w:rsidRDefault="004E4CEC" w:rsidP="001629CC">
            <w:pPr>
              <w:spacing w:line="276" w:lineRule="auto"/>
              <w:jc w:val="both"/>
              <w:rPr>
                <w:rFonts w:ascii="Times New Roman" w:hAnsi="Times New Roman"/>
                <w:sz w:val="20"/>
                <w:szCs w:val="20"/>
              </w:rPr>
            </w:pPr>
            <w:r w:rsidRPr="00B76A3C">
              <w:rPr>
                <w:rFonts w:ascii="Times New Roman" w:hAnsi="Times New Roman"/>
                <w:sz w:val="20"/>
                <w:szCs w:val="20"/>
                <w:u w:val="single"/>
              </w:rPr>
              <w:t>Race/Ethnicity</w:t>
            </w:r>
            <w:r>
              <w:rPr>
                <w:rFonts w:ascii="Times New Roman" w:hAnsi="Times New Roman"/>
                <w:sz w:val="20"/>
                <w:szCs w:val="20"/>
              </w:rPr>
              <w:t xml:space="preserve"> (p = 0.1)</w:t>
            </w:r>
          </w:p>
        </w:tc>
        <w:tc>
          <w:tcPr>
            <w:tcW w:w="1289" w:type="dxa"/>
            <w:tcBorders>
              <w:top w:val="nil"/>
              <w:left w:val="nil"/>
              <w:bottom w:val="nil"/>
              <w:right w:val="nil"/>
            </w:tcBorders>
          </w:tcPr>
          <w:p w14:paraId="6E91A514" w14:textId="77777777" w:rsidR="004E4CEC" w:rsidRPr="00B76A3C" w:rsidRDefault="004E4CEC" w:rsidP="001629CC">
            <w:pPr>
              <w:spacing w:line="276" w:lineRule="auto"/>
              <w:jc w:val="center"/>
              <w:rPr>
                <w:rFonts w:ascii="Times New Roman" w:hAnsi="Times New Roman"/>
                <w:sz w:val="20"/>
                <w:szCs w:val="20"/>
              </w:rPr>
            </w:pPr>
          </w:p>
        </w:tc>
      </w:tr>
      <w:tr w:rsidR="004E4CEC" w14:paraId="75A3FA71" w14:textId="77777777" w:rsidTr="001629CC">
        <w:tc>
          <w:tcPr>
            <w:tcW w:w="3956" w:type="dxa"/>
            <w:tcBorders>
              <w:top w:val="nil"/>
              <w:left w:val="nil"/>
              <w:bottom w:val="nil"/>
              <w:right w:val="nil"/>
            </w:tcBorders>
          </w:tcPr>
          <w:p w14:paraId="426F97DB" w14:textId="77777777" w:rsidR="004E4CEC" w:rsidRPr="00B76A3C" w:rsidRDefault="004E4CEC" w:rsidP="001629CC">
            <w:pPr>
              <w:spacing w:line="276" w:lineRule="auto"/>
              <w:jc w:val="both"/>
              <w:rPr>
                <w:rFonts w:ascii="Times New Roman" w:hAnsi="Times New Roman"/>
                <w:sz w:val="20"/>
                <w:szCs w:val="20"/>
                <w:u w:val="single"/>
              </w:rPr>
            </w:pPr>
          </w:p>
        </w:tc>
        <w:tc>
          <w:tcPr>
            <w:tcW w:w="1289" w:type="dxa"/>
            <w:tcBorders>
              <w:top w:val="nil"/>
              <w:left w:val="nil"/>
              <w:bottom w:val="nil"/>
              <w:right w:val="nil"/>
            </w:tcBorders>
          </w:tcPr>
          <w:p w14:paraId="4E217C22" w14:textId="77777777" w:rsidR="004E4CEC" w:rsidRPr="00B76A3C" w:rsidRDefault="004E4CEC" w:rsidP="001629CC">
            <w:pPr>
              <w:spacing w:line="276" w:lineRule="auto"/>
              <w:jc w:val="center"/>
              <w:rPr>
                <w:rFonts w:ascii="Times New Roman" w:hAnsi="Times New Roman"/>
                <w:sz w:val="20"/>
                <w:szCs w:val="20"/>
              </w:rPr>
            </w:pPr>
          </w:p>
        </w:tc>
      </w:tr>
      <w:tr w:rsidR="004E4CEC" w14:paraId="6A72D06B" w14:textId="77777777" w:rsidTr="001629CC">
        <w:tc>
          <w:tcPr>
            <w:tcW w:w="3956" w:type="dxa"/>
            <w:tcBorders>
              <w:top w:val="nil"/>
              <w:left w:val="nil"/>
              <w:bottom w:val="nil"/>
              <w:right w:val="nil"/>
            </w:tcBorders>
          </w:tcPr>
          <w:p w14:paraId="2ECBB5F1" w14:textId="77777777" w:rsidR="004E4CEC" w:rsidRPr="00B76A3C" w:rsidRDefault="004E4CEC" w:rsidP="001629CC">
            <w:pPr>
              <w:spacing w:line="276" w:lineRule="auto"/>
              <w:jc w:val="both"/>
              <w:rPr>
                <w:rFonts w:ascii="Times New Roman" w:hAnsi="Times New Roman"/>
                <w:sz w:val="20"/>
                <w:szCs w:val="20"/>
              </w:rPr>
            </w:pPr>
            <w:r w:rsidRPr="00B76A3C">
              <w:rPr>
                <w:rFonts w:ascii="Times New Roman" w:hAnsi="Times New Roman"/>
                <w:sz w:val="20"/>
                <w:szCs w:val="20"/>
                <w:u w:val="single"/>
              </w:rPr>
              <w:t>Education</w:t>
            </w:r>
            <w:r>
              <w:rPr>
                <w:rFonts w:ascii="Times New Roman" w:hAnsi="Times New Roman"/>
                <w:sz w:val="20"/>
                <w:szCs w:val="20"/>
                <w:u w:val="single"/>
              </w:rPr>
              <w:t xml:space="preserve"> </w:t>
            </w:r>
            <w:r>
              <w:rPr>
                <w:rFonts w:ascii="Times New Roman" w:hAnsi="Times New Roman"/>
                <w:sz w:val="20"/>
                <w:szCs w:val="20"/>
              </w:rPr>
              <w:t>(p &lt; 0.001)</w:t>
            </w:r>
          </w:p>
        </w:tc>
        <w:tc>
          <w:tcPr>
            <w:tcW w:w="1289" w:type="dxa"/>
            <w:tcBorders>
              <w:top w:val="nil"/>
              <w:left w:val="nil"/>
              <w:bottom w:val="nil"/>
              <w:right w:val="nil"/>
            </w:tcBorders>
          </w:tcPr>
          <w:p w14:paraId="580F9FD0" w14:textId="77777777" w:rsidR="004E4CEC" w:rsidRPr="00B76A3C" w:rsidRDefault="004E4CEC" w:rsidP="001629CC">
            <w:pPr>
              <w:spacing w:line="276" w:lineRule="auto"/>
              <w:jc w:val="center"/>
              <w:rPr>
                <w:rFonts w:ascii="Times New Roman" w:hAnsi="Times New Roman"/>
                <w:sz w:val="20"/>
                <w:szCs w:val="20"/>
              </w:rPr>
            </w:pPr>
          </w:p>
        </w:tc>
      </w:tr>
      <w:tr w:rsidR="004E4CEC" w14:paraId="78C6234E" w14:textId="77777777" w:rsidTr="001629CC">
        <w:tc>
          <w:tcPr>
            <w:tcW w:w="3956" w:type="dxa"/>
            <w:tcBorders>
              <w:top w:val="nil"/>
              <w:left w:val="nil"/>
              <w:bottom w:val="nil"/>
              <w:right w:val="nil"/>
            </w:tcBorders>
          </w:tcPr>
          <w:p w14:paraId="51B27B40" w14:textId="77777777" w:rsidR="004E4CEC" w:rsidRPr="00992D01"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College grad to &lt; High school</w:t>
            </w:r>
          </w:p>
        </w:tc>
        <w:tc>
          <w:tcPr>
            <w:tcW w:w="1289" w:type="dxa"/>
            <w:tcBorders>
              <w:top w:val="nil"/>
              <w:left w:val="nil"/>
              <w:bottom w:val="nil"/>
              <w:right w:val="nil"/>
            </w:tcBorders>
          </w:tcPr>
          <w:p w14:paraId="472F330C"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1.67</w:t>
            </w:r>
          </w:p>
        </w:tc>
      </w:tr>
      <w:tr w:rsidR="004E4CEC" w14:paraId="77115A92" w14:textId="77777777" w:rsidTr="001629CC">
        <w:tc>
          <w:tcPr>
            <w:tcW w:w="3956" w:type="dxa"/>
            <w:tcBorders>
              <w:top w:val="nil"/>
              <w:left w:val="nil"/>
              <w:bottom w:val="nil"/>
              <w:right w:val="nil"/>
            </w:tcBorders>
          </w:tcPr>
          <w:p w14:paraId="64456045" w14:textId="77777777" w:rsidR="004E4CEC" w:rsidRPr="00992D01"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Some college or AA to &lt; High school</w:t>
            </w:r>
          </w:p>
        </w:tc>
        <w:tc>
          <w:tcPr>
            <w:tcW w:w="1289" w:type="dxa"/>
            <w:tcBorders>
              <w:top w:val="nil"/>
              <w:left w:val="nil"/>
              <w:bottom w:val="nil"/>
              <w:right w:val="nil"/>
            </w:tcBorders>
          </w:tcPr>
          <w:p w14:paraId="548B1780"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0.88</w:t>
            </w:r>
          </w:p>
        </w:tc>
      </w:tr>
      <w:tr w:rsidR="004E4CEC" w14:paraId="31F75C86" w14:textId="77777777" w:rsidTr="001629CC">
        <w:tc>
          <w:tcPr>
            <w:tcW w:w="3956" w:type="dxa"/>
            <w:tcBorders>
              <w:top w:val="nil"/>
              <w:left w:val="nil"/>
              <w:bottom w:val="nil"/>
              <w:right w:val="nil"/>
            </w:tcBorders>
          </w:tcPr>
          <w:p w14:paraId="6FCC8168" w14:textId="77777777" w:rsidR="004E4CEC"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High school or Equivalent to &lt;High school</w:t>
            </w:r>
          </w:p>
        </w:tc>
        <w:tc>
          <w:tcPr>
            <w:tcW w:w="1289" w:type="dxa"/>
            <w:tcBorders>
              <w:top w:val="nil"/>
              <w:left w:val="nil"/>
              <w:bottom w:val="nil"/>
              <w:right w:val="nil"/>
            </w:tcBorders>
          </w:tcPr>
          <w:p w14:paraId="138D620E"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1.19</w:t>
            </w:r>
          </w:p>
        </w:tc>
      </w:tr>
      <w:tr w:rsidR="004E4CEC" w14:paraId="26E0C152" w14:textId="77777777" w:rsidTr="001629CC">
        <w:tc>
          <w:tcPr>
            <w:tcW w:w="3956" w:type="dxa"/>
            <w:tcBorders>
              <w:top w:val="nil"/>
              <w:left w:val="nil"/>
              <w:bottom w:val="nil"/>
              <w:right w:val="nil"/>
            </w:tcBorders>
          </w:tcPr>
          <w:p w14:paraId="79A54550" w14:textId="77777777" w:rsidR="004E4CEC" w:rsidRPr="00B76A3C" w:rsidRDefault="004E4CEC" w:rsidP="001629CC">
            <w:pPr>
              <w:spacing w:line="276" w:lineRule="auto"/>
              <w:jc w:val="both"/>
              <w:rPr>
                <w:rFonts w:ascii="Times New Roman" w:hAnsi="Times New Roman"/>
                <w:sz w:val="20"/>
                <w:szCs w:val="20"/>
                <w:u w:val="single"/>
              </w:rPr>
            </w:pPr>
          </w:p>
        </w:tc>
        <w:tc>
          <w:tcPr>
            <w:tcW w:w="1289" w:type="dxa"/>
            <w:tcBorders>
              <w:top w:val="nil"/>
              <w:left w:val="nil"/>
              <w:bottom w:val="nil"/>
              <w:right w:val="nil"/>
            </w:tcBorders>
          </w:tcPr>
          <w:p w14:paraId="5460F696" w14:textId="77777777" w:rsidR="004E4CEC" w:rsidRPr="00B76A3C" w:rsidRDefault="004E4CEC" w:rsidP="001629CC">
            <w:pPr>
              <w:spacing w:line="276" w:lineRule="auto"/>
              <w:jc w:val="center"/>
              <w:rPr>
                <w:rFonts w:ascii="Times New Roman" w:hAnsi="Times New Roman"/>
                <w:sz w:val="20"/>
                <w:szCs w:val="20"/>
              </w:rPr>
            </w:pPr>
          </w:p>
        </w:tc>
      </w:tr>
      <w:tr w:rsidR="004E4CEC" w14:paraId="2F90C7D1" w14:textId="77777777" w:rsidTr="001629CC">
        <w:tc>
          <w:tcPr>
            <w:tcW w:w="3956" w:type="dxa"/>
            <w:tcBorders>
              <w:top w:val="nil"/>
              <w:left w:val="nil"/>
              <w:bottom w:val="nil"/>
              <w:right w:val="nil"/>
            </w:tcBorders>
          </w:tcPr>
          <w:p w14:paraId="17651EB0" w14:textId="77777777" w:rsidR="004E4CEC" w:rsidRDefault="004E4CEC" w:rsidP="001629CC">
            <w:pPr>
              <w:spacing w:line="276" w:lineRule="auto"/>
              <w:jc w:val="both"/>
              <w:rPr>
                <w:rFonts w:ascii="Times New Roman" w:hAnsi="Times New Roman"/>
                <w:sz w:val="20"/>
                <w:szCs w:val="20"/>
              </w:rPr>
            </w:pPr>
            <w:r w:rsidRPr="00B76A3C">
              <w:rPr>
                <w:rFonts w:ascii="Times New Roman" w:hAnsi="Times New Roman"/>
                <w:sz w:val="20"/>
                <w:szCs w:val="20"/>
                <w:u w:val="single"/>
              </w:rPr>
              <w:t>Annual Household Income</w:t>
            </w:r>
            <w:r>
              <w:rPr>
                <w:rFonts w:ascii="Times New Roman" w:hAnsi="Times New Roman"/>
                <w:sz w:val="20"/>
                <w:szCs w:val="20"/>
              </w:rPr>
              <w:t xml:space="preserve"> (p = 0.002)</w:t>
            </w:r>
          </w:p>
        </w:tc>
        <w:tc>
          <w:tcPr>
            <w:tcW w:w="1289" w:type="dxa"/>
            <w:tcBorders>
              <w:top w:val="nil"/>
              <w:left w:val="nil"/>
              <w:bottom w:val="nil"/>
              <w:right w:val="nil"/>
            </w:tcBorders>
          </w:tcPr>
          <w:p w14:paraId="1D570CBF" w14:textId="77777777" w:rsidR="004E4CEC" w:rsidRPr="00B76A3C" w:rsidRDefault="004E4CEC" w:rsidP="001629CC">
            <w:pPr>
              <w:spacing w:line="276" w:lineRule="auto"/>
              <w:jc w:val="center"/>
              <w:rPr>
                <w:rFonts w:ascii="Times New Roman" w:hAnsi="Times New Roman"/>
                <w:sz w:val="20"/>
                <w:szCs w:val="20"/>
              </w:rPr>
            </w:pPr>
          </w:p>
        </w:tc>
      </w:tr>
      <w:tr w:rsidR="004E4CEC" w14:paraId="1308A171" w14:textId="77777777" w:rsidTr="001629CC">
        <w:tc>
          <w:tcPr>
            <w:tcW w:w="3956" w:type="dxa"/>
            <w:tcBorders>
              <w:top w:val="nil"/>
              <w:left w:val="nil"/>
              <w:bottom w:val="nil"/>
              <w:right w:val="nil"/>
            </w:tcBorders>
          </w:tcPr>
          <w:p w14:paraId="604E5AE4" w14:textId="77777777" w:rsidR="004E4CEC"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w:t>
            </w:r>
            <w:r w:rsidRPr="00B76A3C">
              <w:rPr>
                <w:rFonts w:ascii="Times New Roman" w:hAnsi="Times New Roman"/>
                <w:sz w:val="20"/>
                <w:szCs w:val="20"/>
              </w:rPr>
              <w:t>&gt;$65K</w:t>
            </w:r>
            <w:r>
              <w:rPr>
                <w:rFonts w:ascii="Times New Roman" w:hAnsi="Times New Roman"/>
                <w:sz w:val="20"/>
                <w:szCs w:val="20"/>
              </w:rPr>
              <w:t xml:space="preserve"> to &lt;$35K</w:t>
            </w:r>
          </w:p>
        </w:tc>
        <w:tc>
          <w:tcPr>
            <w:tcW w:w="1289" w:type="dxa"/>
            <w:tcBorders>
              <w:top w:val="nil"/>
              <w:left w:val="nil"/>
              <w:bottom w:val="nil"/>
              <w:right w:val="nil"/>
            </w:tcBorders>
          </w:tcPr>
          <w:p w14:paraId="3901BEFC"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1.92</w:t>
            </w:r>
          </w:p>
        </w:tc>
      </w:tr>
      <w:tr w:rsidR="004E4CEC" w14:paraId="6DD69F42" w14:textId="77777777" w:rsidTr="001629CC">
        <w:tc>
          <w:tcPr>
            <w:tcW w:w="3956" w:type="dxa"/>
            <w:tcBorders>
              <w:top w:val="nil"/>
              <w:left w:val="nil"/>
              <w:bottom w:val="nil"/>
              <w:right w:val="nil"/>
            </w:tcBorders>
          </w:tcPr>
          <w:p w14:paraId="4D262200" w14:textId="77777777" w:rsidR="004E4CEC" w:rsidRPr="00992D01"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$35K&lt;$65K to &lt;35K</w:t>
            </w:r>
          </w:p>
        </w:tc>
        <w:tc>
          <w:tcPr>
            <w:tcW w:w="1289" w:type="dxa"/>
            <w:tcBorders>
              <w:top w:val="nil"/>
              <w:left w:val="nil"/>
              <w:bottom w:val="nil"/>
              <w:right w:val="nil"/>
            </w:tcBorders>
          </w:tcPr>
          <w:p w14:paraId="4AF32B72"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1.38</w:t>
            </w:r>
          </w:p>
        </w:tc>
      </w:tr>
      <w:tr w:rsidR="004E4CEC" w14:paraId="52C1C8C4" w14:textId="77777777" w:rsidTr="001629CC">
        <w:tc>
          <w:tcPr>
            <w:tcW w:w="3956" w:type="dxa"/>
            <w:tcBorders>
              <w:top w:val="nil"/>
              <w:left w:val="nil"/>
              <w:bottom w:val="nil"/>
              <w:right w:val="nil"/>
            </w:tcBorders>
          </w:tcPr>
          <w:p w14:paraId="5DA8A7ED" w14:textId="77777777" w:rsidR="004E4CEC" w:rsidRDefault="004E4CEC" w:rsidP="001629CC">
            <w:pPr>
              <w:spacing w:line="276" w:lineRule="auto"/>
              <w:jc w:val="both"/>
              <w:rPr>
                <w:rFonts w:ascii="Times New Roman" w:hAnsi="Times New Roman"/>
                <w:sz w:val="20"/>
                <w:szCs w:val="20"/>
                <w:u w:val="single"/>
              </w:rPr>
            </w:pPr>
          </w:p>
        </w:tc>
        <w:tc>
          <w:tcPr>
            <w:tcW w:w="1289" w:type="dxa"/>
            <w:tcBorders>
              <w:top w:val="nil"/>
              <w:left w:val="nil"/>
              <w:bottom w:val="nil"/>
              <w:right w:val="nil"/>
            </w:tcBorders>
          </w:tcPr>
          <w:p w14:paraId="2A3F202B" w14:textId="77777777" w:rsidR="004E4CEC" w:rsidRPr="00B76A3C" w:rsidRDefault="004E4CEC" w:rsidP="001629CC">
            <w:pPr>
              <w:spacing w:line="276" w:lineRule="auto"/>
              <w:jc w:val="center"/>
              <w:rPr>
                <w:rFonts w:ascii="Times New Roman" w:hAnsi="Times New Roman"/>
                <w:sz w:val="20"/>
                <w:szCs w:val="20"/>
              </w:rPr>
            </w:pPr>
          </w:p>
        </w:tc>
      </w:tr>
      <w:tr w:rsidR="004E4CEC" w14:paraId="1727F72D" w14:textId="77777777" w:rsidTr="001629CC">
        <w:tc>
          <w:tcPr>
            <w:tcW w:w="3956" w:type="dxa"/>
            <w:tcBorders>
              <w:top w:val="nil"/>
              <w:left w:val="nil"/>
              <w:bottom w:val="nil"/>
              <w:right w:val="nil"/>
            </w:tcBorders>
          </w:tcPr>
          <w:p w14:paraId="6F3FFB6A" w14:textId="77777777" w:rsidR="004E4CEC" w:rsidRDefault="004E4CEC" w:rsidP="001629CC">
            <w:pPr>
              <w:spacing w:line="276" w:lineRule="auto"/>
              <w:jc w:val="both"/>
              <w:rPr>
                <w:rFonts w:ascii="Times New Roman" w:hAnsi="Times New Roman"/>
                <w:sz w:val="20"/>
                <w:szCs w:val="20"/>
              </w:rPr>
            </w:pPr>
            <w:r>
              <w:rPr>
                <w:rFonts w:ascii="Times New Roman" w:hAnsi="Times New Roman"/>
                <w:sz w:val="20"/>
                <w:szCs w:val="20"/>
                <w:u w:val="single"/>
              </w:rPr>
              <w:t xml:space="preserve">Total Fat Mass </w:t>
            </w:r>
            <w:r>
              <w:rPr>
                <w:rFonts w:ascii="Times New Roman" w:hAnsi="Times New Roman"/>
                <w:sz w:val="20"/>
                <w:szCs w:val="20"/>
              </w:rPr>
              <w:t>(p = 0.18)</w:t>
            </w:r>
          </w:p>
        </w:tc>
        <w:tc>
          <w:tcPr>
            <w:tcW w:w="1289" w:type="dxa"/>
            <w:tcBorders>
              <w:top w:val="nil"/>
              <w:left w:val="nil"/>
              <w:bottom w:val="nil"/>
              <w:right w:val="nil"/>
            </w:tcBorders>
          </w:tcPr>
          <w:p w14:paraId="049D0726" w14:textId="77777777" w:rsidR="004E4CEC" w:rsidRPr="00B76A3C" w:rsidRDefault="004E4CEC" w:rsidP="001629CC">
            <w:pPr>
              <w:spacing w:line="276" w:lineRule="auto"/>
              <w:jc w:val="center"/>
              <w:rPr>
                <w:rFonts w:ascii="Times New Roman" w:hAnsi="Times New Roman"/>
                <w:sz w:val="20"/>
                <w:szCs w:val="20"/>
              </w:rPr>
            </w:pPr>
          </w:p>
        </w:tc>
      </w:tr>
      <w:tr w:rsidR="004E4CEC" w14:paraId="1871FFBD" w14:textId="77777777" w:rsidTr="001629CC">
        <w:tc>
          <w:tcPr>
            <w:tcW w:w="3956" w:type="dxa"/>
            <w:tcBorders>
              <w:top w:val="nil"/>
              <w:left w:val="nil"/>
              <w:bottom w:val="nil"/>
              <w:right w:val="nil"/>
            </w:tcBorders>
          </w:tcPr>
          <w:p w14:paraId="73423FED" w14:textId="77777777" w:rsidR="004E4CEC" w:rsidRDefault="004E4CEC" w:rsidP="001629CC">
            <w:pPr>
              <w:spacing w:line="276" w:lineRule="auto"/>
              <w:jc w:val="both"/>
              <w:rPr>
                <w:rFonts w:ascii="Times New Roman" w:hAnsi="Times New Roman"/>
                <w:sz w:val="20"/>
                <w:szCs w:val="20"/>
              </w:rPr>
            </w:pPr>
          </w:p>
        </w:tc>
        <w:tc>
          <w:tcPr>
            <w:tcW w:w="1289" w:type="dxa"/>
            <w:tcBorders>
              <w:top w:val="nil"/>
              <w:left w:val="nil"/>
              <w:bottom w:val="nil"/>
              <w:right w:val="nil"/>
            </w:tcBorders>
          </w:tcPr>
          <w:p w14:paraId="4F9B6B58" w14:textId="77777777" w:rsidR="004E4CEC" w:rsidRPr="00B76A3C" w:rsidRDefault="004E4CEC" w:rsidP="001629CC">
            <w:pPr>
              <w:spacing w:line="276" w:lineRule="auto"/>
              <w:jc w:val="center"/>
              <w:rPr>
                <w:rFonts w:ascii="Times New Roman" w:hAnsi="Times New Roman"/>
                <w:sz w:val="20"/>
                <w:szCs w:val="20"/>
              </w:rPr>
            </w:pPr>
          </w:p>
        </w:tc>
      </w:tr>
      <w:tr w:rsidR="004E4CEC" w14:paraId="561D5DB0" w14:textId="77777777" w:rsidTr="001629CC">
        <w:tc>
          <w:tcPr>
            <w:tcW w:w="3956" w:type="dxa"/>
            <w:tcBorders>
              <w:top w:val="nil"/>
              <w:left w:val="nil"/>
              <w:bottom w:val="nil"/>
              <w:right w:val="nil"/>
            </w:tcBorders>
          </w:tcPr>
          <w:p w14:paraId="686CB74C" w14:textId="77777777" w:rsidR="004E4CEC" w:rsidRPr="00992D01" w:rsidRDefault="004E4CEC" w:rsidP="001629CC">
            <w:pPr>
              <w:spacing w:line="276" w:lineRule="auto"/>
              <w:jc w:val="both"/>
              <w:rPr>
                <w:rFonts w:ascii="Times New Roman" w:hAnsi="Times New Roman"/>
                <w:sz w:val="20"/>
                <w:szCs w:val="20"/>
              </w:rPr>
            </w:pPr>
            <w:r w:rsidRPr="00B76A3C">
              <w:rPr>
                <w:rFonts w:ascii="Times New Roman" w:hAnsi="Times New Roman"/>
                <w:sz w:val="20"/>
                <w:szCs w:val="20"/>
                <w:u w:val="single"/>
              </w:rPr>
              <w:t>Total Physical Activity (%)</w:t>
            </w:r>
            <w:r>
              <w:rPr>
                <w:rFonts w:ascii="Times New Roman" w:hAnsi="Times New Roman"/>
                <w:sz w:val="20"/>
                <w:szCs w:val="20"/>
              </w:rPr>
              <w:t xml:space="preserve"> (p = 0.63)</w:t>
            </w:r>
          </w:p>
        </w:tc>
        <w:tc>
          <w:tcPr>
            <w:tcW w:w="1289" w:type="dxa"/>
            <w:tcBorders>
              <w:top w:val="nil"/>
              <w:left w:val="nil"/>
              <w:bottom w:val="nil"/>
              <w:right w:val="nil"/>
            </w:tcBorders>
          </w:tcPr>
          <w:p w14:paraId="2DC0BCF2" w14:textId="77777777" w:rsidR="004E4CEC" w:rsidRPr="00B76A3C" w:rsidRDefault="004E4CEC" w:rsidP="001629CC">
            <w:pPr>
              <w:spacing w:line="276" w:lineRule="auto"/>
              <w:jc w:val="center"/>
              <w:rPr>
                <w:rFonts w:ascii="Times New Roman" w:hAnsi="Times New Roman"/>
                <w:sz w:val="20"/>
                <w:szCs w:val="20"/>
              </w:rPr>
            </w:pPr>
          </w:p>
        </w:tc>
      </w:tr>
      <w:tr w:rsidR="004E4CEC" w14:paraId="2273A3BA" w14:textId="77777777" w:rsidTr="001629CC">
        <w:tc>
          <w:tcPr>
            <w:tcW w:w="3956" w:type="dxa"/>
            <w:tcBorders>
              <w:top w:val="nil"/>
              <w:left w:val="nil"/>
              <w:bottom w:val="nil"/>
              <w:right w:val="nil"/>
            </w:tcBorders>
          </w:tcPr>
          <w:p w14:paraId="3FA0179B" w14:textId="77777777" w:rsidR="004E4CEC" w:rsidRPr="00B76A3C" w:rsidRDefault="004E4CEC" w:rsidP="001629CC">
            <w:pPr>
              <w:spacing w:line="276" w:lineRule="auto"/>
              <w:jc w:val="both"/>
              <w:rPr>
                <w:rFonts w:ascii="Times New Roman" w:hAnsi="Times New Roman"/>
                <w:sz w:val="20"/>
                <w:szCs w:val="20"/>
                <w:u w:val="single"/>
              </w:rPr>
            </w:pPr>
          </w:p>
        </w:tc>
        <w:tc>
          <w:tcPr>
            <w:tcW w:w="1289" w:type="dxa"/>
            <w:tcBorders>
              <w:top w:val="nil"/>
              <w:left w:val="nil"/>
              <w:bottom w:val="nil"/>
              <w:right w:val="nil"/>
            </w:tcBorders>
          </w:tcPr>
          <w:p w14:paraId="7BB67A02" w14:textId="77777777" w:rsidR="004E4CEC" w:rsidRPr="00B76A3C" w:rsidRDefault="004E4CEC" w:rsidP="001629CC">
            <w:pPr>
              <w:spacing w:line="276" w:lineRule="auto"/>
              <w:jc w:val="center"/>
              <w:rPr>
                <w:rFonts w:ascii="Times New Roman" w:hAnsi="Times New Roman"/>
                <w:sz w:val="20"/>
                <w:szCs w:val="20"/>
              </w:rPr>
            </w:pPr>
          </w:p>
        </w:tc>
      </w:tr>
      <w:tr w:rsidR="004E4CEC" w14:paraId="3E1DBD1E" w14:textId="77777777" w:rsidTr="001629CC">
        <w:tc>
          <w:tcPr>
            <w:tcW w:w="3956" w:type="dxa"/>
            <w:tcBorders>
              <w:top w:val="nil"/>
              <w:left w:val="nil"/>
              <w:bottom w:val="nil"/>
              <w:right w:val="nil"/>
            </w:tcBorders>
          </w:tcPr>
          <w:p w14:paraId="495CD9EE" w14:textId="77777777" w:rsidR="004E4CEC" w:rsidRPr="00B76A3C" w:rsidRDefault="004E4CEC" w:rsidP="001629CC">
            <w:pPr>
              <w:spacing w:line="276" w:lineRule="auto"/>
              <w:jc w:val="both"/>
              <w:rPr>
                <w:rFonts w:ascii="Times New Roman" w:hAnsi="Times New Roman"/>
                <w:sz w:val="20"/>
                <w:szCs w:val="20"/>
                <w:u w:val="single"/>
              </w:rPr>
            </w:pPr>
            <w:r w:rsidRPr="00B76A3C">
              <w:rPr>
                <w:rFonts w:ascii="Times New Roman" w:hAnsi="Times New Roman"/>
                <w:sz w:val="20"/>
                <w:szCs w:val="20"/>
                <w:u w:val="single"/>
              </w:rPr>
              <w:t>Arthritis Diagnosis (%)</w:t>
            </w:r>
            <w:r>
              <w:rPr>
                <w:rFonts w:ascii="Times New Roman" w:hAnsi="Times New Roman"/>
                <w:sz w:val="20"/>
                <w:szCs w:val="20"/>
              </w:rPr>
              <w:t xml:space="preserve"> (p &lt; 0.001)</w:t>
            </w:r>
          </w:p>
        </w:tc>
        <w:tc>
          <w:tcPr>
            <w:tcW w:w="1289" w:type="dxa"/>
            <w:tcBorders>
              <w:top w:val="nil"/>
              <w:left w:val="nil"/>
              <w:bottom w:val="nil"/>
              <w:right w:val="nil"/>
            </w:tcBorders>
          </w:tcPr>
          <w:p w14:paraId="0A21649E" w14:textId="77777777" w:rsidR="004E4CEC" w:rsidRPr="00B76A3C" w:rsidRDefault="004E4CEC" w:rsidP="001629CC">
            <w:pPr>
              <w:spacing w:line="276" w:lineRule="auto"/>
              <w:jc w:val="center"/>
              <w:rPr>
                <w:rFonts w:ascii="Times New Roman" w:hAnsi="Times New Roman"/>
                <w:sz w:val="20"/>
                <w:szCs w:val="20"/>
              </w:rPr>
            </w:pPr>
          </w:p>
        </w:tc>
      </w:tr>
      <w:tr w:rsidR="004E4CEC" w14:paraId="417B3A48" w14:textId="77777777" w:rsidTr="001629CC">
        <w:tc>
          <w:tcPr>
            <w:tcW w:w="3956" w:type="dxa"/>
            <w:tcBorders>
              <w:top w:val="nil"/>
              <w:left w:val="nil"/>
              <w:bottom w:val="single" w:sz="4" w:space="0" w:color="auto"/>
              <w:right w:val="nil"/>
            </w:tcBorders>
          </w:tcPr>
          <w:p w14:paraId="15ECF8D3" w14:textId="77777777" w:rsidR="004E4CEC" w:rsidRPr="00B76A3C" w:rsidRDefault="004E4CEC" w:rsidP="001629CC">
            <w:pPr>
              <w:spacing w:line="276" w:lineRule="auto"/>
              <w:jc w:val="both"/>
              <w:rPr>
                <w:rFonts w:ascii="Times New Roman" w:hAnsi="Times New Roman"/>
                <w:sz w:val="20"/>
                <w:szCs w:val="20"/>
              </w:rPr>
            </w:pPr>
            <w:r>
              <w:rPr>
                <w:rFonts w:ascii="Times New Roman" w:hAnsi="Times New Roman"/>
                <w:sz w:val="20"/>
                <w:szCs w:val="20"/>
              </w:rPr>
              <w:t xml:space="preserve">     </w:t>
            </w:r>
            <w:r w:rsidRPr="0087279A">
              <w:rPr>
                <w:rFonts w:ascii="Times New Roman" w:hAnsi="Times New Roman"/>
                <w:sz w:val="20"/>
                <w:szCs w:val="20"/>
              </w:rPr>
              <w:t>“No” to “Yes”</w:t>
            </w:r>
          </w:p>
        </w:tc>
        <w:tc>
          <w:tcPr>
            <w:tcW w:w="1289" w:type="dxa"/>
            <w:tcBorders>
              <w:top w:val="nil"/>
              <w:left w:val="nil"/>
              <w:bottom w:val="single" w:sz="4" w:space="0" w:color="auto"/>
              <w:right w:val="nil"/>
            </w:tcBorders>
          </w:tcPr>
          <w:p w14:paraId="3F1270B9" w14:textId="77777777" w:rsidR="004E4CEC" w:rsidRPr="00B76A3C" w:rsidRDefault="004E4CEC" w:rsidP="001629CC">
            <w:pPr>
              <w:spacing w:line="276" w:lineRule="auto"/>
              <w:jc w:val="center"/>
              <w:rPr>
                <w:rFonts w:ascii="Times New Roman" w:hAnsi="Times New Roman"/>
                <w:sz w:val="20"/>
                <w:szCs w:val="20"/>
              </w:rPr>
            </w:pPr>
            <w:r>
              <w:rPr>
                <w:rFonts w:ascii="Times New Roman" w:hAnsi="Times New Roman"/>
                <w:sz w:val="20"/>
                <w:szCs w:val="20"/>
              </w:rPr>
              <w:t>4.34</w:t>
            </w:r>
          </w:p>
        </w:tc>
      </w:tr>
      <w:tr w:rsidR="004E4CEC" w14:paraId="3AFA431D" w14:textId="77777777" w:rsidTr="001629CC">
        <w:tc>
          <w:tcPr>
            <w:tcW w:w="3956" w:type="dxa"/>
            <w:tcBorders>
              <w:top w:val="nil"/>
              <w:left w:val="nil"/>
              <w:bottom w:val="nil"/>
              <w:right w:val="nil"/>
            </w:tcBorders>
          </w:tcPr>
          <w:p w14:paraId="2F77A42A" w14:textId="77777777" w:rsidR="004E4CEC" w:rsidRPr="00B76A3C" w:rsidRDefault="004E4CEC" w:rsidP="001629CC">
            <w:pPr>
              <w:spacing w:line="276" w:lineRule="auto"/>
              <w:jc w:val="both"/>
              <w:rPr>
                <w:rFonts w:ascii="Times New Roman" w:hAnsi="Times New Roman"/>
                <w:sz w:val="20"/>
                <w:szCs w:val="20"/>
              </w:rPr>
            </w:pPr>
          </w:p>
        </w:tc>
        <w:tc>
          <w:tcPr>
            <w:tcW w:w="1289" w:type="dxa"/>
            <w:tcBorders>
              <w:top w:val="nil"/>
              <w:left w:val="nil"/>
              <w:bottom w:val="nil"/>
              <w:right w:val="nil"/>
            </w:tcBorders>
          </w:tcPr>
          <w:p w14:paraId="1BE1A817" w14:textId="77777777" w:rsidR="004E4CEC" w:rsidRPr="00B76A3C" w:rsidRDefault="004E4CEC" w:rsidP="001629CC">
            <w:pPr>
              <w:spacing w:line="276" w:lineRule="auto"/>
              <w:jc w:val="both"/>
              <w:rPr>
                <w:rFonts w:ascii="Times New Roman" w:hAnsi="Times New Roman"/>
                <w:sz w:val="20"/>
                <w:szCs w:val="20"/>
              </w:rPr>
            </w:pPr>
          </w:p>
        </w:tc>
      </w:tr>
    </w:tbl>
    <w:p w14:paraId="58A38005" w14:textId="77777777" w:rsidR="004E4CEC" w:rsidRDefault="004E4CEC" w:rsidP="00534327">
      <w:pPr>
        <w:spacing w:line="480" w:lineRule="auto"/>
        <w:jc w:val="both"/>
      </w:pPr>
    </w:p>
    <w:p w14:paraId="627902AA" w14:textId="1060477F" w:rsidR="00534327" w:rsidRPr="00534327" w:rsidRDefault="00534327" w:rsidP="00534327">
      <w:pPr>
        <w:spacing w:line="480" w:lineRule="auto"/>
        <w:jc w:val="both"/>
        <w:rPr>
          <w:b/>
          <w:bCs/>
        </w:rPr>
      </w:pPr>
      <w:r>
        <w:rPr>
          <w:b/>
          <w:bCs/>
        </w:rPr>
        <w:t>Discussion</w:t>
      </w:r>
    </w:p>
    <w:p w14:paraId="1BAEA8AD" w14:textId="1914BEF4" w:rsidR="00534327" w:rsidRDefault="00534327" w:rsidP="00534327">
      <w:pPr>
        <w:spacing w:line="480" w:lineRule="auto"/>
        <w:ind w:firstLine="720"/>
        <w:jc w:val="both"/>
      </w:pPr>
      <w:r>
        <w:t xml:space="preserve">The aim of this study was to examine the relationship among physical activity, pain, weight status, and body composition using a nationally representative sample, while also exploring the confounding demographic variables such as age, </w:t>
      </w:r>
      <w:r w:rsidR="004E4CEC">
        <w:t>sex</w:t>
      </w:r>
      <w:r>
        <w:t>, ethnicity, socioeconomic status and education as well as the effects of having an arthritis diagnosis. This study found that</w:t>
      </w:r>
      <w:r w:rsidR="004E4CEC">
        <w:t xml:space="preserve"> when not controlling for fat mass, </w:t>
      </w:r>
      <w:r>
        <w:t>whether or not an individual met the ACSM physical activity guidelines</w:t>
      </w:r>
      <w:r w:rsidR="004E4CEC">
        <w:t xml:space="preserve"> </w:t>
      </w:r>
      <w:r>
        <w:t>influenced the prevalence with which they reported pain making it hard to perform usual activity.</w:t>
      </w:r>
      <w:r w:rsidR="004E4CEC">
        <w:t xml:space="preserve"> However, their weight status had no effect on their pain prevalence. </w:t>
      </w:r>
      <w:r>
        <w:t xml:space="preserve">Additionally, significant demographic (education, ethnicity, socioeconomic, but not </w:t>
      </w:r>
      <w:r w:rsidR="00463812">
        <w:t>sex</w:t>
      </w:r>
      <w:r>
        <w:t>) influences were also observed.</w:t>
      </w:r>
    </w:p>
    <w:p w14:paraId="1689B4D7" w14:textId="4878C2D4" w:rsidR="00534327" w:rsidRDefault="00534327" w:rsidP="00534327">
      <w:pPr>
        <w:spacing w:line="480" w:lineRule="auto"/>
        <w:jc w:val="both"/>
      </w:pPr>
      <w:r>
        <w:lastRenderedPageBreak/>
        <w:tab/>
        <w:t xml:space="preserve">In regard to </w:t>
      </w:r>
      <w:r w:rsidR="00463812">
        <w:t>sex</w:t>
      </w:r>
      <w:r>
        <w:t xml:space="preserve">, differences in both physical activity levels and body composition were found between men and women. In general, females had higher mean percent body fat and fat mass and a lower lean mass than males did. This is consistent with findings from a study conducted by Schorr et al. (2018) in which DXA showed that females had higher percent body fat, higher fat mass and lower lean mass than males did. Additionally, compared to females, males had a significantly greater prevalence for being sufficiently active as well as a lower prevalence for being insufficiently active. A similar prevalence was observed in regard to recreational activity as well. The reason for these differences in physical activity is not fully understood, however, </w:t>
      </w:r>
      <w:proofErr w:type="spellStart"/>
      <w:r>
        <w:t>Molanorouzi</w:t>
      </w:r>
      <w:proofErr w:type="spellEnd"/>
      <w:r>
        <w:t xml:space="preserve"> et al. (2015) suggest that differences in motivation to be physically active among the two </w:t>
      </w:r>
      <w:r w:rsidR="004E4CEC">
        <w:t xml:space="preserve">sexes </w:t>
      </w:r>
      <w:r>
        <w:t xml:space="preserve">could possibly account for any discrepancies. Conversely, a study conducted by Umeda and Kim (2019) also using NHANES data found there to be no </w:t>
      </w:r>
      <w:r w:rsidR="004E4CEC">
        <w:t>sex</w:t>
      </w:r>
      <w:r>
        <w:t xml:space="preserve"> differences in prevalence of meeting physical activity guidelines. When further breaking down physical activity into total MET minutes per week we found that males also had higher vigorous and moderate MET minutes of activity each week than females did for nearly all parameters. This included total physical activity, work related physical activity and travel related physical activity. </w:t>
      </w:r>
    </w:p>
    <w:p w14:paraId="3BEB543A" w14:textId="16097D9A" w:rsidR="00534327" w:rsidRDefault="00534327" w:rsidP="00534327">
      <w:pPr>
        <w:spacing w:line="480" w:lineRule="auto"/>
        <w:ind w:firstLine="720"/>
        <w:jc w:val="both"/>
      </w:pPr>
      <w:r>
        <w:t xml:space="preserve">Physical activity has been known to reduce one’s risk for developing various types of chronic diseases which may also function to then reduce the risk for developing chronic pain conditions (Booth et al., 2012). Thus, the </w:t>
      </w:r>
      <w:r w:rsidR="00463812">
        <w:t>sex</w:t>
      </w:r>
      <w:r>
        <w:t xml:space="preserve"> differences in physical activity found in our sample could lead us to believe that the prevalence of pain among males and females would also differ. However, when examining the prevalence of being in a given pain category (Never, Sometimes, Always) no significant differences were found between males and females. This contradicts previous findings which note that in comparison to males, females have a consistently higher prevalence of having severe pain related diseases as well more severe levels of pain and a greater </w:t>
      </w:r>
      <w:r>
        <w:lastRenderedPageBreak/>
        <w:t>frequency of pain across the body (</w:t>
      </w:r>
      <w:proofErr w:type="spellStart"/>
      <w:r>
        <w:t>Pieretti</w:t>
      </w:r>
      <w:proofErr w:type="spellEnd"/>
      <w:r>
        <w:t xml:space="preserve"> et al., 2016).</w:t>
      </w:r>
      <w:r w:rsidR="004E4CEC">
        <w:t xml:space="preserve"> This could likely be attributed to the fact that this study controlled for confounding variables like age, body composition, and BMI all of which contribute to varying pain prevalence among the two sexes. Thus, when these variables were removed, sex no longer had an effect on pain prevalence.</w:t>
      </w:r>
      <w:r>
        <w:t xml:space="preserve"> While no </w:t>
      </w:r>
      <w:r w:rsidR="004E4CEC">
        <w:t>sex</w:t>
      </w:r>
      <w:r>
        <w:t xml:space="preserve"> differences in pain prevalence were observed in the present study, significant differences for age, ethnicity, income, and education levels were found. As hypothesized, individuals who were younger had significantly lower prevalence in the higher pain categories compared to middle age and older adults. Additionally, when controlling for all other demographic variables we found that the odds of moving up in a pain category increase significantly as you move up in an age group; thus, it can be concluded that aging has a significant impact on the prevalence of pain on movement. This is consistent with the current literature on pain and aging. Ray et al. (2011) </w:t>
      </w:r>
      <w:proofErr w:type="gramStart"/>
      <w:r>
        <w:t>note</w:t>
      </w:r>
      <w:proofErr w:type="gramEnd"/>
      <w:r>
        <w:t xml:space="preserve"> that ~61% of US older adults have reported chronic pain. This can likely be explained by the fact that as individuals age, they are more prone to developing one or more chronic conditions which pose as risk factors for chronic pain (Blyth &amp; Noguchi, 2017). One of the most prevalent chronic pain conditions associated with aging is osteoarthritis. As expected, we found that individuals who have a diagnosis of OA had a significantly greater prevalence of having pain always and sometimes compared to individuals who do not have OA. These results were again confirmed in our final analysis, which found that having an arthritis diagnosis makes one significantly more likely to move up in a pain category. This can be attributed to the fact that typically in OA the most commonly reported symptom is pain (</w:t>
      </w:r>
      <w:proofErr w:type="spellStart"/>
      <w:r>
        <w:t>Sinusas</w:t>
      </w:r>
      <w:proofErr w:type="spellEnd"/>
      <w:r>
        <w:t>, 2012).</w:t>
      </w:r>
    </w:p>
    <w:p w14:paraId="4E0B10C8" w14:textId="77777777" w:rsidR="00534327" w:rsidRDefault="00534327" w:rsidP="00534327">
      <w:pPr>
        <w:spacing w:line="480" w:lineRule="auto"/>
        <w:ind w:firstLine="720"/>
        <w:jc w:val="both"/>
      </w:pPr>
      <w:r>
        <w:t xml:space="preserve">When evaluating the prevalence of pain across ethnicity, education and income we found that those who had the greatest prevalence in the never having pain category were Non-Hispanic Asian individuals, those with a college degree, and those who had an annual household income of </w:t>
      </w:r>
      <w:r>
        <w:lastRenderedPageBreak/>
        <w:t xml:space="preserve">&gt;65K. For the most part this is similar to the current literature, however, recent studies regarding pain and ethnicity are not consistent in their findings. Wyatt (2013) reports that Mexican Americans and Non-Hispanic Black individuals experience the greatest prevalence of pain; whereas, in our study we found these two groups to have a higher prevalence in the never pain group compared to other races. Conversely, </w:t>
      </w:r>
      <w:proofErr w:type="spellStart"/>
      <w:r>
        <w:t>Janevic</w:t>
      </w:r>
      <w:proofErr w:type="spellEnd"/>
      <w:r>
        <w:t xml:space="preserve"> et al., (2018) note that White American’s experience pain at a similar or greater prevalence than minority groups do, which is consistent with our findings. They also found that income/wealth and education status are more strongly associated with pain prevalence than race/ethnicity. Those who had a higher level of education also tend to have fewer occupational hazards, higher annual household income and consequently better access to health care, all of which could decrease the likelihood of developing chronic pain (</w:t>
      </w:r>
      <w:proofErr w:type="spellStart"/>
      <w:r>
        <w:t>Janevic</w:t>
      </w:r>
      <w:proofErr w:type="spellEnd"/>
      <w:r>
        <w:t xml:space="preserve"> et al., 2018).</w:t>
      </w:r>
    </w:p>
    <w:p w14:paraId="198FAF16" w14:textId="4A21655B" w:rsidR="00534327" w:rsidRDefault="00534327" w:rsidP="00534327">
      <w:pPr>
        <w:spacing w:line="480" w:lineRule="auto"/>
        <w:ind w:firstLine="720"/>
        <w:jc w:val="both"/>
      </w:pPr>
      <w:r>
        <w:t xml:space="preserve">In addition to demographic characteristics, body mass index and physical activity had a significant effect on the prevalence of pain. Individuals of a normal BMI had a lower prevalence of having pain always compared to overweight individuals and obese individuals. Obese individuals were also observed to have the lowest prevalence of never having pain. In a study conducted by Marcus (2004) increased BMI status was associated pain reported on more days out of the week. When further splitting BMI into the three classes of obesity, we found similar results in that those in obesity class III had the greatest prevalence of always having pain. This suggests that BMI could be playing a role in the prevalence in which an individual experiences pain. Although studies have shown that pain prevalence and severity are increased in obese and overweight individuals, the results are still inconsistent; with discrepancies that exist among various populations that have not yet been explained (Toda et al., 2000). </w:t>
      </w:r>
      <w:r w:rsidR="00463812">
        <w:t>Similarly,</w:t>
      </w:r>
      <w:r>
        <w:t xml:space="preserve"> to BMI,</w:t>
      </w:r>
      <w:r w:rsidR="00463812">
        <w:t xml:space="preserve"> </w:t>
      </w:r>
      <w:r>
        <w:t xml:space="preserve">physical activity has been known to reduce pain within healthy individuals (Vaegter et al., 2020); </w:t>
      </w:r>
      <w:r>
        <w:lastRenderedPageBreak/>
        <w:t>whereas in clinical pain populations physical activity can actually work to exacerbate pain rather than reduce it (Lima et al., 2017). In our analysis, individuals who obtained a sufficient amount of total physical activity or sufficient amount of recreational physical activity had a significantly lower prevalence of having pain always compared to those who were insufficiently active. We also found that those who met the activity guidelines via vigorous activity only had a greater prevalence of never having pain, which could suggest that the intensity of activity plays a role in modulating pain. Ambrose &amp; Golightly (2015) discuss that moderate and low intensity aerobic exercise could be beneficial for improving pain in clinical populations; however, these results have not been consistently found. There is still little known regarding the ideal exercise regimen to help improve pain among clinical populations (</w:t>
      </w:r>
      <w:proofErr w:type="spellStart"/>
      <w:r>
        <w:t>Arulshud</w:t>
      </w:r>
      <w:proofErr w:type="spellEnd"/>
      <w:r>
        <w:t xml:space="preserve"> et al., 2017).</w:t>
      </w:r>
      <w:r>
        <w:tab/>
      </w:r>
    </w:p>
    <w:p w14:paraId="383C9E15" w14:textId="73682446" w:rsidR="00534327" w:rsidRDefault="00534327" w:rsidP="00534327">
      <w:pPr>
        <w:spacing w:line="480" w:lineRule="auto"/>
        <w:ind w:firstLine="720"/>
        <w:jc w:val="both"/>
      </w:pPr>
      <w:r>
        <w:t xml:space="preserve">While independently, both physical activity and BMI had a significant effect on pain prevalence, when analyzed in conjunction with each other that effect was mitigated. Among both those who were insufficiently active and sufficiently active, weight status had no significant effect on the prevalence of being in a given pain category. Like mentioned above, there is some evidence that both physical activity and BMI have an effect on pain; however, it is not widely </w:t>
      </w:r>
      <w:r w:rsidR="00463812">
        <w:t>studied, and</w:t>
      </w:r>
      <w:r>
        <w:t xml:space="preserve"> further research still needs to be conducted. Additionally, when controlling for all other demographic variables, BMI was not found to have an influence on pain. Although pain prevalence varied significantly based on BMI status in our initial analyses, when confounding variables were controlled for BMI alone had no influence in our sample. This suggests that variables such as age, </w:t>
      </w:r>
      <w:r w:rsidR="004E4CEC">
        <w:t>sex</w:t>
      </w:r>
      <w:r>
        <w:t xml:space="preserve">, education, and ethnicity must be related to BMI and its effect on pain prevalence. </w:t>
      </w:r>
      <w:r w:rsidR="004E4CEC">
        <w:t xml:space="preserve">Additionally, when controlling for fat mass in place of BMI, the significant effect that age, ethnicity, and physical activity had on the odds of moving up in a pain category was lost. This could likely be explained by the fact that fat mass is colinear with age, physical activity and </w:t>
      </w:r>
      <w:r w:rsidR="004E4CEC">
        <w:lastRenderedPageBreak/>
        <w:t>ethnicity. Additionally, when controlling for all other variable fat mass itself did not have a significant effect on the odds of moving up in pain category.</w:t>
      </w:r>
    </w:p>
    <w:p w14:paraId="08896339" w14:textId="257BC8C7" w:rsidR="00534327" w:rsidRDefault="00534327" w:rsidP="00534327">
      <w:pPr>
        <w:spacing w:line="480" w:lineRule="auto"/>
        <w:ind w:firstLine="720"/>
        <w:jc w:val="both"/>
      </w:pPr>
      <w:r>
        <w:t xml:space="preserve">While BMI was not found to have a significant influence on pain when controlling for demographic variables, whether or not you met the physical activity guidelines did have a significant impact on pain. When controlling for age, </w:t>
      </w:r>
      <w:r w:rsidR="004E4CEC">
        <w:t>sex</w:t>
      </w:r>
      <w:r>
        <w:t>, ethnicity, and education individuals who were less active or did not meet the physical activity guidelines had significantly higher odds of moving up in a pain category. This indicates that even after removing confounding variables, meeting the physical activity guidelines alone is enough to influence an individual’s pain category. This supports our hypothesis that individuals who have higher activity levels will report less pain while doing usual activities. However, when we split physical activity into total physical activity and recreational activity, there was no significant influence on pain, likely due to the fact that these categories are collinear with one another, which will impact their significance.</w:t>
      </w:r>
    </w:p>
    <w:p w14:paraId="39786117" w14:textId="77777777" w:rsidR="00AA1251" w:rsidRDefault="00AA1251">
      <w:pPr>
        <w:spacing w:after="200"/>
      </w:pPr>
      <w:r>
        <w:br w:type="page"/>
      </w:r>
    </w:p>
    <w:p w14:paraId="5A317C28" w14:textId="42D66C5F" w:rsidR="00AA1251" w:rsidRDefault="00AA1251" w:rsidP="00AA1251">
      <w:pPr>
        <w:spacing w:line="480" w:lineRule="auto"/>
        <w:jc w:val="both"/>
        <w:rPr>
          <w:b/>
        </w:rPr>
      </w:pPr>
      <w:r>
        <w:rPr>
          <w:b/>
        </w:rPr>
        <w:lastRenderedPageBreak/>
        <w:t>CHAPTER V</w:t>
      </w:r>
    </w:p>
    <w:p w14:paraId="37085A12" w14:textId="7DCCF645" w:rsidR="00AA1251" w:rsidRDefault="00AA1251" w:rsidP="00AA1251">
      <w:pPr>
        <w:spacing w:line="480" w:lineRule="auto"/>
        <w:jc w:val="both"/>
        <w:rPr>
          <w:b/>
        </w:rPr>
      </w:pPr>
      <w:r>
        <w:rPr>
          <w:b/>
        </w:rPr>
        <w:t>CONCLUSIONS</w:t>
      </w:r>
    </w:p>
    <w:p w14:paraId="3774EB57" w14:textId="70404240" w:rsidR="00AA1251" w:rsidRDefault="00AA1251" w:rsidP="00AA1251">
      <w:pPr>
        <w:spacing w:line="480" w:lineRule="auto"/>
        <w:jc w:val="both"/>
      </w:pPr>
      <w:r>
        <w:rPr>
          <w:b/>
        </w:rPr>
        <w:tab/>
      </w:r>
      <w:r>
        <w:t xml:space="preserve">The purpose of this study was to examine the relationship </w:t>
      </w:r>
      <w:r w:rsidR="00534327">
        <w:t xml:space="preserve">among </w:t>
      </w:r>
      <w:r>
        <w:t xml:space="preserve">physical activity, pain, weight status, and body composition using a nationally representative sample, while also exploring the confounding demographic variables such as age, </w:t>
      </w:r>
      <w:r w:rsidR="004E4CEC">
        <w:t>sex</w:t>
      </w:r>
      <w:r>
        <w:t xml:space="preserve">, ethnicity, socioeconomic status and education as well as the effects of having an arthritis diagnosis. In general, we found that age, ethnicity, socioeconomic status, and education all had a significant impact on the prevalence of being in a given pain category. As hypothesized, those who were younger and college educated had a lower prevalence of reporting that pain made it difficult for usual activity; however, no </w:t>
      </w:r>
      <w:r w:rsidR="004E4CEC">
        <w:t>sex</w:t>
      </w:r>
      <w:r>
        <w:t xml:space="preserve"> differences were found in pain prevalence, and non-Hispanic Asian individuals had a lower prevalence of pain rather than White individuals. Additionally, as expected, we observed that having a diagnosis of arthritis has a profound impact on an individual’s pain status. Contrary to what we initially thought, no differences were found in pain among those with differing levels of fat mass, lean mass and % body fat. Differences in pain prevalence were found for BMI when we did not control for confounding variables, which affirms our hypothesis that pain prevalence will vary depending on weight status. However, we also discovered that when controlling for confounding variables, BMI alone did not have a significant influence on pain among our sample, which is contrary to what we hypothesized.  Most importantly, our study found that </w:t>
      </w:r>
      <w:r w:rsidR="004E4CEC">
        <w:t xml:space="preserve">when fat mass was not controlled for, </w:t>
      </w:r>
      <w:r>
        <w:t xml:space="preserve">not meeting the physical activity guidelines significantly increased the chances of moving up in a pain category, which confirms our hypotheses that those who are more physically activity will report that pain makes it difficult for usual activities to a lesser degree. This is important because it suggests that low levels of physical activity could in fact be influencing the prevalence of pain. </w:t>
      </w:r>
    </w:p>
    <w:p w14:paraId="1B753629" w14:textId="791E76D0" w:rsidR="00AA1251" w:rsidRDefault="00AA1251" w:rsidP="00AA1251">
      <w:pPr>
        <w:spacing w:line="480" w:lineRule="auto"/>
        <w:jc w:val="both"/>
      </w:pPr>
      <w:r>
        <w:lastRenderedPageBreak/>
        <w:tab/>
        <w:t xml:space="preserve">While our findings support the notion that physical activity does impact pain prevalence and severity, additional research should be conducted to further understand this relationship. </w:t>
      </w:r>
      <w:r w:rsidR="004E4CEC">
        <w:t xml:space="preserve">Limitations of this study can be found in the nature of the questions available through NHANES. The way in which pain was assessed was not a direct measure of objective pain and, therefore, could be attributing to differences among our study and other studies that look into the prevalence of pain. Additionally, the interpretation of pain could vary among individual respondents and could potentially skew the data. </w:t>
      </w:r>
      <w:r>
        <w:t>Further studies looking into the relationship between pain and BMI and body composition should also be considered due to the inconsistent findings in current literature. Our study in particular is unique in that it is nationally representative and therefore, our results can be generalizable to the US adult population. Additionally, it helps lay the foundation for subsequent studies to be done that look more specifically into the role that physical activity might play in the prevention and treatment of chronic pain.</w:t>
      </w:r>
      <w:r w:rsidR="004E4CEC">
        <w:t xml:space="preserve"> </w:t>
      </w:r>
    </w:p>
    <w:p w14:paraId="7AAB764B" w14:textId="4A6CC4F5" w:rsidR="00AA1251" w:rsidRDefault="00AA1251">
      <w:pPr>
        <w:spacing w:after="200"/>
        <w:rPr>
          <w:b/>
        </w:rPr>
      </w:pPr>
      <w:r>
        <w:rPr>
          <w:b/>
        </w:rPr>
        <w:br w:type="page"/>
      </w:r>
    </w:p>
    <w:p w14:paraId="49CCC4D8" w14:textId="17BA0995" w:rsidR="00AA1251" w:rsidRPr="00057C64" w:rsidRDefault="00AA1251" w:rsidP="00AA1251">
      <w:pPr>
        <w:spacing w:line="480" w:lineRule="auto"/>
        <w:jc w:val="center"/>
        <w:rPr>
          <w:b/>
        </w:rPr>
      </w:pPr>
      <w:r w:rsidRPr="00057C64">
        <w:rPr>
          <w:b/>
        </w:rPr>
        <w:lastRenderedPageBreak/>
        <w:t>References</w:t>
      </w:r>
    </w:p>
    <w:p w14:paraId="18157852" w14:textId="77777777" w:rsidR="00AA1251" w:rsidRPr="00057C64" w:rsidRDefault="00AA1251" w:rsidP="00AA1251">
      <w:pPr>
        <w:pStyle w:val="EndNoteBibliography"/>
        <w:ind w:left="720" w:hanging="720"/>
        <w:rPr>
          <w:noProof/>
        </w:rPr>
      </w:pPr>
      <w:r w:rsidRPr="00057C64">
        <w:fldChar w:fldCharType="begin"/>
      </w:r>
      <w:r w:rsidRPr="00057C64">
        <w:instrText xml:space="preserve"> ADDIN EN.REFLIST </w:instrText>
      </w:r>
      <w:r w:rsidRPr="00057C64">
        <w:fldChar w:fldCharType="separate"/>
      </w:r>
      <w:r w:rsidRPr="00057C64">
        <w:rPr>
          <w:noProof/>
        </w:rPr>
        <w:t xml:space="preserve">Alrushud, A. S., Rushton, A. B., Kanavaki, A. M., &amp; Greig, C. A. (2017). Effect of physical activity and dietary restriction interventions on weight loss and the musculoskeletal function of overweight and obese older adults with knee osteoarthritis: a systematic review and mixed method data synthesis. </w:t>
      </w:r>
      <w:r w:rsidRPr="00057C64">
        <w:rPr>
          <w:i/>
          <w:noProof/>
        </w:rPr>
        <w:t>BMJ Open</w:t>
      </w:r>
      <w:r w:rsidRPr="00057C64">
        <w:rPr>
          <w:noProof/>
        </w:rPr>
        <w:t>,</w:t>
      </w:r>
      <w:r w:rsidRPr="00057C64">
        <w:rPr>
          <w:i/>
          <w:noProof/>
        </w:rPr>
        <w:t xml:space="preserve"> 7</w:t>
      </w:r>
      <w:r w:rsidRPr="00057C64">
        <w:rPr>
          <w:noProof/>
        </w:rPr>
        <w:t xml:space="preserve">(6), e014537. </w:t>
      </w:r>
      <w:hyperlink r:id="rId9" w:history="1">
        <w:r w:rsidRPr="00057C64">
          <w:rPr>
            <w:rStyle w:val="Hyperlink"/>
            <w:noProof/>
          </w:rPr>
          <w:t>https://doi.org/10.1136/bmjopen-2016-014537</w:t>
        </w:r>
      </w:hyperlink>
      <w:r w:rsidRPr="00057C64">
        <w:rPr>
          <w:noProof/>
        </w:rPr>
        <w:t xml:space="preserve"> </w:t>
      </w:r>
    </w:p>
    <w:p w14:paraId="0AB59D83" w14:textId="77777777" w:rsidR="00AA1251" w:rsidRPr="00057C64" w:rsidRDefault="00AA1251" w:rsidP="00AA1251">
      <w:pPr>
        <w:pStyle w:val="EndNoteBibliography"/>
        <w:ind w:left="720" w:hanging="720"/>
        <w:rPr>
          <w:noProof/>
        </w:rPr>
      </w:pPr>
      <w:r w:rsidRPr="00057C64">
        <w:rPr>
          <w:noProof/>
        </w:rPr>
        <w:t xml:space="preserve">Ambrose, K. R., &amp; Golightly, Y. M. (2015). Physical exercise as non-pharmacological treatment of chronic pain: Why and when. </w:t>
      </w:r>
      <w:r w:rsidRPr="00057C64">
        <w:rPr>
          <w:i/>
          <w:noProof/>
        </w:rPr>
        <w:t>Best Pract Res Clin Rheumatol</w:t>
      </w:r>
      <w:r w:rsidRPr="00057C64">
        <w:rPr>
          <w:noProof/>
        </w:rPr>
        <w:t>,</w:t>
      </w:r>
      <w:r w:rsidRPr="00057C64">
        <w:rPr>
          <w:i/>
          <w:noProof/>
        </w:rPr>
        <w:t xml:space="preserve"> 29</w:t>
      </w:r>
      <w:r w:rsidRPr="00057C64">
        <w:rPr>
          <w:noProof/>
        </w:rPr>
        <w:t xml:space="preserve">(1), 120-130. </w:t>
      </w:r>
      <w:hyperlink r:id="rId10" w:history="1">
        <w:r w:rsidRPr="00057C64">
          <w:rPr>
            <w:rStyle w:val="Hyperlink"/>
            <w:noProof/>
          </w:rPr>
          <w:t>https://doi.org/10.1016/j.berh.2015.04.022</w:t>
        </w:r>
      </w:hyperlink>
      <w:r w:rsidRPr="00057C64">
        <w:rPr>
          <w:noProof/>
        </w:rPr>
        <w:t xml:space="preserve"> </w:t>
      </w:r>
    </w:p>
    <w:p w14:paraId="74685525" w14:textId="77777777" w:rsidR="00AA1251" w:rsidRPr="00057C64" w:rsidRDefault="00AA1251" w:rsidP="00AA1251">
      <w:pPr>
        <w:pStyle w:val="EndNoteBibliography"/>
        <w:ind w:left="720" w:hanging="720"/>
        <w:rPr>
          <w:noProof/>
        </w:rPr>
      </w:pPr>
      <w:r w:rsidRPr="00057C64">
        <w:rPr>
          <w:noProof/>
        </w:rPr>
        <w:t xml:space="preserve">Anandacoomarasamy, A., Caterson, I., Sambrook, P., Fransen, M., &amp; March, L. (2008). The impact of obesity on the musculoskeletal system. </w:t>
      </w:r>
      <w:r w:rsidRPr="00057C64">
        <w:rPr>
          <w:i/>
          <w:noProof/>
        </w:rPr>
        <w:t>Int J Obes (Lond)</w:t>
      </w:r>
      <w:r w:rsidRPr="00057C64">
        <w:rPr>
          <w:noProof/>
        </w:rPr>
        <w:t>,</w:t>
      </w:r>
      <w:r w:rsidRPr="00057C64">
        <w:rPr>
          <w:i/>
          <w:noProof/>
        </w:rPr>
        <w:t xml:space="preserve"> 32</w:t>
      </w:r>
      <w:r w:rsidRPr="00057C64">
        <w:rPr>
          <w:noProof/>
        </w:rPr>
        <w:t xml:space="preserve">(2), 211-222. </w:t>
      </w:r>
      <w:hyperlink r:id="rId11" w:history="1">
        <w:r w:rsidRPr="00057C64">
          <w:rPr>
            <w:rStyle w:val="Hyperlink"/>
            <w:noProof/>
          </w:rPr>
          <w:t>https://doi.org/10.1038/sj.ijo.0803715</w:t>
        </w:r>
      </w:hyperlink>
      <w:r w:rsidRPr="00057C64">
        <w:rPr>
          <w:noProof/>
        </w:rPr>
        <w:t xml:space="preserve"> </w:t>
      </w:r>
    </w:p>
    <w:p w14:paraId="6197733C" w14:textId="77777777" w:rsidR="00AA1251" w:rsidRPr="00057C64" w:rsidRDefault="00AA1251" w:rsidP="00AA1251">
      <w:pPr>
        <w:pStyle w:val="EndNoteBibliography"/>
        <w:ind w:left="720" w:hanging="720"/>
        <w:rPr>
          <w:noProof/>
        </w:rPr>
      </w:pPr>
      <w:r w:rsidRPr="00057C64">
        <w:rPr>
          <w:noProof/>
        </w:rPr>
        <w:t xml:space="preserve">Arranz, L. I., Rafecas, M., &amp; Alegre, C. (2014). Effects of obesity on function and quality of life in chronic pain conditions. </w:t>
      </w:r>
      <w:r w:rsidRPr="00057C64">
        <w:rPr>
          <w:i/>
          <w:noProof/>
        </w:rPr>
        <w:t>Curr Rheumatol Rep</w:t>
      </w:r>
      <w:r w:rsidRPr="00057C64">
        <w:rPr>
          <w:noProof/>
        </w:rPr>
        <w:t>,</w:t>
      </w:r>
      <w:r w:rsidRPr="00057C64">
        <w:rPr>
          <w:i/>
          <w:noProof/>
        </w:rPr>
        <w:t xml:space="preserve"> 16</w:t>
      </w:r>
      <w:r w:rsidRPr="00057C64">
        <w:rPr>
          <w:noProof/>
        </w:rPr>
        <w:t xml:space="preserve">(1), 390. </w:t>
      </w:r>
      <w:hyperlink r:id="rId12" w:history="1">
        <w:r w:rsidRPr="00057C64">
          <w:rPr>
            <w:rStyle w:val="Hyperlink"/>
            <w:noProof/>
          </w:rPr>
          <w:t>https://doi.org/10.1007/s11926-013-0390-7</w:t>
        </w:r>
      </w:hyperlink>
      <w:r w:rsidRPr="00057C64">
        <w:rPr>
          <w:noProof/>
        </w:rPr>
        <w:t xml:space="preserve"> </w:t>
      </w:r>
    </w:p>
    <w:p w14:paraId="0A2CBC50" w14:textId="77777777" w:rsidR="00AA1251" w:rsidRPr="00057C64" w:rsidRDefault="00AA1251" w:rsidP="00AA1251">
      <w:pPr>
        <w:pStyle w:val="EndNoteBibliography"/>
        <w:ind w:left="720" w:hanging="720"/>
        <w:rPr>
          <w:noProof/>
        </w:rPr>
      </w:pPr>
      <w:r w:rsidRPr="00057C64">
        <w:rPr>
          <w:noProof/>
        </w:rPr>
        <w:t xml:space="preserve">Blyth, F. M., &amp; Noguchi, N. (2017). Chronic musculoskeletal pain and its impact on older people. </w:t>
      </w:r>
      <w:r w:rsidRPr="00057C64">
        <w:rPr>
          <w:i/>
          <w:noProof/>
        </w:rPr>
        <w:t>Best Pract Res Clin Rheumatol</w:t>
      </w:r>
      <w:r w:rsidRPr="00057C64">
        <w:rPr>
          <w:noProof/>
        </w:rPr>
        <w:t>,</w:t>
      </w:r>
      <w:r w:rsidRPr="00057C64">
        <w:rPr>
          <w:i/>
          <w:noProof/>
        </w:rPr>
        <w:t xml:space="preserve"> 31</w:t>
      </w:r>
      <w:r w:rsidRPr="00057C64">
        <w:rPr>
          <w:noProof/>
        </w:rPr>
        <w:t>(2), 160-168.</w:t>
      </w:r>
    </w:p>
    <w:p w14:paraId="7140F1AC" w14:textId="77777777" w:rsidR="00AA1251" w:rsidRPr="00057C64" w:rsidRDefault="00AA1251" w:rsidP="00AA1251">
      <w:pPr>
        <w:ind w:left="720" w:hanging="720"/>
        <w:jc w:val="both"/>
      </w:pPr>
      <w:r w:rsidRPr="00057C64">
        <w:t xml:space="preserve">Black, C. D. (2012). Muscle pain during and following exercise. </w:t>
      </w:r>
      <w:r w:rsidRPr="00057C64">
        <w:rPr>
          <w:i/>
        </w:rPr>
        <w:t xml:space="preserve">The Oxford Handbook of Exercise Physiology, </w:t>
      </w:r>
      <w:r w:rsidRPr="00057C64">
        <w:t>144-168.</w:t>
      </w:r>
    </w:p>
    <w:p w14:paraId="63843E8E" w14:textId="77777777" w:rsidR="00AA1251" w:rsidRPr="00057C64" w:rsidRDefault="00AA1251" w:rsidP="00AA1251">
      <w:pPr>
        <w:pStyle w:val="EndNoteBibliography"/>
        <w:ind w:left="720" w:hanging="720"/>
        <w:rPr>
          <w:noProof/>
        </w:rPr>
      </w:pPr>
      <w:r w:rsidRPr="00057C64">
        <w:rPr>
          <w:noProof/>
        </w:rPr>
        <w:t xml:space="preserve"> </w:t>
      </w:r>
      <w:hyperlink r:id="rId13" w:history="1">
        <w:r w:rsidRPr="00057C64">
          <w:rPr>
            <w:rStyle w:val="Hyperlink"/>
            <w:noProof/>
          </w:rPr>
          <w:t>https://doi.org/10.1016/j.berh.2017.10.004</w:t>
        </w:r>
      </w:hyperlink>
      <w:r w:rsidRPr="00057C64">
        <w:rPr>
          <w:noProof/>
        </w:rPr>
        <w:t xml:space="preserve"> </w:t>
      </w:r>
    </w:p>
    <w:p w14:paraId="6360BD27" w14:textId="77777777" w:rsidR="00AA1251" w:rsidRPr="00057C64" w:rsidRDefault="00AA1251" w:rsidP="00AA1251">
      <w:pPr>
        <w:pStyle w:val="EndNoteBibliography"/>
        <w:ind w:left="720" w:hanging="720"/>
        <w:rPr>
          <w:noProof/>
        </w:rPr>
      </w:pPr>
      <w:r w:rsidRPr="00057C64">
        <w:rPr>
          <w:noProof/>
        </w:rPr>
        <w:t xml:space="preserve">Booth, F. W., Roberts, C. K., &amp; Laye, M. J. (2012). Lack of exercise is a major cause of chronic diseases. </w:t>
      </w:r>
      <w:r w:rsidRPr="00057C64">
        <w:rPr>
          <w:i/>
          <w:noProof/>
        </w:rPr>
        <w:t>Compr Physiol</w:t>
      </w:r>
      <w:r w:rsidRPr="00057C64">
        <w:rPr>
          <w:noProof/>
        </w:rPr>
        <w:t>,</w:t>
      </w:r>
      <w:r w:rsidRPr="00057C64">
        <w:rPr>
          <w:i/>
          <w:noProof/>
        </w:rPr>
        <w:t xml:space="preserve"> 2</w:t>
      </w:r>
      <w:r w:rsidRPr="00057C64">
        <w:rPr>
          <w:noProof/>
        </w:rPr>
        <w:t xml:space="preserve">(2), 1143-1211. </w:t>
      </w:r>
      <w:hyperlink r:id="rId14" w:history="1">
        <w:r w:rsidRPr="00057C64">
          <w:rPr>
            <w:rStyle w:val="Hyperlink"/>
            <w:noProof/>
          </w:rPr>
          <w:t>https://doi.org/10.1002/cphy.c110025</w:t>
        </w:r>
      </w:hyperlink>
      <w:r w:rsidRPr="00057C64">
        <w:rPr>
          <w:noProof/>
        </w:rPr>
        <w:t xml:space="preserve"> </w:t>
      </w:r>
    </w:p>
    <w:p w14:paraId="11456CC5" w14:textId="77777777" w:rsidR="00AA1251" w:rsidRPr="00057C64" w:rsidRDefault="00AA1251" w:rsidP="00AA1251">
      <w:pPr>
        <w:pStyle w:val="EndNoteBibliography"/>
        <w:ind w:left="720" w:hanging="720"/>
        <w:rPr>
          <w:noProof/>
        </w:rPr>
      </w:pPr>
      <w:r w:rsidRPr="00057C64">
        <w:rPr>
          <w:noProof/>
        </w:rPr>
        <w:t xml:space="preserve">Booth, J., Moseley, G. L., Schiltenwolf, M., Cashin, A., Davies, M., &amp; Hübscher, M. (2017). Exercise for chronic musculoskeletal pain: A biopsychosocial approach. </w:t>
      </w:r>
      <w:r w:rsidRPr="00057C64">
        <w:rPr>
          <w:i/>
          <w:noProof/>
        </w:rPr>
        <w:t>Musculoskeletal Care</w:t>
      </w:r>
      <w:r w:rsidRPr="00057C64">
        <w:rPr>
          <w:noProof/>
        </w:rPr>
        <w:t>,</w:t>
      </w:r>
      <w:r w:rsidRPr="00057C64">
        <w:rPr>
          <w:i/>
          <w:noProof/>
        </w:rPr>
        <w:t xml:space="preserve"> 15</w:t>
      </w:r>
      <w:r w:rsidRPr="00057C64">
        <w:rPr>
          <w:noProof/>
        </w:rPr>
        <w:t xml:space="preserve">(4), 413-421. </w:t>
      </w:r>
      <w:hyperlink r:id="rId15" w:history="1">
        <w:r w:rsidRPr="00057C64">
          <w:rPr>
            <w:rStyle w:val="Hyperlink"/>
            <w:noProof/>
          </w:rPr>
          <w:t>https://doi.org/10.1002/msc.1191</w:t>
        </w:r>
      </w:hyperlink>
      <w:r w:rsidRPr="00057C64">
        <w:rPr>
          <w:noProof/>
        </w:rPr>
        <w:t xml:space="preserve"> </w:t>
      </w:r>
    </w:p>
    <w:p w14:paraId="2F6A6EC0" w14:textId="77777777" w:rsidR="00AA1251" w:rsidRPr="00057C64" w:rsidRDefault="00AA1251" w:rsidP="00AA1251">
      <w:pPr>
        <w:pStyle w:val="EndNoteBibliography"/>
        <w:ind w:left="720" w:hanging="720"/>
        <w:rPr>
          <w:noProof/>
        </w:rPr>
      </w:pPr>
      <w:r w:rsidRPr="00057C64">
        <w:rPr>
          <w:noProof/>
        </w:rPr>
        <w:t xml:space="preserve">Borisovskaya, A., Chmelik, E., &amp; Karnik, A. (2020). Exercise and Chronic Pain. </w:t>
      </w:r>
      <w:r w:rsidRPr="00057C64">
        <w:rPr>
          <w:i/>
          <w:noProof/>
        </w:rPr>
        <w:t>Adv Exp Med Biol</w:t>
      </w:r>
      <w:r w:rsidRPr="00057C64">
        <w:rPr>
          <w:noProof/>
        </w:rPr>
        <w:t>,</w:t>
      </w:r>
      <w:r w:rsidRPr="00057C64">
        <w:rPr>
          <w:i/>
          <w:noProof/>
        </w:rPr>
        <w:t xml:space="preserve"> 1228</w:t>
      </w:r>
      <w:r w:rsidRPr="00057C64">
        <w:rPr>
          <w:noProof/>
        </w:rPr>
        <w:t xml:space="preserve">, 233-253. </w:t>
      </w:r>
      <w:hyperlink r:id="rId16" w:history="1">
        <w:r w:rsidRPr="00057C64">
          <w:rPr>
            <w:rStyle w:val="Hyperlink"/>
            <w:noProof/>
          </w:rPr>
          <w:t>https://doi.org/10.1007/978-981-15-1792-1_16</w:t>
        </w:r>
      </w:hyperlink>
      <w:r w:rsidRPr="00057C64">
        <w:rPr>
          <w:noProof/>
        </w:rPr>
        <w:t xml:space="preserve"> </w:t>
      </w:r>
    </w:p>
    <w:p w14:paraId="21278389" w14:textId="77777777" w:rsidR="00AA1251" w:rsidRPr="00057C64" w:rsidRDefault="00AA1251" w:rsidP="00AA1251">
      <w:pPr>
        <w:pStyle w:val="EndNoteBibliography"/>
        <w:ind w:left="720" w:hanging="720"/>
        <w:rPr>
          <w:noProof/>
        </w:rPr>
      </w:pPr>
      <w:r w:rsidRPr="00057C64">
        <w:rPr>
          <w:noProof/>
        </w:rPr>
        <w:t xml:space="preserve">Bourne, S., Machado, A. G., &amp; Nagel, S. J. (2014). Basic anatomy and physiology of pain pathways. </w:t>
      </w:r>
      <w:r w:rsidRPr="00057C64">
        <w:rPr>
          <w:i/>
          <w:noProof/>
        </w:rPr>
        <w:t>Neurosurg Clin N Am</w:t>
      </w:r>
      <w:r w:rsidRPr="00057C64">
        <w:rPr>
          <w:noProof/>
        </w:rPr>
        <w:t>,</w:t>
      </w:r>
      <w:r w:rsidRPr="00057C64">
        <w:rPr>
          <w:i/>
          <w:noProof/>
        </w:rPr>
        <w:t xml:space="preserve"> 25</w:t>
      </w:r>
      <w:r w:rsidRPr="00057C64">
        <w:rPr>
          <w:noProof/>
        </w:rPr>
        <w:t xml:space="preserve">(4), 629-638. </w:t>
      </w:r>
      <w:hyperlink r:id="rId17" w:history="1">
        <w:r w:rsidRPr="00057C64">
          <w:rPr>
            <w:rStyle w:val="Hyperlink"/>
            <w:noProof/>
          </w:rPr>
          <w:t>https://doi.org/10.1016/j.nec.2014.06.001</w:t>
        </w:r>
      </w:hyperlink>
      <w:r w:rsidRPr="00057C64">
        <w:rPr>
          <w:noProof/>
        </w:rPr>
        <w:t xml:space="preserve"> </w:t>
      </w:r>
    </w:p>
    <w:p w14:paraId="03EDD2B3" w14:textId="77777777" w:rsidR="00AA1251" w:rsidRPr="00057C64" w:rsidRDefault="00AA1251" w:rsidP="00AA1251">
      <w:pPr>
        <w:pStyle w:val="EndNoteBibliography"/>
        <w:ind w:left="720" w:hanging="720"/>
        <w:rPr>
          <w:noProof/>
        </w:rPr>
      </w:pPr>
      <w:r w:rsidRPr="00057C64">
        <w:rPr>
          <w:noProof/>
        </w:rPr>
        <w:t xml:space="preserve">Brady, S. R. E., Urquhart, D. M., Hussain, S. M., Teichtahl, A., Wang, Y., Wluka, A. E., &amp; Cicuttini, F. (2019). High baseline fat mass, but not lean tissue mass, is associated with high intensity low back pain and disability in community-based adults. </w:t>
      </w:r>
      <w:r w:rsidRPr="00057C64">
        <w:rPr>
          <w:i/>
          <w:noProof/>
        </w:rPr>
        <w:t>Arthritis Res Ther</w:t>
      </w:r>
      <w:r w:rsidRPr="00057C64">
        <w:rPr>
          <w:noProof/>
        </w:rPr>
        <w:t>,</w:t>
      </w:r>
      <w:r w:rsidRPr="00057C64">
        <w:rPr>
          <w:i/>
          <w:noProof/>
        </w:rPr>
        <w:t xml:space="preserve"> 21</w:t>
      </w:r>
      <w:r w:rsidRPr="00057C64">
        <w:rPr>
          <w:noProof/>
        </w:rPr>
        <w:t xml:space="preserve">(1), 165. </w:t>
      </w:r>
      <w:hyperlink r:id="rId18" w:history="1">
        <w:r w:rsidRPr="00057C64">
          <w:rPr>
            <w:rStyle w:val="Hyperlink"/>
            <w:noProof/>
          </w:rPr>
          <w:t>https://doi.org/10.1186/s13075-019-1953-4</w:t>
        </w:r>
      </w:hyperlink>
      <w:r w:rsidRPr="00057C64">
        <w:rPr>
          <w:noProof/>
        </w:rPr>
        <w:t xml:space="preserve"> </w:t>
      </w:r>
    </w:p>
    <w:p w14:paraId="55B8CBC8" w14:textId="77777777" w:rsidR="00AA1251" w:rsidRPr="00057C64" w:rsidRDefault="00AA1251" w:rsidP="00AA1251">
      <w:pPr>
        <w:pStyle w:val="EndNoteBibliography"/>
        <w:ind w:left="720" w:hanging="720"/>
        <w:rPr>
          <w:noProof/>
        </w:rPr>
      </w:pPr>
      <w:r w:rsidRPr="00057C64">
        <w:rPr>
          <w:noProof/>
        </w:rPr>
        <w:t xml:space="preserve">Cameron, A. J., Magliano, D. J., Dunstan, D. W., Zimmet, P. Z., Hesketh, K., Peeters, A., &amp; Shaw, J. E. (2012). A bi-directional relationship between obesity and health-related quality of life: evidence from the longitudinal AusDiab study. </w:t>
      </w:r>
      <w:r w:rsidRPr="00057C64">
        <w:rPr>
          <w:i/>
          <w:noProof/>
        </w:rPr>
        <w:t>Int J Obes (Lond)</w:t>
      </w:r>
      <w:r w:rsidRPr="00057C64">
        <w:rPr>
          <w:noProof/>
        </w:rPr>
        <w:t>,</w:t>
      </w:r>
      <w:r w:rsidRPr="00057C64">
        <w:rPr>
          <w:i/>
          <w:noProof/>
        </w:rPr>
        <w:t xml:space="preserve"> 36</w:t>
      </w:r>
      <w:r w:rsidRPr="00057C64">
        <w:rPr>
          <w:noProof/>
        </w:rPr>
        <w:t xml:space="preserve">(2), 295-303. </w:t>
      </w:r>
      <w:hyperlink r:id="rId19" w:history="1">
        <w:r w:rsidRPr="00057C64">
          <w:rPr>
            <w:rStyle w:val="Hyperlink"/>
            <w:noProof/>
          </w:rPr>
          <w:t>https://doi.org/10.1038/ijo.2011.103</w:t>
        </w:r>
      </w:hyperlink>
      <w:r w:rsidRPr="00057C64">
        <w:rPr>
          <w:noProof/>
        </w:rPr>
        <w:t xml:space="preserve"> </w:t>
      </w:r>
    </w:p>
    <w:p w14:paraId="2D6E9EAF" w14:textId="77777777" w:rsidR="00AA1251" w:rsidRPr="00057C64" w:rsidRDefault="00AA1251" w:rsidP="00AA1251">
      <w:pPr>
        <w:pStyle w:val="EndNoteBibliography"/>
        <w:ind w:left="720" w:hanging="720"/>
        <w:rPr>
          <w:noProof/>
        </w:rPr>
      </w:pPr>
      <w:r w:rsidRPr="00057C64">
        <w:rPr>
          <w:noProof/>
        </w:rPr>
        <w:t xml:space="preserve">Correa-Rodríguez, M., Mansouri-Yachou, J. E., Casas-Barragán, A., Molina, F., Rueda-Medina, B., &amp; Aguilar-Ferrandiz, M. E. (2019). The Association of Body Mass Index and Body Composition with Pain, Disease Activity, Fatigue, Sleep and Anxiety in Women with Fibromyalgia. </w:t>
      </w:r>
      <w:r w:rsidRPr="00057C64">
        <w:rPr>
          <w:i/>
          <w:noProof/>
        </w:rPr>
        <w:t>Nutrients</w:t>
      </w:r>
      <w:r w:rsidRPr="00057C64">
        <w:rPr>
          <w:noProof/>
        </w:rPr>
        <w:t>,</w:t>
      </w:r>
      <w:r w:rsidRPr="00057C64">
        <w:rPr>
          <w:i/>
          <w:noProof/>
        </w:rPr>
        <w:t xml:space="preserve"> 11</w:t>
      </w:r>
      <w:r w:rsidRPr="00057C64">
        <w:rPr>
          <w:noProof/>
        </w:rPr>
        <w:t xml:space="preserve">(5). </w:t>
      </w:r>
      <w:hyperlink r:id="rId20" w:history="1">
        <w:r w:rsidRPr="00057C64">
          <w:rPr>
            <w:rStyle w:val="Hyperlink"/>
            <w:noProof/>
          </w:rPr>
          <w:t>https://doi.org/10.3390/nu11051193</w:t>
        </w:r>
      </w:hyperlink>
      <w:r w:rsidRPr="00057C64">
        <w:rPr>
          <w:noProof/>
        </w:rPr>
        <w:t xml:space="preserve"> </w:t>
      </w:r>
    </w:p>
    <w:p w14:paraId="07CA700D" w14:textId="77777777" w:rsidR="00AA1251" w:rsidRPr="00057C64" w:rsidRDefault="00AA1251" w:rsidP="00AA1251">
      <w:pPr>
        <w:pStyle w:val="EndNoteBibliography"/>
        <w:ind w:left="720" w:hanging="720"/>
        <w:rPr>
          <w:noProof/>
        </w:rPr>
      </w:pPr>
      <w:r w:rsidRPr="00057C64">
        <w:rPr>
          <w:noProof/>
        </w:rPr>
        <w:t xml:space="preserve">Dahlhamer, J., Lucas, J., Zelaya, C., Nahin, R., Mackey, S., DeBar, L., Kerns, R., Von Korff, M., Porter, L., &amp; Helmick, C. (2018). Prevalence of Chronic Pain and High-Impact Chronic </w:t>
      </w:r>
      <w:r w:rsidRPr="00057C64">
        <w:rPr>
          <w:noProof/>
        </w:rPr>
        <w:lastRenderedPageBreak/>
        <w:t xml:space="preserve">Pain Among Adults - United States, 2016. </w:t>
      </w:r>
      <w:r w:rsidRPr="00057C64">
        <w:rPr>
          <w:i/>
          <w:noProof/>
        </w:rPr>
        <w:t>MMWR Morb Mortal Wkly Rep</w:t>
      </w:r>
      <w:r w:rsidRPr="00057C64">
        <w:rPr>
          <w:noProof/>
        </w:rPr>
        <w:t>,</w:t>
      </w:r>
      <w:r w:rsidRPr="00057C64">
        <w:rPr>
          <w:i/>
          <w:noProof/>
        </w:rPr>
        <w:t xml:space="preserve"> 67</w:t>
      </w:r>
      <w:r w:rsidRPr="00057C64">
        <w:rPr>
          <w:noProof/>
        </w:rPr>
        <w:t xml:space="preserve">(36), 1001-1006. </w:t>
      </w:r>
      <w:hyperlink r:id="rId21" w:history="1">
        <w:r w:rsidRPr="00057C64">
          <w:rPr>
            <w:rStyle w:val="Hyperlink"/>
            <w:noProof/>
          </w:rPr>
          <w:t>https://doi.org/10.15585/mmwr.mm6736a2</w:t>
        </w:r>
      </w:hyperlink>
      <w:r w:rsidRPr="00057C64">
        <w:rPr>
          <w:noProof/>
        </w:rPr>
        <w:t xml:space="preserve"> </w:t>
      </w:r>
    </w:p>
    <w:p w14:paraId="7C395958" w14:textId="77777777" w:rsidR="00AA1251" w:rsidRPr="00057C64" w:rsidRDefault="00AA1251" w:rsidP="00AA1251">
      <w:pPr>
        <w:pStyle w:val="EndNoteBibliography"/>
        <w:ind w:left="720" w:hanging="720"/>
        <w:rPr>
          <w:noProof/>
        </w:rPr>
      </w:pPr>
      <w:r w:rsidRPr="00057C64">
        <w:rPr>
          <w:noProof/>
        </w:rPr>
        <w:t xml:space="preserve">Dale, R., &amp; Stacey, B. (2016). Multimodal Treatment of Chronic Pain. </w:t>
      </w:r>
      <w:r w:rsidRPr="00057C64">
        <w:rPr>
          <w:i/>
          <w:noProof/>
        </w:rPr>
        <w:t>Med Clin North Am</w:t>
      </w:r>
      <w:r w:rsidRPr="00057C64">
        <w:rPr>
          <w:noProof/>
        </w:rPr>
        <w:t>,</w:t>
      </w:r>
      <w:r w:rsidRPr="00057C64">
        <w:rPr>
          <w:i/>
          <w:noProof/>
        </w:rPr>
        <w:t xml:space="preserve"> 100</w:t>
      </w:r>
      <w:r w:rsidRPr="00057C64">
        <w:rPr>
          <w:noProof/>
        </w:rPr>
        <w:t xml:space="preserve">(1), 55-64. </w:t>
      </w:r>
      <w:hyperlink r:id="rId22" w:history="1">
        <w:r w:rsidRPr="00057C64">
          <w:rPr>
            <w:rStyle w:val="Hyperlink"/>
            <w:noProof/>
          </w:rPr>
          <w:t>https://doi.org/10.1016/j.mcna.2015.08.012</w:t>
        </w:r>
      </w:hyperlink>
      <w:r w:rsidRPr="00057C64">
        <w:rPr>
          <w:noProof/>
        </w:rPr>
        <w:t xml:space="preserve"> </w:t>
      </w:r>
    </w:p>
    <w:p w14:paraId="3F256EC5" w14:textId="77777777" w:rsidR="00AA1251" w:rsidRPr="00057C64" w:rsidRDefault="00AA1251" w:rsidP="00AA1251">
      <w:pPr>
        <w:pStyle w:val="EndNoteBibliography"/>
        <w:ind w:left="720" w:hanging="720"/>
        <w:rPr>
          <w:noProof/>
        </w:rPr>
      </w:pPr>
      <w:r w:rsidRPr="00057C64">
        <w:rPr>
          <w:noProof/>
        </w:rPr>
        <w:t xml:space="preserve">Dieppe, P. A. (2004). Relationship between symptoms and structural change in osteoarthritis. what are the important targets for osteoarthritis therapy? </w:t>
      </w:r>
      <w:r w:rsidRPr="00057C64">
        <w:rPr>
          <w:i/>
          <w:noProof/>
        </w:rPr>
        <w:t>J Rheumatol Suppl</w:t>
      </w:r>
      <w:r w:rsidRPr="00057C64">
        <w:rPr>
          <w:noProof/>
        </w:rPr>
        <w:t>,</w:t>
      </w:r>
      <w:r w:rsidRPr="00057C64">
        <w:rPr>
          <w:i/>
          <w:noProof/>
        </w:rPr>
        <w:t xml:space="preserve"> 70</w:t>
      </w:r>
      <w:r w:rsidRPr="00057C64">
        <w:rPr>
          <w:noProof/>
        </w:rPr>
        <w:t xml:space="preserve">, 50-53. </w:t>
      </w:r>
    </w:p>
    <w:p w14:paraId="1A174154" w14:textId="77777777" w:rsidR="00AA1251" w:rsidRPr="00057C64" w:rsidRDefault="00AA1251" w:rsidP="00AA1251">
      <w:pPr>
        <w:pStyle w:val="EndNoteBibliography"/>
        <w:ind w:left="720" w:hanging="720"/>
        <w:rPr>
          <w:noProof/>
        </w:rPr>
      </w:pPr>
      <w:r w:rsidRPr="00057C64">
        <w:rPr>
          <w:noProof/>
        </w:rPr>
        <w:t xml:space="preserve">Ekram, A. R., Cicuttini, F. M., Teichtahl, A. J., Crammond, B. R., Lombard, C. B., Liew, S. M., Urquhart, D. M., &amp; Wluka, A. E. (2016). Weight satisfaction, management strategies and health beliefs in knee osteoarthritis patients attending an outpatient clinic. </w:t>
      </w:r>
      <w:r w:rsidRPr="00057C64">
        <w:rPr>
          <w:i/>
          <w:noProof/>
        </w:rPr>
        <w:t>Intern Med J</w:t>
      </w:r>
      <w:r w:rsidRPr="00057C64">
        <w:rPr>
          <w:noProof/>
        </w:rPr>
        <w:t>,</w:t>
      </w:r>
      <w:r w:rsidRPr="00057C64">
        <w:rPr>
          <w:i/>
          <w:noProof/>
        </w:rPr>
        <w:t xml:space="preserve"> 46</w:t>
      </w:r>
      <w:r w:rsidRPr="00057C64">
        <w:rPr>
          <w:noProof/>
        </w:rPr>
        <w:t xml:space="preserve">(4), 435-442. </w:t>
      </w:r>
      <w:hyperlink r:id="rId23" w:history="1">
        <w:r w:rsidRPr="00057C64">
          <w:rPr>
            <w:rStyle w:val="Hyperlink"/>
            <w:noProof/>
          </w:rPr>
          <w:t>https://doi.org/10.1111/imj.13007</w:t>
        </w:r>
      </w:hyperlink>
      <w:r w:rsidRPr="00057C64">
        <w:rPr>
          <w:noProof/>
        </w:rPr>
        <w:t xml:space="preserve"> </w:t>
      </w:r>
    </w:p>
    <w:p w14:paraId="0931EB1E" w14:textId="77777777" w:rsidR="00AA1251" w:rsidRPr="00057C64" w:rsidRDefault="00AA1251" w:rsidP="00AA1251">
      <w:pPr>
        <w:pStyle w:val="EndNoteBibliography"/>
        <w:ind w:left="720" w:hanging="720"/>
        <w:rPr>
          <w:noProof/>
        </w:rPr>
      </w:pPr>
      <w:r w:rsidRPr="00057C64">
        <w:rPr>
          <w:noProof/>
        </w:rPr>
        <w:t xml:space="preserve">El-Shormilisy, N., Strong, J., &amp; Meredith, P. J. (2015). Associations between gender, coping patterns and functioning for individuals with chronic pain: a systematic review. </w:t>
      </w:r>
      <w:r w:rsidRPr="00057C64">
        <w:rPr>
          <w:i/>
          <w:noProof/>
        </w:rPr>
        <w:t>Pain Res Manag</w:t>
      </w:r>
      <w:r w:rsidRPr="00057C64">
        <w:rPr>
          <w:noProof/>
        </w:rPr>
        <w:t>,</w:t>
      </w:r>
      <w:r w:rsidRPr="00057C64">
        <w:rPr>
          <w:i/>
          <w:noProof/>
        </w:rPr>
        <w:t xml:space="preserve"> 20</w:t>
      </w:r>
      <w:r w:rsidRPr="00057C64">
        <w:rPr>
          <w:noProof/>
        </w:rPr>
        <w:t xml:space="preserve">(1), 48-55. </w:t>
      </w:r>
      <w:hyperlink r:id="rId24" w:history="1">
        <w:r w:rsidRPr="00057C64">
          <w:rPr>
            <w:rStyle w:val="Hyperlink"/>
            <w:noProof/>
          </w:rPr>
          <w:t>https://doi.org/10.1155/2015/490610</w:t>
        </w:r>
      </w:hyperlink>
      <w:r w:rsidRPr="00057C64">
        <w:rPr>
          <w:noProof/>
        </w:rPr>
        <w:t xml:space="preserve"> </w:t>
      </w:r>
    </w:p>
    <w:p w14:paraId="5B1588D5" w14:textId="77777777" w:rsidR="00AA1251" w:rsidRPr="00057C64" w:rsidRDefault="00AA1251" w:rsidP="00AA1251">
      <w:pPr>
        <w:pStyle w:val="EndNoteBibliography"/>
        <w:ind w:left="720" w:hanging="720"/>
        <w:rPr>
          <w:noProof/>
        </w:rPr>
      </w:pPr>
      <w:r w:rsidRPr="00057C64">
        <w:rPr>
          <w:noProof/>
        </w:rPr>
        <w:t xml:space="preserve">Felson, D. T., Chaisson, C. E., Hill, C. L., Totterman, S. M., Gale, M. E., Skinner, K. M., Kazis, L., &amp; Gale, D. R. (2001). The association of bone marrow lesions with pain in knee osteoarthritis. </w:t>
      </w:r>
      <w:r w:rsidRPr="00057C64">
        <w:rPr>
          <w:i/>
          <w:noProof/>
        </w:rPr>
        <w:t>Ann Intern Med</w:t>
      </w:r>
      <w:r w:rsidRPr="00057C64">
        <w:rPr>
          <w:noProof/>
        </w:rPr>
        <w:t>,</w:t>
      </w:r>
      <w:r w:rsidRPr="00057C64">
        <w:rPr>
          <w:i/>
          <w:noProof/>
        </w:rPr>
        <w:t xml:space="preserve"> 134</w:t>
      </w:r>
      <w:r w:rsidRPr="00057C64">
        <w:rPr>
          <w:noProof/>
        </w:rPr>
        <w:t xml:space="preserve">(7), 541-549. </w:t>
      </w:r>
      <w:hyperlink r:id="rId25" w:history="1">
        <w:r w:rsidRPr="00057C64">
          <w:rPr>
            <w:rStyle w:val="Hyperlink"/>
            <w:noProof/>
          </w:rPr>
          <w:t>https://doi.org/10.7326/0003-4819-134-7-200104030-00007</w:t>
        </w:r>
      </w:hyperlink>
      <w:r w:rsidRPr="00057C64">
        <w:rPr>
          <w:noProof/>
        </w:rPr>
        <w:t xml:space="preserve"> </w:t>
      </w:r>
    </w:p>
    <w:p w14:paraId="642F304A" w14:textId="77777777" w:rsidR="00AA1251" w:rsidRPr="00057C64" w:rsidRDefault="00AA1251" w:rsidP="00AA1251">
      <w:pPr>
        <w:pStyle w:val="EndNoteBibliography"/>
        <w:ind w:left="720" w:hanging="720"/>
        <w:rPr>
          <w:noProof/>
        </w:rPr>
      </w:pPr>
      <w:r w:rsidRPr="00057C64">
        <w:rPr>
          <w:noProof/>
        </w:rPr>
        <w:t xml:space="preserve">Ferreira Kdos, S., &amp; Speciali, J. G. (2015). Epidemiology of chronic pain in the office of a pain specialist neurologist. </w:t>
      </w:r>
      <w:r w:rsidRPr="00057C64">
        <w:rPr>
          <w:i/>
          <w:noProof/>
        </w:rPr>
        <w:t>Arq Neuropsiquiatr</w:t>
      </w:r>
      <w:r w:rsidRPr="00057C64">
        <w:rPr>
          <w:noProof/>
        </w:rPr>
        <w:t>,</w:t>
      </w:r>
      <w:r w:rsidRPr="00057C64">
        <w:rPr>
          <w:i/>
          <w:noProof/>
        </w:rPr>
        <w:t xml:space="preserve"> 73</w:t>
      </w:r>
      <w:r w:rsidRPr="00057C64">
        <w:rPr>
          <w:noProof/>
        </w:rPr>
        <w:t xml:space="preserve">(7), 582-585. </w:t>
      </w:r>
      <w:hyperlink r:id="rId26" w:history="1">
        <w:r w:rsidRPr="00057C64">
          <w:rPr>
            <w:rStyle w:val="Hyperlink"/>
            <w:noProof/>
          </w:rPr>
          <w:t>https://doi.org/10.1590/0004-282x20150064</w:t>
        </w:r>
      </w:hyperlink>
      <w:r w:rsidRPr="00057C64">
        <w:rPr>
          <w:noProof/>
        </w:rPr>
        <w:t xml:space="preserve"> </w:t>
      </w:r>
    </w:p>
    <w:p w14:paraId="015C69B8" w14:textId="77777777" w:rsidR="00AA1251" w:rsidRPr="00057C64" w:rsidRDefault="00AA1251" w:rsidP="00AA1251">
      <w:pPr>
        <w:pStyle w:val="EndNoteBibliography"/>
        <w:ind w:left="720" w:hanging="720"/>
        <w:rPr>
          <w:noProof/>
        </w:rPr>
      </w:pPr>
      <w:r w:rsidRPr="00057C64">
        <w:rPr>
          <w:noProof/>
        </w:rPr>
        <w:t xml:space="preserve">Hill, C. L., Hunter, D. J., Niu, J., Clancy, M., Guermazi, A., Genant, H., Gale, D., Grainger, A., Conaghan, P., &amp; Felson, D. T. (2007). Synovitis detected on magnetic resonance imaging and its relation to pain and cartilage loss in knee osteoarthritis. </w:t>
      </w:r>
      <w:r w:rsidRPr="00057C64">
        <w:rPr>
          <w:i/>
          <w:noProof/>
        </w:rPr>
        <w:t>Ann Rheum Dis</w:t>
      </w:r>
      <w:r w:rsidRPr="00057C64">
        <w:rPr>
          <w:noProof/>
        </w:rPr>
        <w:t>,</w:t>
      </w:r>
      <w:r w:rsidRPr="00057C64">
        <w:rPr>
          <w:i/>
          <w:noProof/>
        </w:rPr>
        <w:t xml:space="preserve"> 66</w:t>
      </w:r>
      <w:r w:rsidRPr="00057C64">
        <w:rPr>
          <w:noProof/>
        </w:rPr>
        <w:t xml:space="preserve">(12), 1599-1603. </w:t>
      </w:r>
      <w:hyperlink r:id="rId27" w:history="1">
        <w:r w:rsidRPr="00057C64">
          <w:rPr>
            <w:rStyle w:val="Hyperlink"/>
            <w:noProof/>
          </w:rPr>
          <w:t>https://doi.org/10.1136/ard.2006.067470</w:t>
        </w:r>
      </w:hyperlink>
      <w:r w:rsidRPr="00057C64">
        <w:rPr>
          <w:noProof/>
        </w:rPr>
        <w:t xml:space="preserve"> </w:t>
      </w:r>
    </w:p>
    <w:p w14:paraId="51505B5C" w14:textId="77777777" w:rsidR="00AA1251" w:rsidRPr="00057C64" w:rsidRDefault="00AA1251" w:rsidP="00AA1251">
      <w:pPr>
        <w:pStyle w:val="EndNoteBibliography"/>
        <w:ind w:left="720" w:hanging="720"/>
        <w:rPr>
          <w:noProof/>
        </w:rPr>
      </w:pPr>
      <w:r w:rsidRPr="00057C64">
        <w:rPr>
          <w:noProof/>
        </w:rPr>
        <w:t xml:space="preserve">Janevic, M. R., McLaughlin, S. J., Heapy, A. A., Thacker, C., &amp; Piette, J. D. (2017). Racial and Socioeconomic Disparities in Disabling Chronic Pain: Findings From the Health and Retirement Study. </w:t>
      </w:r>
      <w:r w:rsidRPr="00057C64">
        <w:rPr>
          <w:i/>
          <w:noProof/>
        </w:rPr>
        <w:t>J Pain</w:t>
      </w:r>
      <w:r w:rsidRPr="00057C64">
        <w:rPr>
          <w:noProof/>
        </w:rPr>
        <w:t>,</w:t>
      </w:r>
      <w:r w:rsidRPr="00057C64">
        <w:rPr>
          <w:i/>
          <w:noProof/>
        </w:rPr>
        <w:t xml:space="preserve"> 18</w:t>
      </w:r>
      <w:r w:rsidRPr="00057C64">
        <w:rPr>
          <w:noProof/>
        </w:rPr>
        <w:t xml:space="preserve">(12), 1459-1467. </w:t>
      </w:r>
      <w:hyperlink r:id="rId28" w:history="1">
        <w:r w:rsidRPr="00057C64">
          <w:rPr>
            <w:rStyle w:val="Hyperlink"/>
            <w:noProof/>
          </w:rPr>
          <w:t>https://doi.org/10.1016/j.jpain.2017.07.005</w:t>
        </w:r>
      </w:hyperlink>
      <w:r w:rsidRPr="00057C64">
        <w:rPr>
          <w:noProof/>
        </w:rPr>
        <w:t xml:space="preserve"> </w:t>
      </w:r>
    </w:p>
    <w:p w14:paraId="12CDB603" w14:textId="77777777" w:rsidR="00AA1251" w:rsidRPr="00057C64" w:rsidRDefault="00AA1251" w:rsidP="00AA1251">
      <w:pPr>
        <w:pStyle w:val="EndNoteBibliography"/>
        <w:ind w:left="720" w:hanging="720"/>
        <w:rPr>
          <w:noProof/>
        </w:rPr>
      </w:pPr>
      <w:r w:rsidRPr="00057C64">
        <w:rPr>
          <w:noProof/>
        </w:rPr>
        <w:t xml:space="preserve">Kuner, R. (2010). Central mechanisms of pathological pain. </w:t>
      </w:r>
      <w:r w:rsidRPr="00057C64">
        <w:rPr>
          <w:i/>
          <w:noProof/>
        </w:rPr>
        <w:t>Nat Med</w:t>
      </w:r>
      <w:r w:rsidRPr="00057C64">
        <w:rPr>
          <w:noProof/>
        </w:rPr>
        <w:t>,</w:t>
      </w:r>
      <w:r w:rsidRPr="00057C64">
        <w:rPr>
          <w:i/>
          <w:noProof/>
        </w:rPr>
        <w:t xml:space="preserve"> 16</w:t>
      </w:r>
      <w:r w:rsidRPr="00057C64">
        <w:rPr>
          <w:noProof/>
        </w:rPr>
        <w:t xml:space="preserve">(11), 1258-1266. </w:t>
      </w:r>
      <w:hyperlink r:id="rId29" w:history="1">
        <w:r w:rsidRPr="00057C64">
          <w:rPr>
            <w:rStyle w:val="Hyperlink"/>
            <w:noProof/>
          </w:rPr>
          <w:t>https://doi.org/10.1038/nm.2231</w:t>
        </w:r>
      </w:hyperlink>
      <w:r w:rsidRPr="00057C64">
        <w:rPr>
          <w:noProof/>
        </w:rPr>
        <w:t xml:space="preserve"> </w:t>
      </w:r>
    </w:p>
    <w:p w14:paraId="78CC4B02" w14:textId="77777777" w:rsidR="00AA1251" w:rsidRPr="00057C64" w:rsidRDefault="00AA1251" w:rsidP="00AA1251">
      <w:pPr>
        <w:pStyle w:val="EndNoteBibliography"/>
        <w:ind w:left="720" w:hanging="720"/>
        <w:rPr>
          <w:noProof/>
        </w:rPr>
      </w:pPr>
      <w:r w:rsidRPr="00057C64">
        <w:rPr>
          <w:noProof/>
        </w:rPr>
        <w:t xml:space="preserve">Lima, L. V., Abner, T. S. S., &amp; Sluka, K. A. (2017). Does exercise increase or decrease pain? Central mechanisms underlying these two phenomena. </w:t>
      </w:r>
      <w:r w:rsidRPr="00057C64">
        <w:rPr>
          <w:i/>
          <w:noProof/>
        </w:rPr>
        <w:t>J Physiol</w:t>
      </w:r>
      <w:r w:rsidRPr="00057C64">
        <w:rPr>
          <w:noProof/>
        </w:rPr>
        <w:t>,</w:t>
      </w:r>
      <w:r w:rsidRPr="00057C64">
        <w:rPr>
          <w:i/>
          <w:noProof/>
        </w:rPr>
        <w:t xml:space="preserve"> 595</w:t>
      </w:r>
      <w:r w:rsidRPr="00057C64">
        <w:rPr>
          <w:noProof/>
        </w:rPr>
        <w:t xml:space="preserve">(13), 4141-4150. </w:t>
      </w:r>
      <w:hyperlink r:id="rId30" w:history="1">
        <w:r w:rsidRPr="00057C64">
          <w:rPr>
            <w:rStyle w:val="Hyperlink"/>
            <w:noProof/>
          </w:rPr>
          <w:t>https://doi.org/10.1113/jp273355</w:t>
        </w:r>
      </w:hyperlink>
      <w:r w:rsidRPr="00057C64">
        <w:rPr>
          <w:noProof/>
        </w:rPr>
        <w:t xml:space="preserve"> </w:t>
      </w:r>
    </w:p>
    <w:p w14:paraId="5066753A" w14:textId="77777777" w:rsidR="00AA1251" w:rsidRPr="00057C64" w:rsidRDefault="00AA1251" w:rsidP="00AA1251">
      <w:pPr>
        <w:pStyle w:val="EndNoteBibliography"/>
        <w:ind w:left="720" w:hanging="720"/>
        <w:rPr>
          <w:noProof/>
        </w:rPr>
      </w:pPr>
      <w:r w:rsidRPr="00057C64">
        <w:rPr>
          <w:noProof/>
        </w:rPr>
        <w:t xml:space="preserve">Loeser, R. F., Goldring, S. R., Scanzello, C. R., &amp; Goldring, M. B. (2012). Osteoarthritis: a disease of the joint as an organ. </w:t>
      </w:r>
      <w:r w:rsidRPr="00057C64">
        <w:rPr>
          <w:i/>
          <w:noProof/>
        </w:rPr>
        <w:t>Arthritis Rheum</w:t>
      </w:r>
      <w:r w:rsidRPr="00057C64">
        <w:rPr>
          <w:noProof/>
        </w:rPr>
        <w:t>,</w:t>
      </w:r>
      <w:r w:rsidRPr="00057C64">
        <w:rPr>
          <w:i/>
          <w:noProof/>
        </w:rPr>
        <w:t xml:space="preserve"> 64</w:t>
      </w:r>
      <w:r w:rsidRPr="00057C64">
        <w:rPr>
          <w:noProof/>
        </w:rPr>
        <w:t xml:space="preserve">(6), 1697-1707. </w:t>
      </w:r>
      <w:hyperlink r:id="rId31" w:history="1">
        <w:r w:rsidRPr="00057C64">
          <w:rPr>
            <w:rStyle w:val="Hyperlink"/>
            <w:noProof/>
          </w:rPr>
          <w:t>https://doi.org/10.1002/art.34453</w:t>
        </w:r>
      </w:hyperlink>
      <w:r w:rsidRPr="00057C64">
        <w:rPr>
          <w:noProof/>
        </w:rPr>
        <w:t xml:space="preserve"> </w:t>
      </w:r>
    </w:p>
    <w:p w14:paraId="05AC0253" w14:textId="77777777" w:rsidR="00AA1251" w:rsidRPr="00057C64" w:rsidRDefault="00AA1251" w:rsidP="00AA1251">
      <w:pPr>
        <w:pStyle w:val="EndNoteBibliography"/>
        <w:ind w:left="720" w:hanging="720"/>
        <w:rPr>
          <w:noProof/>
        </w:rPr>
      </w:pPr>
      <w:r w:rsidRPr="00057C64">
        <w:rPr>
          <w:noProof/>
        </w:rPr>
        <w:t xml:space="preserve">Majedi, H., Amini, M. H., Yousefshahi, F., Khazaeipour, Z., Majedi, M., Rahimi, M., &amp; Orandi, A. (2020). Predicting Factors of Pain Duration in Patients with Chronic Pain: A Large Population-based Study. </w:t>
      </w:r>
      <w:r w:rsidRPr="00057C64">
        <w:rPr>
          <w:i/>
          <w:noProof/>
        </w:rPr>
        <w:t>Anesth Pain Med</w:t>
      </w:r>
      <w:r w:rsidRPr="00057C64">
        <w:rPr>
          <w:noProof/>
        </w:rPr>
        <w:t>,</w:t>
      </w:r>
      <w:r w:rsidRPr="00057C64">
        <w:rPr>
          <w:i/>
          <w:noProof/>
        </w:rPr>
        <w:t xml:space="preserve"> 10</w:t>
      </w:r>
      <w:r w:rsidRPr="00057C64">
        <w:rPr>
          <w:noProof/>
        </w:rPr>
        <w:t xml:space="preserve">(1), e95776. </w:t>
      </w:r>
      <w:hyperlink r:id="rId32" w:history="1">
        <w:r w:rsidRPr="00057C64">
          <w:rPr>
            <w:rStyle w:val="Hyperlink"/>
            <w:noProof/>
          </w:rPr>
          <w:t>https://doi.org/10.5812/aapm.95776</w:t>
        </w:r>
      </w:hyperlink>
      <w:r w:rsidRPr="00057C64">
        <w:rPr>
          <w:noProof/>
        </w:rPr>
        <w:t xml:space="preserve"> </w:t>
      </w:r>
    </w:p>
    <w:p w14:paraId="32E1CBDF" w14:textId="77777777" w:rsidR="00AA1251" w:rsidRPr="00057C64" w:rsidRDefault="00AA1251" w:rsidP="00AA1251">
      <w:pPr>
        <w:pStyle w:val="EndNoteBibliography"/>
        <w:ind w:left="720" w:hanging="720"/>
        <w:rPr>
          <w:noProof/>
        </w:rPr>
      </w:pPr>
      <w:r w:rsidRPr="00057C64">
        <w:rPr>
          <w:noProof/>
        </w:rPr>
        <w:t xml:space="preserve">Marengoni, A., Angleman, S., Melis, R., Mangialasche, F., Karp, A., Garmen, A., Meinow, B., &amp; Fratiglioni, L. (2011). Aging with multimorbidity: a systematic review of the literature. </w:t>
      </w:r>
      <w:r w:rsidRPr="00057C64">
        <w:rPr>
          <w:i/>
          <w:noProof/>
        </w:rPr>
        <w:t>Ageing Res Rev</w:t>
      </w:r>
      <w:r w:rsidRPr="00057C64">
        <w:rPr>
          <w:noProof/>
        </w:rPr>
        <w:t>,</w:t>
      </w:r>
      <w:r w:rsidRPr="00057C64">
        <w:rPr>
          <w:i/>
          <w:noProof/>
        </w:rPr>
        <w:t xml:space="preserve"> 10</w:t>
      </w:r>
      <w:r w:rsidRPr="00057C64">
        <w:rPr>
          <w:noProof/>
        </w:rPr>
        <w:t xml:space="preserve">(4), 430-439. </w:t>
      </w:r>
      <w:hyperlink r:id="rId33" w:history="1">
        <w:r w:rsidRPr="00057C64">
          <w:rPr>
            <w:rStyle w:val="Hyperlink"/>
            <w:noProof/>
          </w:rPr>
          <w:t>https://doi.org/10.1016/j.arr.2011.03.003</w:t>
        </w:r>
      </w:hyperlink>
      <w:r w:rsidRPr="00057C64">
        <w:rPr>
          <w:noProof/>
        </w:rPr>
        <w:t xml:space="preserve"> </w:t>
      </w:r>
    </w:p>
    <w:p w14:paraId="1B56F9D0" w14:textId="77777777" w:rsidR="00AA1251" w:rsidRPr="00057C64" w:rsidRDefault="00AA1251" w:rsidP="00AA1251">
      <w:pPr>
        <w:pStyle w:val="EndNoteBibliography"/>
        <w:ind w:left="720" w:hanging="720"/>
        <w:rPr>
          <w:noProof/>
        </w:rPr>
      </w:pPr>
      <w:r w:rsidRPr="00057C64">
        <w:rPr>
          <w:noProof/>
        </w:rPr>
        <w:t xml:space="preserve">McCarthy, L. H., Bigal, M. E., Katz, M., Derby, C., &amp; Lipton, R. B. (2009). Chronic pain and obesity in elderly people: results from the Einstein aging study. </w:t>
      </w:r>
      <w:r w:rsidRPr="00057C64">
        <w:rPr>
          <w:i/>
          <w:noProof/>
        </w:rPr>
        <w:t>J Am Geriatr Soc</w:t>
      </w:r>
      <w:r w:rsidRPr="00057C64">
        <w:rPr>
          <w:noProof/>
        </w:rPr>
        <w:t>,</w:t>
      </w:r>
      <w:r w:rsidRPr="00057C64">
        <w:rPr>
          <w:i/>
          <w:noProof/>
        </w:rPr>
        <w:t xml:space="preserve"> 57</w:t>
      </w:r>
      <w:r w:rsidRPr="00057C64">
        <w:rPr>
          <w:noProof/>
        </w:rPr>
        <w:t xml:space="preserve">(1), 115-119. </w:t>
      </w:r>
      <w:hyperlink r:id="rId34" w:history="1">
        <w:r w:rsidRPr="00057C64">
          <w:rPr>
            <w:rStyle w:val="Hyperlink"/>
            <w:noProof/>
          </w:rPr>
          <w:t>https://doi.org/10.1111/j.1532-5415.2008.02089.x</w:t>
        </w:r>
      </w:hyperlink>
      <w:r w:rsidRPr="00057C64">
        <w:rPr>
          <w:noProof/>
        </w:rPr>
        <w:t xml:space="preserve"> </w:t>
      </w:r>
    </w:p>
    <w:p w14:paraId="72BA6532" w14:textId="77777777" w:rsidR="00AA1251" w:rsidRPr="00057C64" w:rsidRDefault="00AA1251" w:rsidP="00AA1251">
      <w:pPr>
        <w:pStyle w:val="EndNoteBibliography"/>
        <w:ind w:left="720" w:hanging="720"/>
        <w:rPr>
          <w:noProof/>
        </w:rPr>
      </w:pPr>
      <w:r w:rsidRPr="00057C64">
        <w:rPr>
          <w:noProof/>
        </w:rPr>
        <w:lastRenderedPageBreak/>
        <w:t xml:space="preserve">McKendall, M. J., &amp; Haier, R. J. (1983). Pain sensitivity and obesity. </w:t>
      </w:r>
      <w:r w:rsidRPr="00057C64">
        <w:rPr>
          <w:i/>
          <w:noProof/>
        </w:rPr>
        <w:t>Psychiatry Res</w:t>
      </w:r>
      <w:r w:rsidRPr="00057C64">
        <w:rPr>
          <w:noProof/>
        </w:rPr>
        <w:t>,</w:t>
      </w:r>
      <w:r w:rsidRPr="00057C64">
        <w:rPr>
          <w:i/>
          <w:noProof/>
        </w:rPr>
        <w:t xml:space="preserve"> 8</w:t>
      </w:r>
      <w:r w:rsidRPr="00057C64">
        <w:rPr>
          <w:noProof/>
        </w:rPr>
        <w:t xml:space="preserve">(2), 119-125. </w:t>
      </w:r>
      <w:hyperlink r:id="rId35" w:history="1">
        <w:r w:rsidRPr="00057C64">
          <w:rPr>
            <w:rStyle w:val="Hyperlink"/>
            <w:noProof/>
          </w:rPr>
          <w:t>https://doi.org/10.1016/0165-1781(83)90099-9</w:t>
        </w:r>
      </w:hyperlink>
      <w:r w:rsidRPr="00057C64">
        <w:rPr>
          <w:noProof/>
        </w:rPr>
        <w:t xml:space="preserve"> </w:t>
      </w:r>
    </w:p>
    <w:p w14:paraId="73C917B0" w14:textId="77777777" w:rsidR="00AA1251" w:rsidRPr="00057C64" w:rsidRDefault="00AA1251" w:rsidP="00AA1251">
      <w:pPr>
        <w:pStyle w:val="EndNoteBibliography"/>
        <w:ind w:left="720" w:hanging="720"/>
        <w:rPr>
          <w:noProof/>
        </w:rPr>
      </w:pPr>
      <w:r w:rsidRPr="00057C64">
        <w:rPr>
          <w:noProof/>
        </w:rPr>
        <w:t xml:space="preserve">Melzack, R., &amp; Wall, P. D. (1965). Pain mechanisms: a new theory. </w:t>
      </w:r>
      <w:r w:rsidRPr="00057C64">
        <w:rPr>
          <w:i/>
          <w:noProof/>
        </w:rPr>
        <w:t>Science</w:t>
      </w:r>
      <w:r w:rsidRPr="00057C64">
        <w:rPr>
          <w:noProof/>
        </w:rPr>
        <w:t>,</w:t>
      </w:r>
      <w:r w:rsidRPr="00057C64">
        <w:rPr>
          <w:i/>
          <w:noProof/>
        </w:rPr>
        <w:t xml:space="preserve"> 150</w:t>
      </w:r>
      <w:r w:rsidRPr="00057C64">
        <w:rPr>
          <w:noProof/>
        </w:rPr>
        <w:t xml:space="preserve">(3699), 971-979. </w:t>
      </w:r>
      <w:hyperlink r:id="rId36" w:history="1">
        <w:r w:rsidRPr="00057C64">
          <w:rPr>
            <w:rStyle w:val="Hyperlink"/>
            <w:noProof/>
          </w:rPr>
          <w:t>https://doi.org/10.1126/science.150.3699.971</w:t>
        </w:r>
      </w:hyperlink>
      <w:r w:rsidRPr="00057C64">
        <w:rPr>
          <w:noProof/>
        </w:rPr>
        <w:t xml:space="preserve"> </w:t>
      </w:r>
    </w:p>
    <w:p w14:paraId="049EA3C4" w14:textId="77777777" w:rsidR="00AA1251" w:rsidRPr="00057C64" w:rsidRDefault="00AA1251" w:rsidP="00AA1251">
      <w:pPr>
        <w:pStyle w:val="EndNoteBibliography"/>
        <w:ind w:left="720" w:hanging="720"/>
        <w:rPr>
          <w:noProof/>
        </w:rPr>
      </w:pPr>
      <w:r w:rsidRPr="00057C64">
        <w:rPr>
          <w:noProof/>
        </w:rPr>
        <w:t xml:space="preserve">Meucci, R. D., Fassa, A. G., &amp; Faria, N. M. (2015). Prevalence of chronic low back pain: systematic review. </w:t>
      </w:r>
      <w:r w:rsidRPr="00057C64">
        <w:rPr>
          <w:i/>
          <w:noProof/>
        </w:rPr>
        <w:t>Rev Saude Publica</w:t>
      </w:r>
      <w:r w:rsidRPr="00057C64">
        <w:rPr>
          <w:noProof/>
        </w:rPr>
        <w:t>,</w:t>
      </w:r>
      <w:r w:rsidRPr="00057C64">
        <w:rPr>
          <w:i/>
          <w:noProof/>
        </w:rPr>
        <w:t xml:space="preserve"> 49</w:t>
      </w:r>
      <w:r w:rsidRPr="00057C64">
        <w:rPr>
          <w:noProof/>
        </w:rPr>
        <w:t xml:space="preserve">, 1. </w:t>
      </w:r>
      <w:hyperlink r:id="rId37" w:history="1">
        <w:r w:rsidRPr="00057C64">
          <w:rPr>
            <w:rStyle w:val="Hyperlink"/>
            <w:noProof/>
          </w:rPr>
          <w:t>https://doi.org/10.1590/s0034-8910.2015049005874</w:t>
        </w:r>
      </w:hyperlink>
      <w:r w:rsidRPr="00057C64">
        <w:rPr>
          <w:noProof/>
        </w:rPr>
        <w:t xml:space="preserve"> </w:t>
      </w:r>
    </w:p>
    <w:p w14:paraId="54FD4E2C" w14:textId="77777777" w:rsidR="00AA1251" w:rsidRPr="00057C64" w:rsidRDefault="00AA1251" w:rsidP="00AA1251">
      <w:pPr>
        <w:pStyle w:val="EndNoteBibliography"/>
        <w:ind w:left="720" w:hanging="720"/>
        <w:rPr>
          <w:noProof/>
        </w:rPr>
      </w:pPr>
      <w:r w:rsidRPr="00057C64">
        <w:rPr>
          <w:noProof/>
        </w:rPr>
        <w:t xml:space="preserve">Mills, S. E. E., Nicolson, K. P., &amp; Smith, B. H. (2019). Chronic pain: a review of its epidemiology and associated factors in population-based studies. </w:t>
      </w:r>
      <w:r w:rsidRPr="00057C64">
        <w:rPr>
          <w:i/>
          <w:noProof/>
        </w:rPr>
        <w:t>Br J Anaesth</w:t>
      </w:r>
      <w:r w:rsidRPr="00057C64">
        <w:rPr>
          <w:noProof/>
        </w:rPr>
        <w:t>,</w:t>
      </w:r>
      <w:r w:rsidRPr="00057C64">
        <w:rPr>
          <w:i/>
          <w:noProof/>
        </w:rPr>
        <w:t xml:space="preserve"> 123</w:t>
      </w:r>
      <w:r w:rsidRPr="00057C64">
        <w:rPr>
          <w:noProof/>
        </w:rPr>
        <w:t xml:space="preserve">(2), e273-e283. </w:t>
      </w:r>
      <w:hyperlink r:id="rId38" w:history="1">
        <w:r w:rsidRPr="00057C64">
          <w:rPr>
            <w:rStyle w:val="Hyperlink"/>
            <w:noProof/>
          </w:rPr>
          <w:t>https://doi.org/10.1016/j.bja.2019.03.023</w:t>
        </w:r>
      </w:hyperlink>
      <w:r w:rsidRPr="00057C64">
        <w:rPr>
          <w:noProof/>
        </w:rPr>
        <w:t xml:space="preserve"> </w:t>
      </w:r>
    </w:p>
    <w:p w14:paraId="14ACE220" w14:textId="77777777" w:rsidR="00AA1251" w:rsidRPr="00057C64" w:rsidRDefault="00AA1251" w:rsidP="00AA1251">
      <w:pPr>
        <w:pStyle w:val="EndNoteBibliography"/>
        <w:ind w:left="720" w:hanging="720"/>
        <w:rPr>
          <w:noProof/>
        </w:rPr>
      </w:pPr>
      <w:r w:rsidRPr="00057C64">
        <w:rPr>
          <w:noProof/>
        </w:rPr>
        <w:t xml:space="preserve">Mitsi, V., &amp; Zachariou, V. (2016). Modulation of pain, nociception, and analgesia by the brain reward center. </w:t>
      </w:r>
      <w:r w:rsidRPr="00057C64">
        <w:rPr>
          <w:i/>
          <w:noProof/>
        </w:rPr>
        <w:t>Neuroscience</w:t>
      </w:r>
      <w:r w:rsidRPr="00057C64">
        <w:rPr>
          <w:noProof/>
        </w:rPr>
        <w:t>,</w:t>
      </w:r>
      <w:r w:rsidRPr="00057C64">
        <w:rPr>
          <w:i/>
          <w:noProof/>
        </w:rPr>
        <w:t xml:space="preserve"> 338</w:t>
      </w:r>
      <w:r w:rsidRPr="00057C64">
        <w:rPr>
          <w:noProof/>
        </w:rPr>
        <w:t xml:space="preserve">, 81-92. </w:t>
      </w:r>
      <w:hyperlink r:id="rId39" w:history="1">
        <w:r w:rsidRPr="00057C64">
          <w:rPr>
            <w:rStyle w:val="Hyperlink"/>
            <w:noProof/>
          </w:rPr>
          <w:t>https://doi.org/10.1016/j.neuroscience.2016.05.017</w:t>
        </w:r>
      </w:hyperlink>
      <w:r w:rsidRPr="00057C64">
        <w:rPr>
          <w:noProof/>
        </w:rPr>
        <w:t xml:space="preserve"> </w:t>
      </w:r>
    </w:p>
    <w:p w14:paraId="476BADEE" w14:textId="77777777" w:rsidR="00AA1251" w:rsidRPr="00057C64" w:rsidRDefault="00AA1251" w:rsidP="00AA1251">
      <w:pPr>
        <w:pStyle w:val="EndNoteBibliography"/>
        <w:ind w:left="720" w:hanging="720"/>
        <w:rPr>
          <w:noProof/>
        </w:rPr>
      </w:pPr>
      <w:r w:rsidRPr="00057C64">
        <w:rPr>
          <w:noProof/>
        </w:rPr>
        <w:t xml:space="preserve">Molanorouzi, K., Khoo, S., &amp; Morris, T. (2015). Motives for adult participation in physical activity: type of activity, age, and gender. </w:t>
      </w:r>
      <w:r w:rsidRPr="00057C64">
        <w:rPr>
          <w:i/>
          <w:noProof/>
        </w:rPr>
        <w:t>BMC Public Health</w:t>
      </w:r>
      <w:r w:rsidRPr="00057C64">
        <w:rPr>
          <w:noProof/>
        </w:rPr>
        <w:t>,</w:t>
      </w:r>
      <w:r w:rsidRPr="00057C64">
        <w:rPr>
          <w:i/>
          <w:noProof/>
        </w:rPr>
        <w:t xml:space="preserve"> 15</w:t>
      </w:r>
      <w:r w:rsidRPr="00057C64">
        <w:rPr>
          <w:noProof/>
        </w:rPr>
        <w:t xml:space="preserve">, 66. </w:t>
      </w:r>
      <w:hyperlink r:id="rId40" w:history="1">
        <w:r w:rsidRPr="00057C64">
          <w:rPr>
            <w:rStyle w:val="Hyperlink"/>
            <w:noProof/>
          </w:rPr>
          <w:t>https://doi.org/10.1186/s12889-015-1429-7</w:t>
        </w:r>
      </w:hyperlink>
      <w:r w:rsidRPr="00057C64">
        <w:rPr>
          <w:noProof/>
        </w:rPr>
        <w:t xml:space="preserve"> </w:t>
      </w:r>
    </w:p>
    <w:p w14:paraId="08FC682B" w14:textId="77777777" w:rsidR="00AA1251" w:rsidRPr="00057C64" w:rsidRDefault="00AA1251" w:rsidP="00AA1251">
      <w:pPr>
        <w:pStyle w:val="EndNoteBibliography"/>
        <w:ind w:left="720" w:hanging="720"/>
        <w:rPr>
          <w:noProof/>
        </w:rPr>
      </w:pPr>
      <w:r w:rsidRPr="00057C64">
        <w:rPr>
          <w:noProof/>
        </w:rPr>
        <w:t xml:space="preserve">Nahin, R. L. (2015). Estimates of pain prevalence and severity in adults: United States, 2012. </w:t>
      </w:r>
      <w:r w:rsidRPr="00057C64">
        <w:rPr>
          <w:i/>
          <w:noProof/>
        </w:rPr>
        <w:t>J Pain</w:t>
      </w:r>
      <w:r w:rsidRPr="00057C64">
        <w:rPr>
          <w:noProof/>
        </w:rPr>
        <w:t>,</w:t>
      </w:r>
      <w:r w:rsidRPr="00057C64">
        <w:rPr>
          <w:i/>
          <w:noProof/>
        </w:rPr>
        <w:t xml:space="preserve"> 16</w:t>
      </w:r>
      <w:r w:rsidRPr="00057C64">
        <w:rPr>
          <w:noProof/>
        </w:rPr>
        <w:t xml:space="preserve">(8), 769-780. </w:t>
      </w:r>
      <w:hyperlink r:id="rId41" w:history="1">
        <w:r w:rsidRPr="00057C64">
          <w:rPr>
            <w:rStyle w:val="Hyperlink"/>
            <w:noProof/>
          </w:rPr>
          <w:t>https://doi.org/10.1016/j.jpain.2015.05.002</w:t>
        </w:r>
      </w:hyperlink>
      <w:r w:rsidRPr="00057C64">
        <w:rPr>
          <w:noProof/>
        </w:rPr>
        <w:t xml:space="preserve"> </w:t>
      </w:r>
    </w:p>
    <w:p w14:paraId="1B069B6A" w14:textId="6784FFE1" w:rsidR="00057C64" w:rsidRPr="00057C64" w:rsidRDefault="00AA1251" w:rsidP="00057C64">
      <w:pPr>
        <w:pStyle w:val="EndNoteBibliography"/>
        <w:ind w:left="720" w:hanging="720"/>
        <w:rPr>
          <w:noProof/>
        </w:rPr>
      </w:pPr>
      <w:r w:rsidRPr="00057C64">
        <w:rPr>
          <w:noProof/>
        </w:rPr>
        <w:t xml:space="preserve">Naugle, K. M., Fillingim, R. B., &amp; Riley, J. L., 3rd. (2012). A meta-analytic review of the hypoalgesic effects of exercise. </w:t>
      </w:r>
      <w:r w:rsidRPr="00057C64">
        <w:rPr>
          <w:i/>
          <w:noProof/>
        </w:rPr>
        <w:t>J Pain</w:t>
      </w:r>
      <w:r w:rsidRPr="00057C64">
        <w:rPr>
          <w:noProof/>
        </w:rPr>
        <w:t>,</w:t>
      </w:r>
      <w:r w:rsidRPr="00057C64">
        <w:rPr>
          <w:i/>
          <w:noProof/>
        </w:rPr>
        <w:t xml:space="preserve"> 13</w:t>
      </w:r>
      <w:r w:rsidRPr="00057C64">
        <w:rPr>
          <w:noProof/>
        </w:rPr>
        <w:t xml:space="preserve">(12), 1139-1150. </w:t>
      </w:r>
      <w:hyperlink r:id="rId42" w:history="1">
        <w:r w:rsidRPr="00057C64">
          <w:rPr>
            <w:rStyle w:val="Hyperlink"/>
            <w:noProof/>
          </w:rPr>
          <w:t>https://doi.org/10.1016/j.jpain.2012.09.006</w:t>
        </w:r>
      </w:hyperlink>
      <w:r w:rsidRPr="00057C64">
        <w:rPr>
          <w:noProof/>
        </w:rPr>
        <w:t xml:space="preserve"> </w:t>
      </w:r>
    </w:p>
    <w:p w14:paraId="4830A17A" w14:textId="77777777" w:rsidR="00AA1251" w:rsidRPr="00057C64" w:rsidRDefault="00AA1251" w:rsidP="00AA1251">
      <w:pPr>
        <w:pStyle w:val="EndNoteBibliography"/>
        <w:ind w:left="720" w:hanging="720"/>
        <w:rPr>
          <w:noProof/>
        </w:rPr>
      </w:pPr>
      <w:r w:rsidRPr="00057C64">
        <w:rPr>
          <w:noProof/>
        </w:rPr>
        <w:t xml:space="preserve">Neige, C., Mavromatis, N., Gagné, M., Bouyer, L. J., &amp; Mercier, C. (2018). Effect of movement-related pain on behaviour and corticospinal excitability changes associated with arm movement preparation. </w:t>
      </w:r>
      <w:r w:rsidRPr="00057C64">
        <w:rPr>
          <w:i/>
          <w:noProof/>
        </w:rPr>
        <w:t>J Physiol</w:t>
      </w:r>
      <w:r w:rsidRPr="00057C64">
        <w:rPr>
          <w:noProof/>
        </w:rPr>
        <w:t>,</w:t>
      </w:r>
      <w:r w:rsidRPr="00057C64">
        <w:rPr>
          <w:i/>
          <w:noProof/>
        </w:rPr>
        <w:t xml:space="preserve"> 596</w:t>
      </w:r>
      <w:r w:rsidRPr="00057C64">
        <w:rPr>
          <w:noProof/>
        </w:rPr>
        <w:t xml:space="preserve">(14), 2917-2929. </w:t>
      </w:r>
      <w:hyperlink r:id="rId43" w:history="1">
        <w:r w:rsidRPr="00057C64">
          <w:rPr>
            <w:rStyle w:val="Hyperlink"/>
            <w:noProof/>
          </w:rPr>
          <w:t>https://doi.org/10.1113/jp276011</w:t>
        </w:r>
      </w:hyperlink>
      <w:r w:rsidRPr="00057C64">
        <w:rPr>
          <w:noProof/>
        </w:rPr>
        <w:t xml:space="preserve"> </w:t>
      </w:r>
    </w:p>
    <w:p w14:paraId="0CAFA382" w14:textId="77777777" w:rsidR="00AA1251" w:rsidRPr="00057C64" w:rsidRDefault="00AA1251" w:rsidP="00AA1251">
      <w:pPr>
        <w:pStyle w:val="EndNoteBibliography"/>
        <w:ind w:left="720" w:hanging="720"/>
        <w:rPr>
          <w:noProof/>
        </w:rPr>
      </w:pPr>
      <w:r w:rsidRPr="00057C64">
        <w:rPr>
          <w:noProof/>
        </w:rPr>
        <w:t xml:space="preserve">O'Neill, T. W., &amp; Felson, D. T. (2018). Mechanisms of Osteoarthritis (OA) Pain. </w:t>
      </w:r>
      <w:r w:rsidRPr="00057C64">
        <w:rPr>
          <w:i/>
          <w:noProof/>
        </w:rPr>
        <w:t>Curr Osteoporos Rep</w:t>
      </w:r>
      <w:r w:rsidRPr="00057C64">
        <w:rPr>
          <w:noProof/>
        </w:rPr>
        <w:t>,</w:t>
      </w:r>
      <w:r w:rsidRPr="00057C64">
        <w:rPr>
          <w:i/>
          <w:noProof/>
        </w:rPr>
        <w:t xml:space="preserve"> 16</w:t>
      </w:r>
      <w:r w:rsidRPr="00057C64">
        <w:rPr>
          <w:noProof/>
        </w:rPr>
        <w:t xml:space="preserve">(5), 611-616. </w:t>
      </w:r>
      <w:hyperlink r:id="rId44" w:history="1">
        <w:r w:rsidRPr="00057C64">
          <w:rPr>
            <w:rStyle w:val="Hyperlink"/>
            <w:noProof/>
          </w:rPr>
          <w:t>https://doi.org/10.1007/s11914-018-0477-1</w:t>
        </w:r>
      </w:hyperlink>
      <w:r w:rsidRPr="00057C64">
        <w:rPr>
          <w:noProof/>
        </w:rPr>
        <w:t xml:space="preserve"> </w:t>
      </w:r>
    </w:p>
    <w:p w14:paraId="49207211" w14:textId="74595ACA" w:rsidR="00AA1251" w:rsidRPr="00057C64" w:rsidRDefault="00AA1251" w:rsidP="00AA1251">
      <w:pPr>
        <w:pStyle w:val="EndNoteBibliography"/>
        <w:ind w:left="720" w:hanging="720"/>
        <w:rPr>
          <w:noProof/>
        </w:rPr>
      </w:pPr>
      <w:r w:rsidRPr="00057C64">
        <w:rPr>
          <w:noProof/>
        </w:rPr>
        <w:t xml:space="preserve">Pieretti, S., Di Giannuario, A., Di Giovannandrea, R., Marzoli, F., Piccaro, G., Minosi, P., &amp; Aloisi, A. M. (2016). Gender differences in pain and its relief. </w:t>
      </w:r>
      <w:r w:rsidRPr="00057C64">
        <w:rPr>
          <w:i/>
          <w:noProof/>
        </w:rPr>
        <w:t>Ann Ist Super Sanita</w:t>
      </w:r>
      <w:r w:rsidRPr="00057C64">
        <w:rPr>
          <w:noProof/>
        </w:rPr>
        <w:t>,</w:t>
      </w:r>
      <w:r w:rsidRPr="00057C64">
        <w:rPr>
          <w:i/>
          <w:noProof/>
        </w:rPr>
        <w:t xml:space="preserve"> 52</w:t>
      </w:r>
      <w:r w:rsidRPr="00057C64">
        <w:rPr>
          <w:noProof/>
        </w:rPr>
        <w:t xml:space="preserve">(2), 184-189. </w:t>
      </w:r>
      <w:hyperlink r:id="rId45" w:history="1">
        <w:r w:rsidRPr="00057C64">
          <w:rPr>
            <w:rStyle w:val="Hyperlink"/>
            <w:noProof/>
          </w:rPr>
          <w:t>https://doi.org/10.4415/ann_16_02_09</w:t>
        </w:r>
      </w:hyperlink>
      <w:r w:rsidRPr="00057C64">
        <w:rPr>
          <w:noProof/>
        </w:rPr>
        <w:t xml:space="preserve"> </w:t>
      </w:r>
    </w:p>
    <w:p w14:paraId="22FCE17C" w14:textId="50AD7761" w:rsidR="00057C64" w:rsidRPr="00057C64" w:rsidRDefault="00057C64" w:rsidP="00057C64">
      <w:pPr>
        <w:ind w:left="720" w:hanging="720"/>
        <w:rPr>
          <w:rFonts w:ascii="Times" w:hAnsi="Times"/>
          <w:color w:val="000000" w:themeColor="text1"/>
        </w:rPr>
      </w:pPr>
      <w:r w:rsidRPr="00057C64">
        <w:rPr>
          <w:noProof/>
        </w:rPr>
        <w:t xml:space="preserve">Peppa, M., Stefanaki, C., Papaefstathiou, A., Boschiero, D., Dimitriadis, G., &amp; Chrousos, G. (2017). Bioimpedance analysis vs. DEXA as a screening tool for osteosarcopenia in lean, overweight and obese caucasian post-menopausal females. </w:t>
      </w:r>
      <w:r w:rsidRPr="00057C64">
        <w:rPr>
          <w:i/>
          <w:iCs/>
          <w:noProof/>
        </w:rPr>
        <w:t xml:space="preserve">Hormones, 16(2), </w:t>
      </w:r>
      <w:r w:rsidRPr="00057C64">
        <w:rPr>
          <w:noProof/>
        </w:rPr>
        <w:t>181-193</w:t>
      </w:r>
      <w:r w:rsidRPr="00057C64">
        <w:rPr>
          <w:rFonts w:ascii="Times" w:hAnsi="Times"/>
          <w:color w:val="000000" w:themeColor="text1"/>
        </w:rPr>
        <w:t xml:space="preserve"> </w:t>
      </w:r>
    </w:p>
    <w:p w14:paraId="7CC4C6B8"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Price, R. C., Asenjo, J. F., Christou, N. V., Backman, S. B., &amp; Schweinhardt, P. (2013). The role of excess subcutaneous fat in pain and sensory sensitivity in obesity. </w:t>
      </w:r>
      <w:r w:rsidRPr="00057C64">
        <w:rPr>
          <w:rFonts w:ascii="Times" w:hAnsi="Times"/>
          <w:i/>
          <w:noProof/>
          <w:color w:val="000000" w:themeColor="text1"/>
        </w:rPr>
        <w:t>Eur J Pain</w:t>
      </w:r>
      <w:r w:rsidRPr="00057C64">
        <w:rPr>
          <w:rFonts w:ascii="Times" w:hAnsi="Times"/>
          <w:noProof/>
          <w:color w:val="000000" w:themeColor="text1"/>
        </w:rPr>
        <w:t>,</w:t>
      </w:r>
      <w:r w:rsidRPr="00057C64">
        <w:rPr>
          <w:rFonts w:ascii="Times" w:hAnsi="Times"/>
          <w:i/>
          <w:noProof/>
          <w:color w:val="000000" w:themeColor="text1"/>
        </w:rPr>
        <w:t xml:space="preserve"> 17</w:t>
      </w:r>
      <w:r w:rsidRPr="00057C64">
        <w:rPr>
          <w:rFonts w:ascii="Times" w:hAnsi="Times"/>
          <w:noProof/>
          <w:color w:val="000000" w:themeColor="text1"/>
        </w:rPr>
        <w:t xml:space="preserve">(9), 1316-1326. </w:t>
      </w:r>
      <w:hyperlink r:id="rId46" w:history="1">
        <w:r w:rsidRPr="00057C64">
          <w:rPr>
            <w:rStyle w:val="Hyperlink"/>
            <w:rFonts w:ascii="Times" w:hAnsi="Times"/>
            <w:noProof/>
            <w:color w:val="000000" w:themeColor="text1"/>
          </w:rPr>
          <w:t>https://doi.org/10.1002/j.1532-2149.2013.00315.x</w:t>
        </w:r>
      </w:hyperlink>
      <w:r w:rsidRPr="00057C64">
        <w:rPr>
          <w:rFonts w:ascii="Times" w:hAnsi="Times"/>
          <w:noProof/>
          <w:color w:val="000000" w:themeColor="text1"/>
        </w:rPr>
        <w:t xml:space="preserve"> </w:t>
      </w:r>
    </w:p>
    <w:p w14:paraId="24088B2A"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Ray, L., Lipton, R. B., Zimmerman, M. E., Katz, M. J., &amp; Derby, C. A. (2011). Mechanisms of association between obesity and chronic pain in the elderly. </w:t>
      </w:r>
      <w:r w:rsidRPr="00057C64">
        <w:rPr>
          <w:rFonts w:ascii="Times" w:hAnsi="Times"/>
          <w:i/>
          <w:noProof/>
          <w:color w:val="000000" w:themeColor="text1"/>
        </w:rPr>
        <w:t>Pain</w:t>
      </w:r>
      <w:r w:rsidRPr="00057C64">
        <w:rPr>
          <w:rFonts w:ascii="Times" w:hAnsi="Times"/>
          <w:noProof/>
          <w:color w:val="000000" w:themeColor="text1"/>
        </w:rPr>
        <w:t>,</w:t>
      </w:r>
      <w:r w:rsidRPr="00057C64">
        <w:rPr>
          <w:rFonts w:ascii="Times" w:hAnsi="Times"/>
          <w:i/>
          <w:noProof/>
          <w:color w:val="000000" w:themeColor="text1"/>
        </w:rPr>
        <w:t xml:space="preserve"> 152</w:t>
      </w:r>
      <w:r w:rsidRPr="00057C64">
        <w:rPr>
          <w:rFonts w:ascii="Times" w:hAnsi="Times"/>
          <w:noProof/>
          <w:color w:val="000000" w:themeColor="text1"/>
        </w:rPr>
        <w:t xml:space="preserve">(1), 53-59. </w:t>
      </w:r>
      <w:hyperlink r:id="rId47" w:history="1">
        <w:r w:rsidRPr="00057C64">
          <w:rPr>
            <w:rStyle w:val="Hyperlink"/>
            <w:rFonts w:ascii="Times" w:hAnsi="Times"/>
            <w:noProof/>
            <w:color w:val="000000" w:themeColor="text1"/>
          </w:rPr>
          <w:t>https://doi.org/10.1016/j.pain.2010.08.043</w:t>
        </w:r>
      </w:hyperlink>
      <w:r w:rsidRPr="00057C64">
        <w:rPr>
          <w:rFonts w:ascii="Times" w:hAnsi="Times"/>
          <w:noProof/>
          <w:color w:val="000000" w:themeColor="text1"/>
        </w:rPr>
        <w:t xml:space="preserve"> </w:t>
      </w:r>
    </w:p>
    <w:p w14:paraId="76CF89B8"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Roddy, E., Zhang, W., &amp; Doherty, M. (2005). Aerobic walking or strengthening exercise for osteoarthritis of the knee? A systematic review. </w:t>
      </w:r>
      <w:r w:rsidRPr="00057C64">
        <w:rPr>
          <w:rFonts w:ascii="Times" w:hAnsi="Times"/>
          <w:i/>
          <w:noProof/>
          <w:color w:val="000000" w:themeColor="text1"/>
        </w:rPr>
        <w:t>Ann Rheum Dis</w:t>
      </w:r>
      <w:r w:rsidRPr="00057C64">
        <w:rPr>
          <w:rFonts w:ascii="Times" w:hAnsi="Times"/>
          <w:noProof/>
          <w:color w:val="000000" w:themeColor="text1"/>
        </w:rPr>
        <w:t>,</w:t>
      </w:r>
      <w:r w:rsidRPr="00057C64">
        <w:rPr>
          <w:rFonts w:ascii="Times" w:hAnsi="Times"/>
          <w:i/>
          <w:noProof/>
          <w:color w:val="000000" w:themeColor="text1"/>
        </w:rPr>
        <w:t xml:space="preserve"> 64</w:t>
      </w:r>
      <w:r w:rsidRPr="00057C64">
        <w:rPr>
          <w:rFonts w:ascii="Times" w:hAnsi="Times"/>
          <w:noProof/>
          <w:color w:val="000000" w:themeColor="text1"/>
        </w:rPr>
        <w:t xml:space="preserve">(4), 544-548. </w:t>
      </w:r>
      <w:hyperlink r:id="rId48" w:history="1">
        <w:r w:rsidRPr="00057C64">
          <w:rPr>
            <w:rStyle w:val="Hyperlink"/>
            <w:rFonts w:ascii="Times" w:hAnsi="Times"/>
            <w:noProof/>
            <w:color w:val="000000" w:themeColor="text1"/>
          </w:rPr>
          <w:t>https://doi.org/10.1136/ard.2004.028746</w:t>
        </w:r>
      </w:hyperlink>
      <w:r w:rsidRPr="00057C64">
        <w:rPr>
          <w:rFonts w:ascii="Times" w:hAnsi="Times"/>
          <w:noProof/>
          <w:color w:val="000000" w:themeColor="text1"/>
        </w:rPr>
        <w:t xml:space="preserve"> </w:t>
      </w:r>
    </w:p>
    <w:p w14:paraId="12E35248"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Saadé, N. E., Atweh, S. F., Bahuth, N. B., &amp; Jabbur, S. J. (1997). Augmentation of nociceptive reflexes and chronic deafferentation pain by chemical lesions of either dopaminergic terminals or midbrain dopaminergic neurons. </w:t>
      </w:r>
      <w:r w:rsidRPr="00057C64">
        <w:rPr>
          <w:rFonts w:ascii="Times" w:hAnsi="Times"/>
          <w:i/>
          <w:noProof/>
          <w:color w:val="000000" w:themeColor="text1"/>
        </w:rPr>
        <w:t>Brain Res</w:t>
      </w:r>
      <w:r w:rsidRPr="00057C64">
        <w:rPr>
          <w:rFonts w:ascii="Times" w:hAnsi="Times"/>
          <w:noProof/>
          <w:color w:val="000000" w:themeColor="text1"/>
        </w:rPr>
        <w:t>,</w:t>
      </w:r>
      <w:r w:rsidRPr="00057C64">
        <w:rPr>
          <w:rFonts w:ascii="Times" w:hAnsi="Times"/>
          <w:i/>
          <w:noProof/>
          <w:color w:val="000000" w:themeColor="text1"/>
        </w:rPr>
        <w:t xml:space="preserve"> 751</w:t>
      </w:r>
      <w:r w:rsidRPr="00057C64">
        <w:rPr>
          <w:rFonts w:ascii="Times" w:hAnsi="Times"/>
          <w:noProof/>
          <w:color w:val="000000" w:themeColor="text1"/>
        </w:rPr>
        <w:t xml:space="preserve">(1), 1-12. </w:t>
      </w:r>
      <w:hyperlink r:id="rId49" w:history="1">
        <w:r w:rsidRPr="00057C64">
          <w:rPr>
            <w:rStyle w:val="Hyperlink"/>
            <w:rFonts w:ascii="Times" w:hAnsi="Times"/>
            <w:noProof/>
            <w:color w:val="000000" w:themeColor="text1"/>
          </w:rPr>
          <w:t>https://doi.org/10.1016/s0006-8993(96)01164-x</w:t>
        </w:r>
      </w:hyperlink>
      <w:r w:rsidRPr="00057C64">
        <w:rPr>
          <w:rFonts w:ascii="Times" w:hAnsi="Times"/>
          <w:noProof/>
          <w:color w:val="000000" w:themeColor="text1"/>
        </w:rPr>
        <w:t xml:space="preserve"> </w:t>
      </w:r>
    </w:p>
    <w:p w14:paraId="35D84024"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lastRenderedPageBreak/>
        <w:t xml:space="preserve">Schopper, M., Fleckenstein, J., &amp; Irnich, D. (2013). [Gender differences in acute and chronic pain conditions. Implications for diagnosis and therapy]. </w:t>
      </w:r>
      <w:r w:rsidRPr="00057C64">
        <w:rPr>
          <w:rFonts w:ascii="Times" w:hAnsi="Times"/>
          <w:i/>
          <w:noProof/>
          <w:color w:val="000000" w:themeColor="text1"/>
        </w:rPr>
        <w:t>Schmerz</w:t>
      </w:r>
      <w:r w:rsidRPr="00057C64">
        <w:rPr>
          <w:rFonts w:ascii="Times" w:hAnsi="Times"/>
          <w:noProof/>
          <w:color w:val="000000" w:themeColor="text1"/>
        </w:rPr>
        <w:t>,</w:t>
      </w:r>
      <w:r w:rsidRPr="00057C64">
        <w:rPr>
          <w:rFonts w:ascii="Times" w:hAnsi="Times"/>
          <w:i/>
          <w:noProof/>
          <w:color w:val="000000" w:themeColor="text1"/>
        </w:rPr>
        <w:t xml:space="preserve"> 27</w:t>
      </w:r>
      <w:r w:rsidRPr="00057C64">
        <w:rPr>
          <w:rFonts w:ascii="Times" w:hAnsi="Times"/>
          <w:noProof/>
          <w:color w:val="000000" w:themeColor="text1"/>
        </w:rPr>
        <w:t xml:space="preserve">(5), 456-466. </w:t>
      </w:r>
      <w:hyperlink r:id="rId50" w:history="1">
        <w:r w:rsidRPr="00057C64">
          <w:rPr>
            <w:rStyle w:val="Hyperlink"/>
            <w:rFonts w:ascii="Times" w:hAnsi="Times"/>
            <w:noProof/>
            <w:color w:val="000000" w:themeColor="text1"/>
          </w:rPr>
          <w:t>https://doi.org/10.1007/s00482-013-1361-7</w:t>
        </w:r>
      </w:hyperlink>
      <w:r w:rsidRPr="00057C64">
        <w:rPr>
          <w:rFonts w:ascii="Times" w:hAnsi="Times"/>
          <w:noProof/>
          <w:color w:val="000000" w:themeColor="text1"/>
        </w:rPr>
        <w:t xml:space="preserve"> (Geschlechtsspezifische Aspekte bei akuten und chronischen Schmerzen. Implikationen für Diagnose und Therapie.) </w:t>
      </w:r>
    </w:p>
    <w:p w14:paraId="44217075"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Schorr, M., Dichtel, L. E., Gerweck, A. V., Valera, R. D., Torriani, M., Miller, K. K., &amp; Bredella, M. A. (2018). Sex differences in body composition and association with cardiometabolic risk. </w:t>
      </w:r>
      <w:r w:rsidRPr="00057C64">
        <w:rPr>
          <w:rFonts w:ascii="Times" w:hAnsi="Times"/>
          <w:i/>
          <w:noProof/>
          <w:color w:val="000000" w:themeColor="text1"/>
        </w:rPr>
        <w:t>Biol Sex Differ</w:t>
      </w:r>
      <w:r w:rsidRPr="00057C64">
        <w:rPr>
          <w:rFonts w:ascii="Times" w:hAnsi="Times"/>
          <w:noProof/>
          <w:color w:val="000000" w:themeColor="text1"/>
        </w:rPr>
        <w:t>,</w:t>
      </w:r>
      <w:r w:rsidRPr="00057C64">
        <w:rPr>
          <w:rFonts w:ascii="Times" w:hAnsi="Times"/>
          <w:i/>
          <w:noProof/>
          <w:color w:val="000000" w:themeColor="text1"/>
        </w:rPr>
        <w:t xml:space="preserve"> 9</w:t>
      </w:r>
      <w:r w:rsidRPr="00057C64">
        <w:rPr>
          <w:rFonts w:ascii="Times" w:hAnsi="Times"/>
          <w:noProof/>
          <w:color w:val="000000" w:themeColor="text1"/>
        </w:rPr>
        <w:t xml:space="preserve">(1), 28. </w:t>
      </w:r>
      <w:hyperlink r:id="rId51" w:history="1">
        <w:r w:rsidRPr="00057C64">
          <w:rPr>
            <w:rStyle w:val="Hyperlink"/>
            <w:rFonts w:ascii="Times" w:hAnsi="Times"/>
            <w:noProof/>
            <w:color w:val="000000" w:themeColor="text1"/>
          </w:rPr>
          <w:t>https://doi.org/10.1186/s13293-018-0189-3</w:t>
        </w:r>
      </w:hyperlink>
      <w:r w:rsidRPr="00057C64">
        <w:rPr>
          <w:rFonts w:ascii="Times" w:hAnsi="Times"/>
          <w:noProof/>
          <w:color w:val="000000" w:themeColor="text1"/>
        </w:rPr>
        <w:t xml:space="preserve"> </w:t>
      </w:r>
    </w:p>
    <w:p w14:paraId="51E40801"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Seaman, D. R. (2013). Body mass index and musculoskeletal pain: is there a connection? </w:t>
      </w:r>
      <w:r w:rsidRPr="00057C64">
        <w:rPr>
          <w:rFonts w:ascii="Times" w:hAnsi="Times"/>
          <w:i/>
          <w:noProof/>
          <w:color w:val="000000" w:themeColor="text1"/>
        </w:rPr>
        <w:t>Chiropr Man Therap</w:t>
      </w:r>
      <w:r w:rsidRPr="00057C64">
        <w:rPr>
          <w:rFonts w:ascii="Times" w:hAnsi="Times"/>
          <w:noProof/>
          <w:color w:val="000000" w:themeColor="text1"/>
        </w:rPr>
        <w:t>,</w:t>
      </w:r>
      <w:r w:rsidRPr="00057C64">
        <w:rPr>
          <w:rFonts w:ascii="Times" w:hAnsi="Times"/>
          <w:i/>
          <w:noProof/>
          <w:color w:val="000000" w:themeColor="text1"/>
        </w:rPr>
        <w:t xml:space="preserve"> 21</w:t>
      </w:r>
      <w:r w:rsidRPr="00057C64">
        <w:rPr>
          <w:rFonts w:ascii="Times" w:hAnsi="Times"/>
          <w:noProof/>
          <w:color w:val="000000" w:themeColor="text1"/>
        </w:rPr>
        <w:t xml:space="preserve">(1), 15. </w:t>
      </w:r>
      <w:hyperlink r:id="rId52" w:history="1">
        <w:r w:rsidRPr="00057C64">
          <w:rPr>
            <w:rStyle w:val="Hyperlink"/>
            <w:rFonts w:ascii="Times" w:hAnsi="Times"/>
            <w:noProof/>
            <w:color w:val="000000" w:themeColor="text1"/>
          </w:rPr>
          <w:t>https://doi.org/10.1186/2045-709x-21-15</w:t>
        </w:r>
      </w:hyperlink>
      <w:r w:rsidRPr="00057C64">
        <w:rPr>
          <w:rFonts w:ascii="Times" w:hAnsi="Times"/>
          <w:noProof/>
          <w:color w:val="000000" w:themeColor="text1"/>
        </w:rPr>
        <w:t xml:space="preserve"> </w:t>
      </w:r>
    </w:p>
    <w:p w14:paraId="3413DD7D"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Sinusas, K. (2012). Osteoarthritis: diagnosis and treatment. </w:t>
      </w:r>
      <w:r w:rsidRPr="00057C64">
        <w:rPr>
          <w:rFonts w:ascii="Times" w:hAnsi="Times"/>
          <w:i/>
          <w:noProof/>
          <w:color w:val="000000" w:themeColor="text1"/>
        </w:rPr>
        <w:t>Am Fam Physician</w:t>
      </w:r>
      <w:r w:rsidRPr="00057C64">
        <w:rPr>
          <w:rFonts w:ascii="Times" w:hAnsi="Times"/>
          <w:noProof/>
          <w:color w:val="000000" w:themeColor="text1"/>
        </w:rPr>
        <w:t>,</w:t>
      </w:r>
      <w:r w:rsidRPr="00057C64">
        <w:rPr>
          <w:rFonts w:ascii="Times" w:hAnsi="Times"/>
          <w:i/>
          <w:noProof/>
          <w:color w:val="000000" w:themeColor="text1"/>
        </w:rPr>
        <w:t xml:space="preserve"> 85</w:t>
      </w:r>
      <w:r w:rsidRPr="00057C64">
        <w:rPr>
          <w:rFonts w:ascii="Times" w:hAnsi="Times"/>
          <w:noProof/>
          <w:color w:val="000000" w:themeColor="text1"/>
        </w:rPr>
        <w:t xml:space="preserve">(1), 49-56. </w:t>
      </w:r>
    </w:p>
    <w:p w14:paraId="7924D70E"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Sirtori, A., Brunani, A., Villa, V., Berselli, M. E., Croci, M., Leonardi, M., &amp; Raggi, A. (2012). Obesity is a marker of reduction in QoL and disability. </w:t>
      </w:r>
      <w:r w:rsidRPr="00057C64">
        <w:rPr>
          <w:rFonts w:ascii="Times" w:hAnsi="Times"/>
          <w:i/>
          <w:noProof/>
          <w:color w:val="000000" w:themeColor="text1"/>
        </w:rPr>
        <w:t>ScientificWorldJournal</w:t>
      </w:r>
      <w:r w:rsidRPr="00057C64">
        <w:rPr>
          <w:rFonts w:ascii="Times" w:hAnsi="Times"/>
          <w:noProof/>
          <w:color w:val="000000" w:themeColor="text1"/>
        </w:rPr>
        <w:t>,</w:t>
      </w:r>
      <w:r w:rsidRPr="00057C64">
        <w:rPr>
          <w:rFonts w:ascii="Times" w:hAnsi="Times"/>
          <w:i/>
          <w:noProof/>
          <w:color w:val="000000" w:themeColor="text1"/>
        </w:rPr>
        <w:t xml:space="preserve"> 2012</w:t>
      </w:r>
      <w:r w:rsidRPr="00057C64">
        <w:rPr>
          <w:rFonts w:ascii="Times" w:hAnsi="Times"/>
          <w:noProof/>
          <w:color w:val="000000" w:themeColor="text1"/>
        </w:rPr>
        <w:t xml:space="preserve">, 167520. </w:t>
      </w:r>
      <w:hyperlink r:id="rId53" w:history="1">
        <w:r w:rsidRPr="00057C64">
          <w:rPr>
            <w:rStyle w:val="Hyperlink"/>
            <w:rFonts w:ascii="Times" w:hAnsi="Times"/>
            <w:noProof/>
            <w:color w:val="000000" w:themeColor="text1"/>
          </w:rPr>
          <w:t>https://doi.org/10.1100/2012/167520</w:t>
        </w:r>
      </w:hyperlink>
      <w:r w:rsidRPr="00057C64">
        <w:rPr>
          <w:rFonts w:ascii="Times" w:hAnsi="Times"/>
          <w:noProof/>
          <w:color w:val="000000" w:themeColor="text1"/>
        </w:rPr>
        <w:t xml:space="preserve"> </w:t>
      </w:r>
    </w:p>
    <w:p w14:paraId="155B1B57"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Swieboda, P., Filip, R., Prystupa, A., &amp; Drozd, M. (2013). Assessment of pain: types, mechanism and treatment. </w:t>
      </w:r>
      <w:r w:rsidRPr="00057C64">
        <w:rPr>
          <w:rFonts w:ascii="Times" w:hAnsi="Times"/>
          <w:i/>
          <w:noProof/>
          <w:color w:val="000000" w:themeColor="text1"/>
        </w:rPr>
        <w:t>Ann Agric Environ Med</w:t>
      </w:r>
      <w:r w:rsidRPr="00057C64">
        <w:rPr>
          <w:rFonts w:ascii="Times" w:hAnsi="Times"/>
          <w:noProof/>
          <w:color w:val="000000" w:themeColor="text1"/>
        </w:rPr>
        <w:t>,</w:t>
      </w:r>
      <w:r w:rsidRPr="00057C64">
        <w:rPr>
          <w:rFonts w:ascii="Times" w:hAnsi="Times"/>
          <w:i/>
          <w:noProof/>
          <w:color w:val="000000" w:themeColor="text1"/>
        </w:rPr>
        <w:t xml:space="preserve"> Spec no. 1</w:t>
      </w:r>
      <w:r w:rsidRPr="00057C64">
        <w:rPr>
          <w:rFonts w:ascii="Times" w:hAnsi="Times"/>
          <w:noProof/>
          <w:color w:val="000000" w:themeColor="text1"/>
        </w:rPr>
        <w:t xml:space="preserve">, 2-7. </w:t>
      </w:r>
    </w:p>
    <w:p w14:paraId="633497C5"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Toda, Y., Segal, N., Toda, T., Morimoto, T., &amp; Ogawa, R. (2000). Lean body mass and body fat distribution in participants with chronic low back pain. </w:t>
      </w:r>
      <w:r w:rsidRPr="00057C64">
        <w:rPr>
          <w:rFonts w:ascii="Times" w:hAnsi="Times"/>
          <w:i/>
          <w:noProof/>
          <w:color w:val="000000" w:themeColor="text1"/>
        </w:rPr>
        <w:t>Arch Intern Med</w:t>
      </w:r>
      <w:r w:rsidRPr="00057C64">
        <w:rPr>
          <w:rFonts w:ascii="Times" w:hAnsi="Times"/>
          <w:noProof/>
          <w:color w:val="000000" w:themeColor="text1"/>
        </w:rPr>
        <w:t>,</w:t>
      </w:r>
      <w:r w:rsidRPr="00057C64">
        <w:rPr>
          <w:rFonts w:ascii="Times" w:hAnsi="Times"/>
          <w:i/>
          <w:noProof/>
          <w:color w:val="000000" w:themeColor="text1"/>
        </w:rPr>
        <w:t xml:space="preserve"> 160</w:t>
      </w:r>
      <w:r w:rsidRPr="00057C64">
        <w:rPr>
          <w:rFonts w:ascii="Times" w:hAnsi="Times"/>
          <w:noProof/>
          <w:color w:val="000000" w:themeColor="text1"/>
        </w:rPr>
        <w:t xml:space="preserve">(21), 3265-3269. </w:t>
      </w:r>
      <w:hyperlink r:id="rId54" w:history="1">
        <w:r w:rsidRPr="00057C64">
          <w:rPr>
            <w:rStyle w:val="Hyperlink"/>
            <w:rFonts w:ascii="Times" w:hAnsi="Times"/>
            <w:noProof/>
            <w:color w:val="000000" w:themeColor="text1"/>
          </w:rPr>
          <w:t>https://doi.org/10.1001/archinte.160.21.3265</w:t>
        </w:r>
      </w:hyperlink>
      <w:r w:rsidRPr="00057C64">
        <w:rPr>
          <w:rFonts w:ascii="Times" w:hAnsi="Times"/>
          <w:noProof/>
          <w:color w:val="000000" w:themeColor="text1"/>
        </w:rPr>
        <w:t xml:space="preserve"> </w:t>
      </w:r>
    </w:p>
    <w:p w14:paraId="73AF3F20"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Torensma, B., Thomassen, I., van Velzen, M., &amp; In 't Veld, B. A. (2016). Pain Experience and Perception in the Obese Subject Systematic Review (Revised Version). </w:t>
      </w:r>
      <w:r w:rsidRPr="00057C64">
        <w:rPr>
          <w:rFonts w:ascii="Times" w:hAnsi="Times"/>
          <w:i/>
          <w:noProof/>
          <w:color w:val="000000" w:themeColor="text1"/>
        </w:rPr>
        <w:t>Obes Surg</w:t>
      </w:r>
      <w:r w:rsidRPr="00057C64">
        <w:rPr>
          <w:rFonts w:ascii="Times" w:hAnsi="Times"/>
          <w:noProof/>
          <w:color w:val="000000" w:themeColor="text1"/>
        </w:rPr>
        <w:t>,</w:t>
      </w:r>
      <w:r w:rsidRPr="00057C64">
        <w:rPr>
          <w:rFonts w:ascii="Times" w:hAnsi="Times"/>
          <w:i/>
          <w:noProof/>
          <w:color w:val="000000" w:themeColor="text1"/>
        </w:rPr>
        <w:t xml:space="preserve"> 26</w:t>
      </w:r>
      <w:r w:rsidRPr="00057C64">
        <w:rPr>
          <w:rFonts w:ascii="Times" w:hAnsi="Times"/>
          <w:noProof/>
          <w:color w:val="000000" w:themeColor="text1"/>
        </w:rPr>
        <w:t xml:space="preserve">(3), 631-639. </w:t>
      </w:r>
      <w:hyperlink r:id="rId55" w:history="1">
        <w:r w:rsidRPr="00057C64">
          <w:rPr>
            <w:rStyle w:val="Hyperlink"/>
            <w:rFonts w:ascii="Times" w:hAnsi="Times"/>
            <w:noProof/>
            <w:color w:val="000000" w:themeColor="text1"/>
          </w:rPr>
          <w:t>https://doi.org/10.1007/s11695-015-2008-9</w:t>
        </w:r>
      </w:hyperlink>
      <w:r w:rsidRPr="00057C64">
        <w:rPr>
          <w:rFonts w:ascii="Times" w:hAnsi="Times"/>
          <w:noProof/>
          <w:color w:val="000000" w:themeColor="text1"/>
        </w:rPr>
        <w:t xml:space="preserve"> </w:t>
      </w:r>
    </w:p>
    <w:p w14:paraId="2515914F"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Umeda, M., &amp; Kim, Y. (2019). Gender Differences in the Prevalence of Chronic Pain and Leisure Time Physical Activity Among US Adults: A NHANES Study. </w:t>
      </w:r>
      <w:r w:rsidRPr="00057C64">
        <w:rPr>
          <w:rFonts w:ascii="Times" w:hAnsi="Times"/>
          <w:i/>
          <w:noProof/>
          <w:color w:val="000000" w:themeColor="text1"/>
        </w:rPr>
        <w:t>Int J Environ Res Public Health</w:t>
      </w:r>
      <w:r w:rsidRPr="00057C64">
        <w:rPr>
          <w:rFonts w:ascii="Times" w:hAnsi="Times"/>
          <w:noProof/>
          <w:color w:val="000000" w:themeColor="text1"/>
        </w:rPr>
        <w:t>,</w:t>
      </w:r>
      <w:r w:rsidRPr="00057C64">
        <w:rPr>
          <w:rFonts w:ascii="Times" w:hAnsi="Times"/>
          <w:i/>
          <w:noProof/>
          <w:color w:val="000000" w:themeColor="text1"/>
        </w:rPr>
        <w:t xml:space="preserve"> 16</w:t>
      </w:r>
      <w:r w:rsidRPr="00057C64">
        <w:rPr>
          <w:rFonts w:ascii="Times" w:hAnsi="Times"/>
          <w:noProof/>
          <w:color w:val="000000" w:themeColor="text1"/>
        </w:rPr>
        <w:t xml:space="preserve">(6). </w:t>
      </w:r>
      <w:hyperlink r:id="rId56" w:history="1">
        <w:r w:rsidRPr="00057C64">
          <w:rPr>
            <w:rStyle w:val="Hyperlink"/>
            <w:rFonts w:ascii="Times" w:hAnsi="Times"/>
            <w:noProof/>
            <w:color w:val="000000" w:themeColor="text1"/>
          </w:rPr>
          <w:t>https://doi.org/10.3390/ijerph16060988</w:t>
        </w:r>
      </w:hyperlink>
      <w:r w:rsidRPr="00057C64">
        <w:rPr>
          <w:rFonts w:ascii="Times" w:hAnsi="Times"/>
          <w:noProof/>
          <w:color w:val="000000" w:themeColor="text1"/>
        </w:rPr>
        <w:t xml:space="preserve"> </w:t>
      </w:r>
    </w:p>
    <w:p w14:paraId="47743FB7"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Vaegter, H. B., Fehrmann, E., Gajsar, H., &amp; Kreddig, N. (2020). Endogenous Modulation of Pain: The Role of Exercise, Stress, and Cognitions in Humans. </w:t>
      </w:r>
      <w:r w:rsidRPr="00057C64">
        <w:rPr>
          <w:rFonts w:ascii="Times" w:hAnsi="Times"/>
          <w:i/>
          <w:noProof/>
          <w:color w:val="000000" w:themeColor="text1"/>
        </w:rPr>
        <w:t>Clin J Pain</w:t>
      </w:r>
      <w:r w:rsidRPr="00057C64">
        <w:rPr>
          <w:rFonts w:ascii="Times" w:hAnsi="Times"/>
          <w:noProof/>
          <w:color w:val="000000" w:themeColor="text1"/>
        </w:rPr>
        <w:t>,</w:t>
      </w:r>
      <w:r w:rsidRPr="00057C64">
        <w:rPr>
          <w:rFonts w:ascii="Times" w:hAnsi="Times"/>
          <w:i/>
          <w:noProof/>
          <w:color w:val="000000" w:themeColor="text1"/>
        </w:rPr>
        <w:t xml:space="preserve"> 36</w:t>
      </w:r>
      <w:r w:rsidRPr="00057C64">
        <w:rPr>
          <w:rFonts w:ascii="Times" w:hAnsi="Times"/>
          <w:noProof/>
          <w:color w:val="000000" w:themeColor="text1"/>
        </w:rPr>
        <w:t xml:space="preserve">(3), 150-161. </w:t>
      </w:r>
      <w:hyperlink r:id="rId57" w:history="1">
        <w:r w:rsidRPr="00057C64">
          <w:rPr>
            <w:rStyle w:val="Hyperlink"/>
            <w:rFonts w:ascii="Times" w:hAnsi="Times"/>
            <w:noProof/>
            <w:color w:val="000000" w:themeColor="text1"/>
          </w:rPr>
          <w:t>https://doi.org/10.1097/ajp.0000000000000788</w:t>
        </w:r>
      </w:hyperlink>
      <w:r w:rsidRPr="00057C64">
        <w:rPr>
          <w:rFonts w:ascii="Times" w:hAnsi="Times"/>
          <w:noProof/>
          <w:color w:val="000000" w:themeColor="text1"/>
        </w:rPr>
        <w:t xml:space="preserve"> </w:t>
      </w:r>
    </w:p>
    <w:p w14:paraId="51BD3C47"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Vina, E. R., &amp; Kwoh, C. K. (2018). Epidemiology of osteoarthritis: literature update. </w:t>
      </w:r>
      <w:r w:rsidRPr="00057C64">
        <w:rPr>
          <w:rFonts w:ascii="Times" w:hAnsi="Times"/>
          <w:i/>
          <w:noProof/>
          <w:color w:val="000000" w:themeColor="text1"/>
        </w:rPr>
        <w:t>Curr Opin Rheumatol</w:t>
      </w:r>
      <w:r w:rsidRPr="00057C64">
        <w:rPr>
          <w:rFonts w:ascii="Times" w:hAnsi="Times"/>
          <w:noProof/>
          <w:color w:val="000000" w:themeColor="text1"/>
        </w:rPr>
        <w:t>,</w:t>
      </w:r>
      <w:r w:rsidRPr="00057C64">
        <w:rPr>
          <w:rFonts w:ascii="Times" w:hAnsi="Times"/>
          <w:i/>
          <w:noProof/>
          <w:color w:val="000000" w:themeColor="text1"/>
        </w:rPr>
        <w:t xml:space="preserve"> 30</w:t>
      </w:r>
      <w:r w:rsidRPr="00057C64">
        <w:rPr>
          <w:rFonts w:ascii="Times" w:hAnsi="Times"/>
          <w:noProof/>
          <w:color w:val="000000" w:themeColor="text1"/>
        </w:rPr>
        <w:t xml:space="preserve">(2), 160-167. </w:t>
      </w:r>
      <w:hyperlink r:id="rId58" w:history="1">
        <w:r w:rsidRPr="00057C64">
          <w:rPr>
            <w:rStyle w:val="Hyperlink"/>
            <w:rFonts w:ascii="Times" w:hAnsi="Times"/>
            <w:noProof/>
            <w:color w:val="000000" w:themeColor="text1"/>
          </w:rPr>
          <w:t>https://doi.org/10.1097/bor.0000000000000479</w:t>
        </w:r>
      </w:hyperlink>
      <w:r w:rsidRPr="00057C64">
        <w:rPr>
          <w:rFonts w:ascii="Times" w:hAnsi="Times"/>
          <w:noProof/>
          <w:color w:val="000000" w:themeColor="text1"/>
        </w:rPr>
        <w:t xml:space="preserve"> </w:t>
      </w:r>
    </w:p>
    <w:p w14:paraId="63BE3FBD"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Warburton, D. E., Nicol, C. W., &amp; Bredin, S. S. (2006). Health benefits of physical activity: the evidence. </w:t>
      </w:r>
      <w:r w:rsidRPr="00057C64">
        <w:rPr>
          <w:rFonts w:ascii="Times" w:hAnsi="Times"/>
          <w:i/>
          <w:noProof/>
          <w:color w:val="000000" w:themeColor="text1"/>
        </w:rPr>
        <w:t>Cmaj</w:t>
      </w:r>
      <w:r w:rsidRPr="00057C64">
        <w:rPr>
          <w:rFonts w:ascii="Times" w:hAnsi="Times"/>
          <w:noProof/>
          <w:color w:val="000000" w:themeColor="text1"/>
        </w:rPr>
        <w:t>,</w:t>
      </w:r>
      <w:r w:rsidRPr="00057C64">
        <w:rPr>
          <w:rFonts w:ascii="Times" w:hAnsi="Times"/>
          <w:i/>
          <w:noProof/>
          <w:color w:val="000000" w:themeColor="text1"/>
        </w:rPr>
        <w:t xml:space="preserve"> 174</w:t>
      </w:r>
      <w:r w:rsidRPr="00057C64">
        <w:rPr>
          <w:rFonts w:ascii="Times" w:hAnsi="Times"/>
          <w:noProof/>
          <w:color w:val="000000" w:themeColor="text1"/>
        </w:rPr>
        <w:t xml:space="preserve">(6), 801-809. </w:t>
      </w:r>
      <w:hyperlink r:id="rId59" w:history="1">
        <w:r w:rsidRPr="00057C64">
          <w:rPr>
            <w:rStyle w:val="Hyperlink"/>
            <w:rFonts w:ascii="Times" w:hAnsi="Times"/>
            <w:noProof/>
            <w:color w:val="000000" w:themeColor="text1"/>
          </w:rPr>
          <w:t>https://doi.org/10.1503/cmaj.051351</w:t>
        </w:r>
      </w:hyperlink>
      <w:r w:rsidRPr="00057C64">
        <w:rPr>
          <w:rFonts w:ascii="Times" w:hAnsi="Times"/>
          <w:noProof/>
          <w:color w:val="000000" w:themeColor="text1"/>
        </w:rPr>
        <w:t xml:space="preserve"> </w:t>
      </w:r>
    </w:p>
    <w:p w14:paraId="14A02E99"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Weir, C. B., &amp; Jan, A. (2021). BMI Classification Percentile And Cut Off Points. In </w:t>
      </w:r>
      <w:r w:rsidRPr="00057C64">
        <w:rPr>
          <w:rFonts w:ascii="Times" w:hAnsi="Times"/>
          <w:i/>
          <w:noProof/>
          <w:color w:val="000000" w:themeColor="text1"/>
        </w:rPr>
        <w:t>StatPearls</w:t>
      </w:r>
      <w:r w:rsidRPr="00057C64">
        <w:rPr>
          <w:rFonts w:ascii="Times" w:hAnsi="Times"/>
          <w:noProof/>
          <w:color w:val="000000" w:themeColor="text1"/>
        </w:rPr>
        <w:t>. StatPearls Publishing</w:t>
      </w:r>
    </w:p>
    <w:p w14:paraId="60285D80"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Copyright © 2021, StatPearls Publishing LLC. </w:t>
      </w:r>
    </w:p>
    <w:p w14:paraId="0797E101"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Wettstein, M., Eich, W., Bieber, C., &amp; Tesarz, J. (2019). Pain Intensity, Disability, and Quality of Life in Patients with Chronic Low Back Pain: Does Age Matter? </w:t>
      </w:r>
      <w:r w:rsidRPr="00057C64">
        <w:rPr>
          <w:rFonts w:ascii="Times" w:hAnsi="Times"/>
          <w:i/>
          <w:noProof/>
          <w:color w:val="000000" w:themeColor="text1"/>
        </w:rPr>
        <w:t>Pain Med</w:t>
      </w:r>
      <w:r w:rsidRPr="00057C64">
        <w:rPr>
          <w:rFonts w:ascii="Times" w:hAnsi="Times"/>
          <w:noProof/>
          <w:color w:val="000000" w:themeColor="text1"/>
        </w:rPr>
        <w:t>,</w:t>
      </w:r>
      <w:r w:rsidRPr="00057C64">
        <w:rPr>
          <w:rFonts w:ascii="Times" w:hAnsi="Times"/>
          <w:i/>
          <w:noProof/>
          <w:color w:val="000000" w:themeColor="text1"/>
        </w:rPr>
        <w:t xml:space="preserve"> 20</w:t>
      </w:r>
      <w:r w:rsidRPr="00057C64">
        <w:rPr>
          <w:rFonts w:ascii="Times" w:hAnsi="Times"/>
          <w:noProof/>
          <w:color w:val="000000" w:themeColor="text1"/>
        </w:rPr>
        <w:t xml:space="preserve">(3), 464-475. </w:t>
      </w:r>
      <w:hyperlink r:id="rId60" w:history="1">
        <w:r w:rsidRPr="00057C64">
          <w:rPr>
            <w:rStyle w:val="Hyperlink"/>
            <w:rFonts w:ascii="Times" w:hAnsi="Times"/>
            <w:noProof/>
            <w:color w:val="000000" w:themeColor="text1"/>
          </w:rPr>
          <w:t>https://doi.org/10.1093/pm/pny062</w:t>
        </w:r>
      </w:hyperlink>
      <w:r w:rsidRPr="00057C64">
        <w:rPr>
          <w:rFonts w:ascii="Times" w:hAnsi="Times"/>
          <w:noProof/>
          <w:color w:val="000000" w:themeColor="text1"/>
        </w:rPr>
        <w:t xml:space="preserve"> </w:t>
      </w:r>
    </w:p>
    <w:p w14:paraId="689F8D3F"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Woolf, C. J. (2010). What is this thing called pain? </w:t>
      </w:r>
      <w:r w:rsidRPr="00057C64">
        <w:rPr>
          <w:rFonts w:ascii="Times" w:hAnsi="Times"/>
          <w:i/>
          <w:noProof/>
          <w:color w:val="000000" w:themeColor="text1"/>
        </w:rPr>
        <w:t>J Clin Invest</w:t>
      </w:r>
      <w:r w:rsidRPr="00057C64">
        <w:rPr>
          <w:rFonts w:ascii="Times" w:hAnsi="Times"/>
          <w:noProof/>
          <w:color w:val="000000" w:themeColor="text1"/>
        </w:rPr>
        <w:t>,</w:t>
      </w:r>
      <w:r w:rsidRPr="00057C64">
        <w:rPr>
          <w:rFonts w:ascii="Times" w:hAnsi="Times"/>
          <w:i/>
          <w:noProof/>
          <w:color w:val="000000" w:themeColor="text1"/>
        </w:rPr>
        <w:t xml:space="preserve"> 120</w:t>
      </w:r>
      <w:r w:rsidRPr="00057C64">
        <w:rPr>
          <w:rFonts w:ascii="Times" w:hAnsi="Times"/>
          <w:noProof/>
          <w:color w:val="000000" w:themeColor="text1"/>
        </w:rPr>
        <w:t xml:space="preserve">(11), 3742-3744. </w:t>
      </w:r>
      <w:hyperlink r:id="rId61" w:history="1">
        <w:r w:rsidRPr="00057C64">
          <w:rPr>
            <w:rStyle w:val="Hyperlink"/>
            <w:rFonts w:ascii="Times" w:hAnsi="Times"/>
            <w:noProof/>
            <w:color w:val="000000" w:themeColor="text1"/>
          </w:rPr>
          <w:t>https://doi.org/10.1172/jci45178</w:t>
        </w:r>
      </w:hyperlink>
      <w:r w:rsidRPr="00057C64">
        <w:rPr>
          <w:rFonts w:ascii="Times" w:hAnsi="Times"/>
          <w:noProof/>
          <w:color w:val="000000" w:themeColor="text1"/>
        </w:rPr>
        <w:t xml:space="preserve"> </w:t>
      </w:r>
    </w:p>
    <w:p w14:paraId="4BFA9855" w14:textId="77777777" w:rsidR="00AA1251" w:rsidRPr="00057C64" w:rsidRDefault="00AA1251" w:rsidP="00AA1251">
      <w:pPr>
        <w:pStyle w:val="EndNoteBibliography"/>
        <w:ind w:left="720" w:hanging="720"/>
        <w:rPr>
          <w:rFonts w:ascii="Times" w:hAnsi="Times"/>
          <w:noProof/>
          <w:color w:val="000000" w:themeColor="text1"/>
        </w:rPr>
      </w:pPr>
      <w:r w:rsidRPr="00057C64">
        <w:rPr>
          <w:rFonts w:ascii="Times" w:hAnsi="Times"/>
          <w:noProof/>
          <w:color w:val="000000" w:themeColor="text1"/>
        </w:rPr>
        <w:t xml:space="preserve">Wyatt, R. (2013). Pain and ethnicity. </w:t>
      </w:r>
      <w:r w:rsidRPr="00057C64">
        <w:rPr>
          <w:rFonts w:ascii="Times" w:hAnsi="Times"/>
          <w:i/>
          <w:noProof/>
          <w:color w:val="000000" w:themeColor="text1"/>
        </w:rPr>
        <w:t>Virtual Mentor</w:t>
      </w:r>
      <w:r w:rsidRPr="00057C64">
        <w:rPr>
          <w:rFonts w:ascii="Times" w:hAnsi="Times"/>
          <w:noProof/>
          <w:color w:val="000000" w:themeColor="text1"/>
        </w:rPr>
        <w:t>,</w:t>
      </w:r>
      <w:r w:rsidRPr="00057C64">
        <w:rPr>
          <w:rFonts w:ascii="Times" w:hAnsi="Times"/>
          <w:i/>
          <w:noProof/>
          <w:color w:val="000000" w:themeColor="text1"/>
        </w:rPr>
        <w:t xml:space="preserve"> 15</w:t>
      </w:r>
      <w:r w:rsidRPr="00057C64">
        <w:rPr>
          <w:rFonts w:ascii="Times" w:hAnsi="Times"/>
          <w:noProof/>
          <w:color w:val="000000" w:themeColor="text1"/>
        </w:rPr>
        <w:t xml:space="preserve">(5), 449-454. </w:t>
      </w:r>
      <w:hyperlink r:id="rId62" w:history="1">
        <w:r w:rsidRPr="00057C64">
          <w:rPr>
            <w:rStyle w:val="Hyperlink"/>
            <w:rFonts w:ascii="Times" w:hAnsi="Times"/>
            <w:noProof/>
            <w:color w:val="000000" w:themeColor="text1"/>
          </w:rPr>
          <w:t>https://doi.org/10.1001/virtualmentor.2013.15.5.pfor1-1305</w:t>
        </w:r>
      </w:hyperlink>
      <w:r w:rsidRPr="00057C64">
        <w:rPr>
          <w:rFonts w:ascii="Times" w:hAnsi="Times"/>
          <w:noProof/>
          <w:color w:val="000000" w:themeColor="text1"/>
        </w:rPr>
        <w:t xml:space="preserve"> </w:t>
      </w:r>
    </w:p>
    <w:p w14:paraId="67B2C4AD" w14:textId="77777777" w:rsidR="00AA1251" w:rsidRPr="006D5514" w:rsidRDefault="00AA1251" w:rsidP="00AA1251">
      <w:r w:rsidRPr="00057C64">
        <w:fldChar w:fldCharType="end"/>
      </w:r>
    </w:p>
    <w:p w14:paraId="570E65DB" w14:textId="77777777" w:rsidR="00AA1251" w:rsidRDefault="00AA1251" w:rsidP="00AA1251">
      <w:pPr>
        <w:spacing w:line="480" w:lineRule="auto"/>
        <w:jc w:val="center"/>
        <w:rPr>
          <w:b/>
        </w:rPr>
      </w:pPr>
    </w:p>
    <w:p w14:paraId="1BD322B1" w14:textId="77777777" w:rsidR="00247505" w:rsidRDefault="00247505" w:rsidP="00AD19DF">
      <w:pPr>
        <w:spacing w:line="480" w:lineRule="auto"/>
        <w:jc w:val="both"/>
      </w:pPr>
    </w:p>
    <w:p w14:paraId="0A72FC92" w14:textId="69796599" w:rsidR="00534327" w:rsidRPr="00534327" w:rsidRDefault="003019A9" w:rsidP="00534327">
      <w:pPr>
        <w:spacing w:after="200"/>
        <w:jc w:val="center"/>
      </w:pPr>
      <w:r>
        <w:br w:type="page"/>
      </w:r>
      <w:r w:rsidR="00534327" w:rsidRPr="00534327">
        <w:rPr>
          <w:b/>
          <w:bCs/>
        </w:rPr>
        <w:lastRenderedPageBreak/>
        <w:t>APPENDIX</w:t>
      </w:r>
    </w:p>
    <w:p w14:paraId="0B8B578F" w14:textId="4D608249" w:rsidR="003019A9" w:rsidRPr="00534327" w:rsidRDefault="003019A9" w:rsidP="00534327">
      <w:pPr>
        <w:spacing w:after="200"/>
        <w:jc w:val="center"/>
        <w:rPr>
          <w:sz w:val="56"/>
          <w:szCs w:val="56"/>
        </w:rPr>
      </w:pPr>
      <w:r w:rsidRPr="00534327">
        <w:rPr>
          <w:rFonts w:ascii="Verdana" w:hAnsi="Verdana" w:cs="Times New (W1)"/>
          <w:b/>
          <w:bCs/>
          <w:caps/>
          <w:color w:val="008000"/>
          <w:sz w:val="56"/>
          <w:szCs w:val="56"/>
          <w:lang w:val="fr-FR"/>
        </w:rPr>
        <w:t>Global Physical Activity Questionnaire (GPAQ)</w:t>
      </w:r>
    </w:p>
    <w:p w14:paraId="7BAACE8E" w14:textId="77777777" w:rsidR="003019A9" w:rsidRPr="00461BAF" w:rsidRDefault="003019A9" w:rsidP="003019A9">
      <w:pPr>
        <w:pStyle w:val="BlockText"/>
        <w:ind w:right="-29"/>
        <w:rPr>
          <w:snapToGrid w:val="0"/>
          <w:color w:val="008000"/>
          <w:sz w:val="28"/>
          <w:lang w:val="fr-FR"/>
        </w:rPr>
      </w:pPr>
    </w:p>
    <w:p w14:paraId="70E210FE" w14:textId="77777777" w:rsidR="003019A9" w:rsidRPr="00461BAF" w:rsidRDefault="003019A9" w:rsidP="003019A9">
      <w:pPr>
        <w:pStyle w:val="BodyTextIndent"/>
        <w:spacing w:before="360"/>
        <w:ind w:left="0" w:right="-312" w:firstLine="0"/>
        <w:rPr>
          <w:sz w:val="48"/>
          <w:lang w:val="fr-FR"/>
        </w:rPr>
      </w:pPr>
    </w:p>
    <w:p w14:paraId="2BB2E2CD" w14:textId="77777777" w:rsidR="003019A9" w:rsidRPr="00461BAF" w:rsidRDefault="003019A9" w:rsidP="003019A9">
      <w:pPr>
        <w:pStyle w:val="BodyTextIndent"/>
        <w:spacing w:before="360"/>
        <w:ind w:left="567" w:right="-312"/>
        <w:rPr>
          <w:sz w:val="48"/>
          <w:lang w:val="fr-FR"/>
        </w:rPr>
      </w:pPr>
      <w:r w:rsidRPr="00461BAF">
        <w:rPr>
          <w:noProof/>
          <w:sz w:val="48"/>
          <w:lang w:val="fr-FR" w:eastAsia="zh-CN"/>
        </w:rPr>
        <w:drawing>
          <wp:anchor distT="0" distB="0" distL="114300" distR="114300" simplePos="0" relativeHeight="251659264" behindDoc="0" locked="0" layoutInCell="1" allowOverlap="1" wp14:anchorId="7DD658AD" wp14:editId="2314D431">
            <wp:simplePos x="0" y="0"/>
            <wp:positionH relativeFrom="column">
              <wp:posOffset>1511300</wp:posOffset>
            </wp:positionH>
            <wp:positionV relativeFrom="paragraph">
              <wp:posOffset>9525</wp:posOffset>
            </wp:positionV>
            <wp:extent cx="2895600" cy="1533525"/>
            <wp:effectExtent l="0" t="0" r="0" b="0"/>
            <wp:wrapNone/>
            <wp:docPr id="2" name="Picture 2" descr="A picture containing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picture containing map&#10;&#10;Description automatically generated"/>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9560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39623" w14:textId="77777777" w:rsidR="003019A9" w:rsidRPr="00461BAF" w:rsidRDefault="003019A9" w:rsidP="003019A9">
      <w:pPr>
        <w:pStyle w:val="BodyTextIndent"/>
        <w:spacing w:before="360"/>
        <w:ind w:left="567" w:right="-312"/>
        <w:rPr>
          <w:sz w:val="48"/>
          <w:lang w:val="fr-FR"/>
        </w:rPr>
      </w:pPr>
    </w:p>
    <w:p w14:paraId="56015D38" w14:textId="77777777" w:rsidR="003019A9" w:rsidRPr="00461BAF" w:rsidRDefault="003019A9" w:rsidP="003019A9">
      <w:pPr>
        <w:pStyle w:val="BodyTextIndent"/>
        <w:spacing w:before="360"/>
        <w:ind w:left="0" w:right="-312" w:firstLine="0"/>
        <w:rPr>
          <w:sz w:val="48"/>
          <w:lang w:val="fr-FR"/>
        </w:rPr>
      </w:pPr>
    </w:p>
    <w:p w14:paraId="2BE96372" w14:textId="77777777" w:rsidR="003019A9" w:rsidRDefault="003019A9" w:rsidP="003019A9">
      <w:pPr>
        <w:pStyle w:val="BodyTextIndent"/>
        <w:spacing w:before="360"/>
        <w:ind w:left="0" w:right="-29" w:firstLine="0"/>
        <w:rPr>
          <w:b/>
          <w:bCs/>
          <w:color w:val="009645"/>
          <w:sz w:val="46"/>
        </w:rPr>
      </w:pPr>
    </w:p>
    <w:p w14:paraId="0D6206BD" w14:textId="16468F05" w:rsidR="003019A9" w:rsidRPr="003019A9" w:rsidRDefault="003019A9" w:rsidP="003019A9">
      <w:pPr>
        <w:pStyle w:val="BodyTextIndent"/>
        <w:spacing w:before="360"/>
        <w:ind w:left="0" w:right="-29" w:firstLine="0"/>
        <w:rPr>
          <w:b/>
          <w:bCs/>
          <w:color w:val="009645"/>
          <w:sz w:val="46"/>
        </w:rPr>
      </w:pPr>
      <w:r w:rsidRPr="003019A9">
        <w:rPr>
          <w:b/>
          <w:bCs/>
          <w:color w:val="009645"/>
          <w:sz w:val="46"/>
        </w:rPr>
        <w:t>WHO STEPwise approach to NCD risk factor surveillance</w:t>
      </w:r>
    </w:p>
    <w:p w14:paraId="3BDB08DB" w14:textId="3398E1D5" w:rsidR="003019A9" w:rsidRDefault="003019A9" w:rsidP="003019A9">
      <w:pPr>
        <w:ind w:left="567"/>
        <w:outlineLvl w:val="0"/>
        <w:rPr>
          <w:color w:val="008000"/>
        </w:rPr>
      </w:pPr>
    </w:p>
    <w:p w14:paraId="0B1C84EB" w14:textId="6023EB5C" w:rsidR="003019A9" w:rsidRDefault="003019A9" w:rsidP="003019A9">
      <w:pPr>
        <w:ind w:left="567"/>
        <w:outlineLvl w:val="0"/>
        <w:rPr>
          <w:color w:val="008000"/>
        </w:rPr>
      </w:pPr>
    </w:p>
    <w:p w14:paraId="5D0906E8" w14:textId="77777777" w:rsidR="003019A9" w:rsidRPr="006C2229" w:rsidRDefault="003019A9" w:rsidP="003019A9">
      <w:pPr>
        <w:ind w:left="567"/>
        <w:outlineLvl w:val="0"/>
        <w:rPr>
          <w:color w:val="008000"/>
        </w:rPr>
      </w:pPr>
    </w:p>
    <w:p w14:paraId="5CEF8E14" w14:textId="77777777" w:rsidR="003019A9" w:rsidRPr="005C2958" w:rsidRDefault="003019A9" w:rsidP="003019A9">
      <w:pPr>
        <w:ind w:left="567"/>
        <w:outlineLvl w:val="0"/>
        <w:rPr>
          <w:color w:val="008000"/>
        </w:rPr>
      </w:pPr>
      <w:r w:rsidRPr="005C2958">
        <w:rPr>
          <w:color w:val="008000"/>
        </w:rPr>
        <w:t xml:space="preserve">Surveillance </w:t>
      </w:r>
      <w:r>
        <w:rPr>
          <w:color w:val="008000"/>
        </w:rPr>
        <w:t>and</w:t>
      </w:r>
      <w:r w:rsidRPr="005C2958">
        <w:rPr>
          <w:color w:val="008000"/>
        </w:rPr>
        <w:t xml:space="preserve"> Population-Based Prevention</w:t>
      </w:r>
    </w:p>
    <w:p w14:paraId="6D2A6AE8" w14:textId="77777777" w:rsidR="003019A9" w:rsidRPr="005C2958" w:rsidRDefault="003019A9" w:rsidP="003019A9">
      <w:pPr>
        <w:ind w:left="567"/>
        <w:outlineLvl w:val="0"/>
        <w:rPr>
          <w:color w:val="008000"/>
        </w:rPr>
      </w:pPr>
      <w:r>
        <w:rPr>
          <w:color w:val="008000"/>
        </w:rPr>
        <w:t>Prevention of Noncommunicable Diseases Department</w:t>
      </w:r>
    </w:p>
    <w:p w14:paraId="0F5437BA" w14:textId="77777777" w:rsidR="003019A9" w:rsidRPr="005C2958" w:rsidRDefault="003019A9" w:rsidP="003019A9">
      <w:pPr>
        <w:ind w:left="567"/>
        <w:rPr>
          <w:color w:val="008000"/>
        </w:rPr>
      </w:pPr>
      <w:r w:rsidRPr="005C2958">
        <w:rPr>
          <w:color w:val="008000"/>
        </w:rPr>
        <w:t>World Health Organization</w:t>
      </w:r>
    </w:p>
    <w:p w14:paraId="2CEA8E59" w14:textId="77777777" w:rsidR="003019A9" w:rsidRPr="005C2958" w:rsidRDefault="003019A9" w:rsidP="003019A9">
      <w:pPr>
        <w:tabs>
          <w:tab w:val="right" w:pos="8931"/>
        </w:tabs>
        <w:ind w:left="567" w:right="226"/>
        <w:rPr>
          <w:color w:val="008000"/>
        </w:rPr>
      </w:pPr>
      <w:r w:rsidRPr="005C2958">
        <w:rPr>
          <w:color w:val="008000"/>
        </w:rPr>
        <w:t xml:space="preserve">20 Avenue </w:t>
      </w:r>
      <w:proofErr w:type="spellStart"/>
      <w:r w:rsidRPr="005C2958">
        <w:rPr>
          <w:color w:val="008000"/>
        </w:rPr>
        <w:t>Appia</w:t>
      </w:r>
      <w:proofErr w:type="spellEnd"/>
      <w:r w:rsidRPr="005C2958">
        <w:rPr>
          <w:color w:val="008000"/>
        </w:rPr>
        <w:t>, 1211 Geneva 27, Switzerl</w:t>
      </w:r>
      <w:r>
        <w:rPr>
          <w:color w:val="008000"/>
        </w:rPr>
        <w:t>and</w:t>
      </w:r>
      <w:r w:rsidRPr="005C2958">
        <w:rPr>
          <w:color w:val="008000"/>
        </w:rPr>
        <w:tab/>
      </w:r>
    </w:p>
    <w:p w14:paraId="3D63B384" w14:textId="77777777" w:rsidR="003019A9" w:rsidRPr="005C2958" w:rsidRDefault="003019A9" w:rsidP="003019A9">
      <w:pPr>
        <w:tabs>
          <w:tab w:val="right" w:pos="8931"/>
        </w:tabs>
        <w:ind w:left="567"/>
        <w:outlineLvl w:val="0"/>
        <w:rPr>
          <w:color w:val="008000"/>
        </w:rPr>
      </w:pPr>
      <w:r w:rsidRPr="005C2958">
        <w:rPr>
          <w:iCs/>
          <w:color w:val="008000"/>
        </w:rPr>
        <w:t>For further information:</w:t>
      </w:r>
      <w:r w:rsidRPr="005C2958">
        <w:rPr>
          <w:rStyle w:val="Hyperlink"/>
          <w:iCs/>
        </w:rPr>
        <w:t xml:space="preserve"> </w:t>
      </w:r>
      <w:hyperlink r:id="rId64" w:history="1">
        <w:r w:rsidRPr="005C2958">
          <w:rPr>
            <w:rStyle w:val="Hyperlink"/>
            <w:iCs/>
          </w:rPr>
          <w:t>www.who.int/chp/steps</w:t>
        </w:r>
      </w:hyperlink>
      <w:r w:rsidRPr="005C2958">
        <w:rPr>
          <w:rStyle w:val="Hyperlink"/>
          <w:iCs/>
        </w:rPr>
        <w:t xml:space="preserve"> </w:t>
      </w:r>
    </w:p>
    <w:p w14:paraId="34EA97DC" w14:textId="77777777" w:rsidR="003019A9" w:rsidRPr="006C2229" w:rsidRDefault="003019A9" w:rsidP="003019A9">
      <w:pPr>
        <w:pStyle w:val="BlockText"/>
        <w:ind w:right="-29"/>
        <w:rPr>
          <w:b/>
          <w:color w:val="008000"/>
          <w:sz w:val="72"/>
        </w:rPr>
      </w:pPr>
    </w:p>
    <w:p w14:paraId="3C9D6FB3" w14:textId="6537FF0C" w:rsidR="003019A9" w:rsidRDefault="003019A9" w:rsidP="003019A9">
      <w:pPr>
        <w:pStyle w:val="Heading4"/>
      </w:pPr>
      <w:bookmarkStart w:id="1" w:name="_Toc196809433"/>
    </w:p>
    <w:p w14:paraId="30406E97" w14:textId="32DF5AAB" w:rsidR="00D83ADA" w:rsidRDefault="00D83ADA" w:rsidP="00D83ADA"/>
    <w:p w14:paraId="3DA6145C" w14:textId="664E7FCE" w:rsidR="00D83ADA" w:rsidRDefault="00D83ADA" w:rsidP="00D83ADA"/>
    <w:p w14:paraId="6C89E590" w14:textId="77777777" w:rsidR="00D83ADA" w:rsidRPr="00D83ADA" w:rsidRDefault="00D83ADA" w:rsidP="00D83ADA"/>
    <w:bookmarkEnd w:id="1"/>
    <w:p w14:paraId="6E4135AE" w14:textId="78884E97" w:rsidR="00D83ADA" w:rsidRDefault="00E000DF" w:rsidP="00E000DF">
      <w:pPr>
        <w:spacing w:after="200"/>
        <w:rPr>
          <w:sz w:val="10"/>
          <w:szCs w:val="10"/>
        </w:rPr>
      </w:pPr>
      <w:r>
        <w:rPr>
          <w:sz w:val="10"/>
          <w:szCs w:val="10"/>
        </w:rPr>
        <w:br w:type="page"/>
      </w:r>
      <w:r>
        <w:rPr>
          <w:noProof/>
          <w:sz w:val="10"/>
          <w:szCs w:val="10"/>
        </w:rPr>
        <w:lastRenderedPageBreak/>
        <w:drawing>
          <wp:inline distT="0" distB="0" distL="0" distR="0" wp14:anchorId="4CB00A6A" wp14:editId="50A989CA">
            <wp:extent cx="5943600" cy="7664450"/>
            <wp:effectExtent l="0" t="0" r="0" b="635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943600" cy="7664450"/>
                    </a:xfrm>
                    <a:prstGeom prst="rect">
                      <a:avLst/>
                    </a:prstGeom>
                  </pic:spPr>
                </pic:pic>
              </a:graphicData>
            </a:graphic>
          </wp:inline>
        </w:drawing>
      </w:r>
    </w:p>
    <w:p w14:paraId="203BE0CE" w14:textId="73F54CBE" w:rsidR="00E000DF" w:rsidRPr="005C2958" w:rsidRDefault="00E000DF" w:rsidP="00E000DF">
      <w:pPr>
        <w:spacing w:after="200"/>
        <w:jc w:val="center"/>
        <w:rPr>
          <w:sz w:val="10"/>
          <w:szCs w:val="10"/>
        </w:rPr>
      </w:pPr>
      <w:r>
        <w:rPr>
          <w:noProof/>
          <w:sz w:val="10"/>
          <w:szCs w:val="10"/>
        </w:rPr>
        <w:lastRenderedPageBreak/>
        <w:drawing>
          <wp:inline distT="0" distB="0" distL="0" distR="0" wp14:anchorId="248DF7DB" wp14:editId="25C2904A">
            <wp:extent cx="5943600" cy="3521075"/>
            <wp:effectExtent l="0" t="0" r="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943600" cy="3521075"/>
                    </a:xfrm>
                    <a:prstGeom prst="rect">
                      <a:avLst/>
                    </a:prstGeom>
                  </pic:spPr>
                </pic:pic>
              </a:graphicData>
            </a:graphic>
          </wp:inline>
        </w:drawing>
      </w:r>
    </w:p>
    <w:sectPr w:rsidR="00E000DF" w:rsidRPr="005C2958" w:rsidSect="00E000DF">
      <w:footerReference w:type="default" r:id="rId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3FE85" w14:textId="77777777" w:rsidR="0014490B" w:rsidRDefault="0014490B" w:rsidP="00BA2F37">
      <w:r>
        <w:separator/>
      </w:r>
    </w:p>
  </w:endnote>
  <w:endnote w:type="continuationSeparator" w:id="0">
    <w:p w14:paraId="7358ED80" w14:textId="77777777" w:rsidR="0014490B" w:rsidRDefault="0014490B" w:rsidP="00BA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altName w:val="﷽﷽﷽﷽﷽﷽ν讴"/>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W1)">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302741"/>
      <w:docPartObj>
        <w:docPartGallery w:val="Page Numbers (Bottom of Page)"/>
        <w:docPartUnique/>
      </w:docPartObj>
    </w:sdtPr>
    <w:sdtEndPr/>
    <w:sdtContent>
      <w:p w14:paraId="13774FBA" w14:textId="77777777" w:rsidR="00B73E49" w:rsidRDefault="00B73E4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ix</w:t>
        </w:r>
        <w:r w:rsidRPr="000A6765">
          <w:rPr>
            <w:rFonts w:asciiTheme="minorHAnsi" w:hAnsiTheme="minorHAnsi" w:cstheme="minorHAnsi"/>
          </w:rPr>
          <w:fldChar w:fldCharType="end"/>
        </w:r>
      </w:p>
    </w:sdtContent>
  </w:sdt>
  <w:p w14:paraId="633A4512" w14:textId="77777777" w:rsidR="00B73E49" w:rsidRDefault="00B73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11765"/>
      <w:docPartObj>
        <w:docPartGallery w:val="Page Numbers (Bottom of Page)"/>
        <w:docPartUnique/>
      </w:docPartObj>
    </w:sdtPr>
    <w:sdtEndPr/>
    <w:sdtContent>
      <w:p w14:paraId="29AD07B8" w14:textId="77777777" w:rsidR="00B73E49" w:rsidRDefault="00B73E4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38</w:t>
        </w:r>
        <w:r w:rsidRPr="000A6765">
          <w:rPr>
            <w:rFonts w:asciiTheme="minorHAnsi" w:hAnsiTheme="minorHAnsi" w:cstheme="minorHAnsi"/>
          </w:rPr>
          <w:fldChar w:fldCharType="end"/>
        </w:r>
      </w:p>
    </w:sdtContent>
  </w:sdt>
  <w:p w14:paraId="6E0DE732" w14:textId="77777777" w:rsidR="00B73E49" w:rsidRDefault="00B7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AE989" w14:textId="77777777" w:rsidR="0014490B" w:rsidRDefault="0014490B" w:rsidP="00BA2F37">
      <w:r>
        <w:separator/>
      </w:r>
    </w:p>
  </w:footnote>
  <w:footnote w:type="continuationSeparator" w:id="0">
    <w:p w14:paraId="6E3613DB" w14:textId="77777777" w:rsidR="0014490B" w:rsidRDefault="0014490B" w:rsidP="00BA2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A27A3"/>
    <w:multiLevelType w:val="multilevel"/>
    <w:tmpl w:val="7C589FF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2072F"/>
    <w:multiLevelType w:val="multilevel"/>
    <w:tmpl w:val="732A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4D0CFC"/>
    <w:multiLevelType w:val="multilevel"/>
    <w:tmpl w:val="2440FB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FD2435"/>
    <w:multiLevelType w:val="multilevel"/>
    <w:tmpl w:val="96E4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4530F9"/>
    <w:multiLevelType w:val="multilevel"/>
    <w:tmpl w:val="EBE07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1D79DD"/>
    <w:multiLevelType w:val="multilevel"/>
    <w:tmpl w:val="BA9C8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0D0E61"/>
    <w:multiLevelType w:val="multilevel"/>
    <w:tmpl w:val="0409001D"/>
    <w:styleLink w:val="Style1"/>
    <w:lvl w:ilvl="0">
      <w:start w:val="2"/>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498112F"/>
    <w:multiLevelType w:val="multilevel"/>
    <w:tmpl w:val="BCF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B400A"/>
    <w:multiLevelType w:val="multilevel"/>
    <w:tmpl w:val="E87EC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460B84"/>
    <w:multiLevelType w:val="multilevel"/>
    <w:tmpl w:val="CC268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9374B8"/>
    <w:multiLevelType w:val="multilevel"/>
    <w:tmpl w:val="1CD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020FA"/>
    <w:multiLevelType w:val="multilevel"/>
    <w:tmpl w:val="9210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2"/>
  </w:num>
  <w:num w:numId="4">
    <w:abstractNumId w:val="8"/>
  </w:num>
  <w:num w:numId="5">
    <w:abstractNumId w:val="1"/>
  </w:num>
  <w:num w:numId="6">
    <w:abstractNumId w:val="5"/>
  </w:num>
  <w:num w:numId="7">
    <w:abstractNumId w:val="3"/>
  </w:num>
  <w:num w:numId="8">
    <w:abstractNumId w:val="0"/>
  </w:num>
  <w:num w:numId="9">
    <w:abstractNumId w:val="4"/>
  </w:num>
  <w:num w:numId="10">
    <w:abstractNumId w:val="10"/>
  </w:num>
  <w:num w:numId="11">
    <w:abstractNumId w:val="11"/>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s92xx55v2s94ex5ebxad2o2xt5ptxrxwpw&quot;&gt;My EndNote Library&lt;record-ids&gt;&lt;item&gt;3&lt;/item&gt;&lt;item&gt;4&lt;/item&gt;&lt;item&gt;6&lt;/item&gt;&lt;item&gt;7&lt;/item&gt;&lt;item&gt;8&lt;/item&gt;&lt;item&gt;10&lt;/item&gt;&lt;item&gt;11&lt;/item&gt;&lt;item&gt;14&lt;/item&gt;&lt;item&gt;15&lt;/item&gt;&lt;item&gt;16&lt;/item&gt;&lt;item&gt;17&lt;/item&gt;&lt;item&gt;18&lt;/item&gt;&lt;item&gt;32&lt;/item&gt;&lt;item&gt;33&lt;/item&gt;&lt;item&gt;35&lt;/item&gt;&lt;item&gt;36&lt;/item&gt;&lt;item&gt;37&lt;/item&gt;&lt;item&gt;38&lt;/item&gt;&lt;item&gt;39&lt;/item&gt;&lt;item&gt;40&lt;/item&gt;&lt;item&gt;43&lt;/item&gt;&lt;item&gt;44&lt;/item&gt;&lt;item&gt;45&lt;/item&gt;&lt;item&gt;47&lt;/item&gt;&lt;item&gt;48&lt;/item&gt;&lt;item&gt;49&lt;/item&gt;&lt;item&gt;50&lt;/item&gt;&lt;item&gt;51&lt;/item&gt;&lt;item&gt;100&lt;/item&gt;&lt;item&gt;105&lt;/item&gt;&lt;item&gt;106&lt;/item&gt;&lt;item&gt;109&lt;/item&gt;&lt;item&gt;111&lt;/item&gt;&lt;item&gt;112&lt;/item&gt;&lt;item&gt;113&lt;/item&gt;&lt;item&gt;116&lt;/item&gt;&lt;item&gt;117&lt;/item&gt;&lt;item&gt;118&lt;/item&gt;&lt;item&gt;119&lt;/item&gt;&lt;item&gt;120&lt;/item&gt;&lt;item&gt;121&lt;/item&gt;&lt;item&gt;122&lt;/item&gt;&lt;item&gt;123&lt;/item&gt;&lt;item&gt;124&lt;/item&gt;&lt;item&gt;125&lt;/item&gt;&lt;item&gt;126&lt;/item&gt;&lt;item&gt;127&lt;/item&gt;&lt;/record-ids&gt;&lt;/item&gt;&lt;/Libraries&gt;"/>
  </w:docVars>
  <w:rsids>
    <w:rsidRoot w:val="00410044"/>
    <w:rsid w:val="000017D7"/>
    <w:rsid w:val="000038F1"/>
    <w:rsid w:val="0000508A"/>
    <w:rsid w:val="00005CA5"/>
    <w:rsid w:val="00006347"/>
    <w:rsid w:val="00011D8E"/>
    <w:rsid w:val="00017604"/>
    <w:rsid w:val="00017E6A"/>
    <w:rsid w:val="000260B6"/>
    <w:rsid w:val="00033707"/>
    <w:rsid w:val="00033C4C"/>
    <w:rsid w:val="000354F8"/>
    <w:rsid w:val="00044D58"/>
    <w:rsid w:val="00046BFA"/>
    <w:rsid w:val="00050C01"/>
    <w:rsid w:val="000515EF"/>
    <w:rsid w:val="00052454"/>
    <w:rsid w:val="00052572"/>
    <w:rsid w:val="00055643"/>
    <w:rsid w:val="00057C64"/>
    <w:rsid w:val="00060D93"/>
    <w:rsid w:val="000758D7"/>
    <w:rsid w:val="00084BEF"/>
    <w:rsid w:val="00097ED8"/>
    <w:rsid w:val="000A6765"/>
    <w:rsid w:val="000B3935"/>
    <w:rsid w:val="000C02EC"/>
    <w:rsid w:val="000C21C3"/>
    <w:rsid w:val="000C2ECB"/>
    <w:rsid w:val="000C30F1"/>
    <w:rsid w:val="000C4BA6"/>
    <w:rsid w:val="000C6B35"/>
    <w:rsid w:val="000C7F8D"/>
    <w:rsid w:val="000D50B3"/>
    <w:rsid w:val="0010349A"/>
    <w:rsid w:val="0010662A"/>
    <w:rsid w:val="00113582"/>
    <w:rsid w:val="00122F30"/>
    <w:rsid w:val="00126BEB"/>
    <w:rsid w:val="00132DEF"/>
    <w:rsid w:val="0013709A"/>
    <w:rsid w:val="0014490B"/>
    <w:rsid w:val="0014720D"/>
    <w:rsid w:val="00152FD6"/>
    <w:rsid w:val="00162A26"/>
    <w:rsid w:val="00164339"/>
    <w:rsid w:val="00174477"/>
    <w:rsid w:val="00176707"/>
    <w:rsid w:val="00180885"/>
    <w:rsid w:val="00180A1C"/>
    <w:rsid w:val="00183FBD"/>
    <w:rsid w:val="00194C6C"/>
    <w:rsid w:val="001C4CF9"/>
    <w:rsid w:val="001D39D5"/>
    <w:rsid w:val="001D3BE8"/>
    <w:rsid w:val="001E1BF5"/>
    <w:rsid w:val="001E2520"/>
    <w:rsid w:val="001F031F"/>
    <w:rsid w:val="001F1BED"/>
    <w:rsid w:val="001F533F"/>
    <w:rsid w:val="001F77E4"/>
    <w:rsid w:val="00200806"/>
    <w:rsid w:val="0021056C"/>
    <w:rsid w:val="00211F21"/>
    <w:rsid w:val="00215E20"/>
    <w:rsid w:val="00220D62"/>
    <w:rsid w:val="002306F0"/>
    <w:rsid w:val="00232B21"/>
    <w:rsid w:val="00234DEC"/>
    <w:rsid w:val="002377A5"/>
    <w:rsid w:val="00240ADF"/>
    <w:rsid w:val="00247505"/>
    <w:rsid w:val="00247C63"/>
    <w:rsid w:val="002579F4"/>
    <w:rsid w:val="00260D5C"/>
    <w:rsid w:val="00261C50"/>
    <w:rsid w:val="00263A69"/>
    <w:rsid w:val="00265344"/>
    <w:rsid w:val="00266BA8"/>
    <w:rsid w:val="002710A6"/>
    <w:rsid w:val="0027354B"/>
    <w:rsid w:val="00273B55"/>
    <w:rsid w:val="0027415E"/>
    <w:rsid w:val="002741F8"/>
    <w:rsid w:val="00285728"/>
    <w:rsid w:val="002857F7"/>
    <w:rsid w:val="00290BC1"/>
    <w:rsid w:val="002A173E"/>
    <w:rsid w:val="002A6859"/>
    <w:rsid w:val="002B1C51"/>
    <w:rsid w:val="002B2111"/>
    <w:rsid w:val="002B56EF"/>
    <w:rsid w:val="002C4F7A"/>
    <w:rsid w:val="002C5BC9"/>
    <w:rsid w:val="002D15BD"/>
    <w:rsid w:val="002D216F"/>
    <w:rsid w:val="002E2F80"/>
    <w:rsid w:val="002F2AD0"/>
    <w:rsid w:val="003019A9"/>
    <w:rsid w:val="00303341"/>
    <w:rsid w:val="00306C43"/>
    <w:rsid w:val="00307CBA"/>
    <w:rsid w:val="003104AE"/>
    <w:rsid w:val="003157D3"/>
    <w:rsid w:val="00326BDE"/>
    <w:rsid w:val="00326FFC"/>
    <w:rsid w:val="00330E10"/>
    <w:rsid w:val="00331924"/>
    <w:rsid w:val="003412E2"/>
    <w:rsid w:val="00341C0A"/>
    <w:rsid w:val="00345F8B"/>
    <w:rsid w:val="00350F52"/>
    <w:rsid w:val="00362899"/>
    <w:rsid w:val="00364025"/>
    <w:rsid w:val="00366287"/>
    <w:rsid w:val="003731AD"/>
    <w:rsid w:val="00373633"/>
    <w:rsid w:val="00375415"/>
    <w:rsid w:val="00377755"/>
    <w:rsid w:val="00380A5F"/>
    <w:rsid w:val="00386EAC"/>
    <w:rsid w:val="0039125D"/>
    <w:rsid w:val="00395083"/>
    <w:rsid w:val="00397F1E"/>
    <w:rsid w:val="003A5B67"/>
    <w:rsid w:val="003A5F0E"/>
    <w:rsid w:val="003A67CE"/>
    <w:rsid w:val="003B2082"/>
    <w:rsid w:val="003B5C93"/>
    <w:rsid w:val="003B63B9"/>
    <w:rsid w:val="003C6652"/>
    <w:rsid w:val="003D0F6C"/>
    <w:rsid w:val="003D1678"/>
    <w:rsid w:val="003E0AD1"/>
    <w:rsid w:val="003E4E53"/>
    <w:rsid w:val="003E5B12"/>
    <w:rsid w:val="003F17B6"/>
    <w:rsid w:val="00406777"/>
    <w:rsid w:val="00410044"/>
    <w:rsid w:val="0041439D"/>
    <w:rsid w:val="00415635"/>
    <w:rsid w:val="004167C7"/>
    <w:rsid w:val="00425F88"/>
    <w:rsid w:val="004406C4"/>
    <w:rsid w:val="00447F25"/>
    <w:rsid w:val="004512DC"/>
    <w:rsid w:val="004543B4"/>
    <w:rsid w:val="0045477D"/>
    <w:rsid w:val="004569C7"/>
    <w:rsid w:val="00460899"/>
    <w:rsid w:val="00460A19"/>
    <w:rsid w:val="00463812"/>
    <w:rsid w:val="004679EC"/>
    <w:rsid w:val="0047668E"/>
    <w:rsid w:val="00480311"/>
    <w:rsid w:val="00493920"/>
    <w:rsid w:val="00495AB8"/>
    <w:rsid w:val="004A11A9"/>
    <w:rsid w:val="004A1DC9"/>
    <w:rsid w:val="004B3117"/>
    <w:rsid w:val="004B34D1"/>
    <w:rsid w:val="004C482D"/>
    <w:rsid w:val="004C74A9"/>
    <w:rsid w:val="004E1E69"/>
    <w:rsid w:val="004E2958"/>
    <w:rsid w:val="004E4CEC"/>
    <w:rsid w:val="004E4D79"/>
    <w:rsid w:val="004E54BB"/>
    <w:rsid w:val="004E68F0"/>
    <w:rsid w:val="004E78A9"/>
    <w:rsid w:val="004F0133"/>
    <w:rsid w:val="004F1193"/>
    <w:rsid w:val="004F15CE"/>
    <w:rsid w:val="004F6671"/>
    <w:rsid w:val="00501EA7"/>
    <w:rsid w:val="0050347D"/>
    <w:rsid w:val="00507267"/>
    <w:rsid w:val="005121EC"/>
    <w:rsid w:val="00531B49"/>
    <w:rsid w:val="00534327"/>
    <w:rsid w:val="00537170"/>
    <w:rsid w:val="00541E1A"/>
    <w:rsid w:val="00545533"/>
    <w:rsid w:val="00547F84"/>
    <w:rsid w:val="00560D8D"/>
    <w:rsid w:val="00567503"/>
    <w:rsid w:val="00571A01"/>
    <w:rsid w:val="005745A8"/>
    <w:rsid w:val="005773F4"/>
    <w:rsid w:val="00581437"/>
    <w:rsid w:val="00582E0E"/>
    <w:rsid w:val="005876E8"/>
    <w:rsid w:val="0058778F"/>
    <w:rsid w:val="00587839"/>
    <w:rsid w:val="005A07AD"/>
    <w:rsid w:val="005A1CF2"/>
    <w:rsid w:val="005B0D6B"/>
    <w:rsid w:val="005B3371"/>
    <w:rsid w:val="005B375C"/>
    <w:rsid w:val="005C4131"/>
    <w:rsid w:val="005C5B25"/>
    <w:rsid w:val="005C6650"/>
    <w:rsid w:val="005E2E8D"/>
    <w:rsid w:val="005E78A3"/>
    <w:rsid w:val="005F4EC6"/>
    <w:rsid w:val="005F5640"/>
    <w:rsid w:val="00613170"/>
    <w:rsid w:val="0061492A"/>
    <w:rsid w:val="0062727F"/>
    <w:rsid w:val="00644DFA"/>
    <w:rsid w:val="00647822"/>
    <w:rsid w:val="006520C6"/>
    <w:rsid w:val="006555A0"/>
    <w:rsid w:val="006712D0"/>
    <w:rsid w:val="006733FC"/>
    <w:rsid w:val="00681F3D"/>
    <w:rsid w:val="006833B2"/>
    <w:rsid w:val="00690068"/>
    <w:rsid w:val="00695898"/>
    <w:rsid w:val="006A0A6B"/>
    <w:rsid w:val="006B1D1A"/>
    <w:rsid w:val="006B4BC4"/>
    <w:rsid w:val="006C519C"/>
    <w:rsid w:val="006D1546"/>
    <w:rsid w:val="006D2746"/>
    <w:rsid w:val="006D44BA"/>
    <w:rsid w:val="006D4E41"/>
    <w:rsid w:val="006D6B40"/>
    <w:rsid w:val="006E06A2"/>
    <w:rsid w:val="006E0ED3"/>
    <w:rsid w:val="006E2857"/>
    <w:rsid w:val="006F6DB2"/>
    <w:rsid w:val="00701B26"/>
    <w:rsid w:val="00701B44"/>
    <w:rsid w:val="007117F8"/>
    <w:rsid w:val="00711DD7"/>
    <w:rsid w:val="0071359B"/>
    <w:rsid w:val="00715991"/>
    <w:rsid w:val="00720052"/>
    <w:rsid w:val="00725996"/>
    <w:rsid w:val="00730EC3"/>
    <w:rsid w:val="00732E1D"/>
    <w:rsid w:val="0074010C"/>
    <w:rsid w:val="00744D14"/>
    <w:rsid w:val="00744D1D"/>
    <w:rsid w:val="00747034"/>
    <w:rsid w:val="0075105B"/>
    <w:rsid w:val="007521DA"/>
    <w:rsid w:val="00767F05"/>
    <w:rsid w:val="00770F59"/>
    <w:rsid w:val="00771817"/>
    <w:rsid w:val="00775997"/>
    <w:rsid w:val="00775A4A"/>
    <w:rsid w:val="00775E19"/>
    <w:rsid w:val="0078520D"/>
    <w:rsid w:val="00785566"/>
    <w:rsid w:val="007900C1"/>
    <w:rsid w:val="00794FF5"/>
    <w:rsid w:val="00797543"/>
    <w:rsid w:val="007A09F1"/>
    <w:rsid w:val="007A2BAE"/>
    <w:rsid w:val="007A46C1"/>
    <w:rsid w:val="007B5A63"/>
    <w:rsid w:val="007D09D4"/>
    <w:rsid w:val="007E4D82"/>
    <w:rsid w:val="007E760F"/>
    <w:rsid w:val="007F1124"/>
    <w:rsid w:val="007F24A5"/>
    <w:rsid w:val="007F6C81"/>
    <w:rsid w:val="00810527"/>
    <w:rsid w:val="00814D7C"/>
    <w:rsid w:val="00817667"/>
    <w:rsid w:val="00825565"/>
    <w:rsid w:val="00825684"/>
    <w:rsid w:val="00832FBB"/>
    <w:rsid w:val="008351BF"/>
    <w:rsid w:val="00836791"/>
    <w:rsid w:val="0086135F"/>
    <w:rsid w:val="00862FED"/>
    <w:rsid w:val="00864256"/>
    <w:rsid w:val="00864522"/>
    <w:rsid w:val="00865059"/>
    <w:rsid w:val="00890B3E"/>
    <w:rsid w:val="00893B70"/>
    <w:rsid w:val="008A356F"/>
    <w:rsid w:val="008B2645"/>
    <w:rsid w:val="008C5649"/>
    <w:rsid w:val="008D5F1E"/>
    <w:rsid w:val="008E69DA"/>
    <w:rsid w:val="008F5838"/>
    <w:rsid w:val="009029C9"/>
    <w:rsid w:val="009030B1"/>
    <w:rsid w:val="00904CE4"/>
    <w:rsid w:val="0090768C"/>
    <w:rsid w:val="00910E4B"/>
    <w:rsid w:val="009121ED"/>
    <w:rsid w:val="00915BD3"/>
    <w:rsid w:val="00916DA9"/>
    <w:rsid w:val="009172BD"/>
    <w:rsid w:val="009340E6"/>
    <w:rsid w:val="009347EB"/>
    <w:rsid w:val="009448E6"/>
    <w:rsid w:val="0095029A"/>
    <w:rsid w:val="009551D3"/>
    <w:rsid w:val="00955E32"/>
    <w:rsid w:val="00962600"/>
    <w:rsid w:val="00965ED4"/>
    <w:rsid w:val="00977683"/>
    <w:rsid w:val="009804E4"/>
    <w:rsid w:val="0098599A"/>
    <w:rsid w:val="00990777"/>
    <w:rsid w:val="00992778"/>
    <w:rsid w:val="00995758"/>
    <w:rsid w:val="00996D4C"/>
    <w:rsid w:val="009A3075"/>
    <w:rsid w:val="009A4A22"/>
    <w:rsid w:val="009A73AF"/>
    <w:rsid w:val="009B19C4"/>
    <w:rsid w:val="009C30DD"/>
    <w:rsid w:val="009C67EC"/>
    <w:rsid w:val="009D03B4"/>
    <w:rsid w:val="009E5C70"/>
    <w:rsid w:val="009E5FF5"/>
    <w:rsid w:val="009E7026"/>
    <w:rsid w:val="009E7E10"/>
    <w:rsid w:val="009F2CD2"/>
    <w:rsid w:val="009F4437"/>
    <w:rsid w:val="009F6423"/>
    <w:rsid w:val="00A0105A"/>
    <w:rsid w:val="00A042FF"/>
    <w:rsid w:val="00A05A65"/>
    <w:rsid w:val="00A10097"/>
    <w:rsid w:val="00A11618"/>
    <w:rsid w:val="00A11F9E"/>
    <w:rsid w:val="00A12F3C"/>
    <w:rsid w:val="00A14A21"/>
    <w:rsid w:val="00A16B55"/>
    <w:rsid w:val="00A414C4"/>
    <w:rsid w:val="00A43E8E"/>
    <w:rsid w:val="00A4758D"/>
    <w:rsid w:val="00A50007"/>
    <w:rsid w:val="00A5430B"/>
    <w:rsid w:val="00A56FAC"/>
    <w:rsid w:val="00A604C3"/>
    <w:rsid w:val="00A622A8"/>
    <w:rsid w:val="00A63D52"/>
    <w:rsid w:val="00A77907"/>
    <w:rsid w:val="00A8254E"/>
    <w:rsid w:val="00A825D9"/>
    <w:rsid w:val="00AA1251"/>
    <w:rsid w:val="00AB4946"/>
    <w:rsid w:val="00AC473E"/>
    <w:rsid w:val="00AD19DF"/>
    <w:rsid w:val="00AD545F"/>
    <w:rsid w:val="00AE101F"/>
    <w:rsid w:val="00AE3352"/>
    <w:rsid w:val="00AE52C6"/>
    <w:rsid w:val="00AF0959"/>
    <w:rsid w:val="00AF1E24"/>
    <w:rsid w:val="00AF256C"/>
    <w:rsid w:val="00AF4A2A"/>
    <w:rsid w:val="00B019F2"/>
    <w:rsid w:val="00B02800"/>
    <w:rsid w:val="00B05E17"/>
    <w:rsid w:val="00B06429"/>
    <w:rsid w:val="00B10FD8"/>
    <w:rsid w:val="00B16B30"/>
    <w:rsid w:val="00B1769A"/>
    <w:rsid w:val="00B24C3B"/>
    <w:rsid w:val="00B278CC"/>
    <w:rsid w:val="00B31E17"/>
    <w:rsid w:val="00B32B93"/>
    <w:rsid w:val="00B3394B"/>
    <w:rsid w:val="00B40BB6"/>
    <w:rsid w:val="00B4136F"/>
    <w:rsid w:val="00B43891"/>
    <w:rsid w:val="00B45F50"/>
    <w:rsid w:val="00B51CDE"/>
    <w:rsid w:val="00B54407"/>
    <w:rsid w:val="00B578DF"/>
    <w:rsid w:val="00B6377C"/>
    <w:rsid w:val="00B7064E"/>
    <w:rsid w:val="00B73E49"/>
    <w:rsid w:val="00B73E8C"/>
    <w:rsid w:val="00B764AB"/>
    <w:rsid w:val="00B76D10"/>
    <w:rsid w:val="00B80BE4"/>
    <w:rsid w:val="00B81013"/>
    <w:rsid w:val="00B826F5"/>
    <w:rsid w:val="00B862D7"/>
    <w:rsid w:val="00B86A9D"/>
    <w:rsid w:val="00BA2F37"/>
    <w:rsid w:val="00BB7865"/>
    <w:rsid w:val="00BC0C36"/>
    <w:rsid w:val="00BC275B"/>
    <w:rsid w:val="00BC2934"/>
    <w:rsid w:val="00BC3F98"/>
    <w:rsid w:val="00BD0AA3"/>
    <w:rsid w:val="00BD49A7"/>
    <w:rsid w:val="00BF101A"/>
    <w:rsid w:val="00BF1447"/>
    <w:rsid w:val="00BF2ABD"/>
    <w:rsid w:val="00BF7C26"/>
    <w:rsid w:val="00BF7C40"/>
    <w:rsid w:val="00C008A4"/>
    <w:rsid w:val="00C01328"/>
    <w:rsid w:val="00C01EC5"/>
    <w:rsid w:val="00C06C71"/>
    <w:rsid w:val="00C07D26"/>
    <w:rsid w:val="00C13EEF"/>
    <w:rsid w:val="00C2506D"/>
    <w:rsid w:val="00C3724B"/>
    <w:rsid w:val="00C37B32"/>
    <w:rsid w:val="00C43FF2"/>
    <w:rsid w:val="00C45C8C"/>
    <w:rsid w:val="00C513EC"/>
    <w:rsid w:val="00C51644"/>
    <w:rsid w:val="00C6529D"/>
    <w:rsid w:val="00C65E19"/>
    <w:rsid w:val="00C661F5"/>
    <w:rsid w:val="00C66A8B"/>
    <w:rsid w:val="00C75025"/>
    <w:rsid w:val="00C9028F"/>
    <w:rsid w:val="00C96990"/>
    <w:rsid w:val="00CA3D03"/>
    <w:rsid w:val="00CB425E"/>
    <w:rsid w:val="00CB5159"/>
    <w:rsid w:val="00CC4CFF"/>
    <w:rsid w:val="00CD42F8"/>
    <w:rsid w:val="00CE011C"/>
    <w:rsid w:val="00D005DF"/>
    <w:rsid w:val="00D007F0"/>
    <w:rsid w:val="00D15A56"/>
    <w:rsid w:val="00D21009"/>
    <w:rsid w:val="00D22632"/>
    <w:rsid w:val="00D25C2D"/>
    <w:rsid w:val="00D33BB8"/>
    <w:rsid w:val="00D35C59"/>
    <w:rsid w:val="00D44B44"/>
    <w:rsid w:val="00D46D98"/>
    <w:rsid w:val="00D47AA7"/>
    <w:rsid w:val="00D47ECB"/>
    <w:rsid w:val="00D8233B"/>
    <w:rsid w:val="00D83ADA"/>
    <w:rsid w:val="00D8477D"/>
    <w:rsid w:val="00D902A2"/>
    <w:rsid w:val="00D9200B"/>
    <w:rsid w:val="00D97336"/>
    <w:rsid w:val="00DA56D6"/>
    <w:rsid w:val="00DA7DA0"/>
    <w:rsid w:val="00DB1241"/>
    <w:rsid w:val="00DB1E21"/>
    <w:rsid w:val="00DB34BB"/>
    <w:rsid w:val="00DB60B0"/>
    <w:rsid w:val="00DB6B9A"/>
    <w:rsid w:val="00DB7CF0"/>
    <w:rsid w:val="00DC0921"/>
    <w:rsid w:val="00DC2DB7"/>
    <w:rsid w:val="00DC6166"/>
    <w:rsid w:val="00DD4411"/>
    <w:rsid w:val="00DE3549"/>
    <w:rsid w:val="00DE69AB"/>
    <w:rsid w:val="00DF1AFA"/>
    <w:rsid w:val="00DF3FB9"/>
    <w:rsid w:val="00DF75C8"/>
    <w:rsid w:val="00E000DF"/>
    <w:rsid w:val="00E00223"/>
    <w:rsid w:val="00E10FD1"/>
    <w:rsid w:val="00E11336"/>
    <w:rsid w:val="00E140BB"/>
    <w:rsid w:val="00E14620"/>
    <w:rsid w:val="00E178E0"/>
    <w:rsid w:val="00E21876"/>
    <w:rsid w:val="00E2205D"/>
    <w:rsid w:val="00E26976"/>
    <w:rsid w:val="00E33D4C"/>
    <w:rsid w:val="00E34CDB"/>
    <w:rsid w:val="00E41334"/>
    <w:rsid w:val="00E44B9A"/>
    <w:rsid w:val="00E63043"/>
    <w:rsid w:val="00E66618"/>
    <w:rsid w:val="00E72442"/>
    <w:rsid w:val="00E76453"/>
    <w:rsid w:val="00E852FA"/>
    <w:rsid w:val="00E90C3E"/>
    <w:rsid w:val="00E90F7F"/>
    <w:rsid w:val="00E95D82"/>
    <w:rsid w:val="00EA13B0"/>
    <w:rsid w:val="00EA2242"/>
    <w:rsid w:val="00EA2B61"/>
    <w:rsid w:val="00EB7F4D"/>
    <w:rsid w:val="00ED4FD8"/>
    <w:rsid w:val="00EF1F8A"/>
    <w:rsid w:val="00EF4046"/>
    <w:rsid w:val="00F13BB6"/>
    <w:rsid w:val="00F20E0B"/>
    <w:rsid w:val="00F25B10"/>
    <w:rsid w:val="00F402B6"/>
    <w:rsid w:val="00F40DCB"/>
    <w:rsid w:val="00F45A9A"/>
    <w:rsid w:val="00F52003"/>
    <w:rsid w:val="00F5566F"/>
    <w:rsid w:val="00F55792"/>
    <w:rsid w:val="00F56C83"/>
    <w:rsid w:val="00F6034A"/>
    <w:rsid w:val="00F903EA"/>
    <w:rsid w:val="00F90F91"/>
    <w:rsid w:val="00F9113D"/>
    <w:rsid w:val="00FA26FC"/>
    <w:rsid w:val="00FA74CC"/>
    <w:rsid w:val="00FB2298"/>
    <w:rsid w:val="00FB254A"/>
    <w:rsid w:val="00FC219B"/>
    <w:rsid w:val="00FD4EAF"/>
    <w:rsid w:val="00FE731F"/>
    <w:rsid w:val="00FF2DE5"/>
    <w:rsid w:val="00FF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6AC2B"/>
  <w15:docId w15:val="{9F84DD85-6A6C-5E4A-90A8-58E0EF1C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F0"/>
    <w:pPr>
      <w:spacing w:after="0"/>
    </w:pPr>
    <w:rPr>
      <w:rFonts w:eastAsia="Times New Roman" w:cs="Times New Roman"/>
    </w:rPr>
  </w:style>
  <w:style w:type="paragraph" w:styleId="Heading1">
    <w:name w:val="heading 1"/>
    <w:basedOn w:val="Normal"/>
    <w:next w:val="Normal"/>
    <w:link w:val="Heading1Char"/>
    <w:uiPriority w:val="9"/>
    <w:qFormat/>
    <w:rsid w:val="00862FED"/>
    <w:pPr>
      <w:keepNext/>
      <w:jc w:val="center"/>
      <w:outlineLvl w:val="0"/>
    </w:pPr>
    <w:rPr>
      <w:szCs w:val="20"/>
    </w:rPr>
  </w:style>
  <w:style w:type="paragraph" w:styleId="Heading2">
    <w:name w:val="heading 2"/>
    <w:basedOn w:val="Normal"/>
    <w:next w:val="Normal"/>
    <w:link w:val="Heading2Char"/>
    <w:qFormat/>
    <w:rsid w:val="00EA13B0"/>
    <w:pPr>
      <w:keepNext/>
      <w:outlineLvl w:val="1"/>
    </w:pPr>
    <w:rPr>
      <w:b/>
      <w:snapToGrid w:val="0"/>
      <w:szCs w:val="20"/>
    </w:rPr>
  </w:style>
  <w:style w:type="paragraph" w:styleId="Heading4">
    <w:name w:val="heading 4"/>
    <w:basedOn w:val="Normal"/>
    <w:next w:val="Normal"/>
    <w:link w:val="Heading4Char"/>
    <w:qFormat/>
    <w:rsid w:val="00EA13B0"/>
    <w:pPr>
      <w:keepNext/>
      <w:tabs>
        <w:tab w:val="left" w:pos="1440"/>
      </w:tabs>
      <w:outlineLvl w:val="3"/>
    </w:pPr>
    <w:rPr>
      <w:rFonts w:ascii="Arial" w:hAnsi="Arial"/>
      <w:szCs w:val="20"/>
    </w:rPr>
  </w:style>
  <w:style w:type="paragraph" w:styleId="Heading5">
    <w:name w:val="heading 5"/>
    <w:basedOn w:val="Normal"/>
    <w:next w:val="Normal"/>
    <w:link w:val="Heading5Char"/>
    <w:qFormat/>
    <w:rsid w:val="00EA13B0"/>
    <w:pPr>
      <w:keepNext/>
      <w:outlineLvl w:val="4"/>
    </w:pPr>
    <w:rPr>
      <w:rFonts w:ascii="Arial" w:hAnsi="Arial"/>
      <w:b/>
      <w:bCs/>
      <w:i/>
      <w:iCs/>
      <w:szCs w:val="20"/>
    </w:rPr>
  </w:style>
  <w:style w:type="paragraph" w:styleId="Heading6">
    <w:name w:val="heading 6"/>
    <w:basedOn w:val="Normal"/>
    <w:next w:val="Normal"/>
    <w:link w:val="Heading6Char"/>
    <w:qFormat/>
    <w:rsid w:val="00EA13B0"/>
    <w:pPr>
      <w:keepNext/>
      <w:ind w:left="720" w:hanging="720"/>
      <w:outlineLvl w:val="5"/>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aliases w:val="HeaderQ"/>
    <w:basedOn w:val="Normal"/>
    <w:link w:val="HeaderChar"/>
    <w:unhideWhenUsed/>
    <w:rsid w:val="00BA2F37"/>
    <w:pPr>
      <w:tabs>
        <w:tab w:val="center" w:pos="4680"/>
        <w:tab w:val="right" w:pos="9360"/>
      </w:tabs>
    </w:pPr>
  </w:style>
  <w:style w:type="character" w:customStyle="1" w:styleId="HeaderChar">
    <w:name w:val="Header Char"/>
    <w:aliases w:val="HeaderQ Char"/>
    <w:basedOn w:val="DefaultParagraphFont"/>
    <w:link w:val="Header"/>
    <w:uiPriority w:val="99"/>
    <w:rsid w:val="00BA2F37"/>
  </w:style>
  <w:style w:type="paragraph" w:styleId="Footer">
    <w:name w:val="footer"/>
    <w:basedOn w:val="Normal"/>
    <w:link w:val="FooterChar"/>
    <w:unhideWhenUsed/>
    <w:rsid w:val="00BA2F37"/>
    <w:pPr>
      <w:tabs>
        <w:tab w:val="center" w:pos="4680"/>
        <w:tab w:val="right" w:pos="9360"/>
      </w:tabs>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rPr>
      <w:rFonts w:asciiTheme="minorHAnsi" w:hAnsiTheme="minorHAnsi"/>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862FED"/>
    <w:rPr>
      <w:rFonts w:eastAsia="Times New Roman" w:cs="Times New Roman"/>
      <w:szCs w:val="20"/>
    </w:rPr>
  </w:style>
  <w:style w:type="paragraph" w:styleId="TOC2">
    <w:name w:val="toc 2"/>
    <w:basedOn w:val="Normal"/>
    <w:next w:val="Normal"/>
    <w:autoRedefine/>
    <w:uiPriority w:val="39"/>
    <w:unhideWhenUsed/>
    <w:rsid w:val="00862FED"/>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BF7C26"/>
    <w:pPr>
      <w:spacing w:before="120"/>
    </w:pPr>
    <w:rPr>
      <w:rFonts w:asciiTheme="minorHAnsi" w:hAnsiTheme="minorHAnsi" w:cstheme="minorHAnsi"/>
      <w:b/>
      <w:bCs/>
    </w:rPr>
  </w:style>
  <w:style w:type="character" w:customStyle="1" w:styleId="Heading2Char">
    <w:name w:val="Heading 2 Char"/>
    <w:basedOn w:val="DefaultParagraphFont"/>
    <w:link w:val="Heading2"/>
    <w:rsid w:val="00EA13B0"/>
    <w:rPr>
      <w:rFonts w:eastAsia="Times New Roman" w:cs="Times New Roman"/>
      <w:b/>
      <w:snapToGrid w:val="0"/>
      <w:szCs w:val="20"/>
    </w:rPr>
  </w:style>
  <w:style w:type="character" w:customStyle="1" w:styleId="Heading4Char">
    <w:name w:val="Heading 4 Char"/>
    <w:basedOn w:val="DefaultParagraphFont"/>
    <w:link w:val="Heading4"/>
    <w:rsid w:val="00EA13B0"/>
    <w:rPr>
      <w:rFonts w:ascii="Arial" w:eastAsia="Times New Roman" w:hAnsi="Arial" w:cs="Times New Roman"/>
      <w:szCs w:val="20"/>
    </w:rPr>
  </w:style>
  <w:style w:type="character" w:customStyle="1" w:styleId="Heading5Char">
    <w:name w:val="Heading 5 Char"/>
    <w:basedOn w:val="DefaultParagraphFont"/>
    <w:link w:val="Heading5"/>
    <w:rsid w:val="00EA13B0"/>
    <w:rPr>
      <w:rFonts w:ascii="Arial" w:eastAsia="Times New Roman" w:hAnsi="Arial" w:cs="Times New Roman"/>
      <w:b/>
      <w:bCs/>
      <w:i/>
      <w:iCs/>
      <w:szCs w:val="20"/>
    </w:rPr>
  </w:style>
  <w:style w:type="character" w:customStyle="1" w:styleId="Heading6Char">
    <w:name w:val="Heading 6 Char"/>
    <w:basedOn w:val="DefaultParagraphFont"/>
    <w:link w:val="Heading6"/>
    <w:rsid w:val="00EA13B0"/>
    <w:rPr>
      <w:rFonts w:ascii="Arial" w:eastAsia="Times New Roman" w:hAnsi="Arial" w:cs="Times New Roman"/>
      <w:b/>
      <w:bCs/>
      <w:i/>
      <w:iCs/>
      <w:szCs w:val="20"/>
    </w:rPr>
  </w:style>
  <w:style w:type="table" w:styleId="TableGrid">
    <w:name w:val="Table Grid"/>
    <w:basedOn w:val="TableNormal"/>
    <w:uiPriority w:val="39"/>
    <w:rsid w:val="00EA13B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13B0"/>
    <w:rPr>
      <w:sz w:val="16"/>
      <w:szCs w:val="16"/>
    </w:rPr>
  </w:style>
  <w:style w:type="paragraph" w:styleId="CommentText">
    <w:name w:val="annotation text"/>
    <w:basedOn w:val="Normal"/>
    <w:link w:val="CommentTextChar"/>
    <w:uiPriority w:val="99"/>
    <w:semiHidden/>
    <w:unhideWhenUsed/>
    <w:rsid w:val="00EA13B0"/>
    <w:rPr>
      <w:sz w:val="20"/>
      <w:szCs w:val="20"/>
    </w:rPr>
  </w:style>
  <w:style w:type="character" w:customStyle="1" w:styleId="CommentTextChar">
    <w:name w:val="Comment Text Char"/>
    <w:basedOn w:val="DefaultParagraphFont"/>
    <w:link w:val="CommentText"/>
    <w:uiPriority w:val="99"/>
    <w:semiHidden/>
    <w:rsid w:val="00EA13B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13B0"/>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EA13B0"/>
    <w:rPr>
      <w:rFonts w:eastAsia="Times New Roman" w:cs="Times New Roman"/>
      <w:b/>
      <w:bCs/>
      <w:sz w:val="20"/>
      <w:szCs w:val="20"/>
    </w:rPr>
  </w:style>
  <w:style w:type="paragraph" w:styleId="NormalWeb">
    <w:name w:val="Normal (Web)"/>
    <w:basedOn w:val="Normal"/>
    <w:uiPriority w:val="99"/>
    <w:unhideWhenUsed/>
    <w:rsid w:val="00EA13B0"/>
    <w:pPr>
      <w:spacing w:before="100" w:beforeAutospacing="1" w:after="100" w:afterAutospacing="1"/>
    </w:pPr>
  </w:style>
  <w:style w:type="paragraph" w:styleId="FootnoteText">
    <w:name w:val="footnote text"/>
    <w:basedOn w:val="Normal"/>
    <w:link w:val="FootnoteTextChar"/>
    <w:rsid w:val="00EA13B0"/>
    <w:rPr>
      <w:sz w:val="20"/>
      <w:szCs w:val="20"/>
      <w:lang w:val="en-GB"/>
    </w:rPr>
  </w:style>
  <w:style w:type="character" w:customStyle="1" w:styleId="FootnoteTextChar">
    <w:name w:val="Footnote Text Char"/>
    <w:basedOn w:val="DefaultParagraphFont"/>
    <w:link w:val="FootnoteText"/>
    <w:rsid w:val="00EA13B0"/>
    <w:rPr>
      <w:rFonts w:eastAsia="Times New Roman" w:cs="Times New Roman"/>
      <w:sz w:val="20"/>
      <w:szCs w:val="20"/>
      <w:lang w:val="en-GB"/>
    </w:rPr>
  </w:style>
  <w:style w:type="character" w:styleId="FootnoteReference">
    <w:name w:val="footnote reference"/>
    <w:rsid w:val="00EA13B0"/>
    <w:rPr>
      <w:vertAlign w:val="superscript"/>
    </w:rPr>
  </w:style>
  <w:style w:type="paragraph" w:styleId="BodyText">
    <w:name w:val="Body Text"/>
    <w:basedOn w:val="Normal"/>
    <w:link w:val="BodyTextChar"/>
    <w:semiHidden/>
    <w:rsid w:val="00EA13B0"/>
    <w:pPr>
      <w:jc w:val="center"/>
    </w:pPr>
    <w:rPr>
      <w:sz w:val="36"/>
      <w:szCs w:val="20"/>
    </w:rPr>
  </w:style>
  <w:style w:type="character" w:customStyle="1" w:styleId="BodyTextChar">
    <w:name w:val="Body Text Char"/>
    <w:basedOn w:val="DefaultParagraphFont"/>
    <w:link w:val="BodyText"/>
    <w:semiHidden/>
    <w:rsid w:val="00EA13B0"/>
    <w:rPr>
      <w:rFonts w:eastAsia="Times New Roman" w:cs="Times New Roman"/>
      <w:sz w:val="36"/>
      <w:szCs w:val="20"/>
    </w:rPr>
  </w:style>
  <w:style w:type="paragraph" w:styleId="BodyTextIndent">
    <w:name w:val="Body Text Indent"/>
    <w:basedOn w:val="Normal"/>
    <w:link w:val="BodyTextIndentChar"/>
    <w:semiHidden/>
    <w:rsid w:val="00EA13B0"/>
    <w:pPr>
      <w:ind w:left="720" w:hanging="720"/>
    </w:pPr>
    <w:rPr>
      <w:rFonts w:ascii="Arial" w:hAnsi="Arial"/>
      <w:szCs w:val="20"/>
    </w:rPr>
  </w:style>
  <w:style w:type="character" w:customStyle="1" w:styleId="BodyTextIndentChar">
    <w:name w:val="Body Text Indent Char"/>
    <w:basedOn w:val="DefaultParagraphFont"/>
    <w:link w:val="BodyTextIndent"/>
    <w:semiHidden/>
    <w:rsid w:val="00EA13B0"/>
    <w:rPr>
      <w:rFonts w:ascii="Arial" w:eastAsia="Times New Roman" w:hAnsi="Arial"/>
      <w:szCs w:val="20"/>
    </w:rPr>
  </w:style>
  <w:style w:type="paragraph" w:styleId="BodyText2">
    <w:name w:val="Body Text 2"/>
    <w:basedOn w:val="Normal"/>
    <w:link w:val="BodyText2Char"/>
    <w:semiHidden/>
    <w:rsid w:val="00EA13B0"/>
    <w:rPr>
      <w:rFonts w:ascii="Arial" w:hAnsi="Arial"/>
      <w:szCs w:val="20"/>
    </w:rPr>
  </w:style>
  <w:style w:type="character" w:customStyle="1" w:styleId="BodyText2Char">
    <w:name w:val="Body Text 2 Char"/>
    <w:basedOn w:val="DefaultParagraphFont"/>
    <w:link w:val="BodyText2"/>
    <w:semiHidden/>
    <w:rsid w:val="00EA13B0"/>
    <w:rPr>
      <w:rFonts w:ascii="Arial" w:eastAsia="Times New Roman" w:hAnsi="Arial"/>
      <w:szCs w:val="20"/>
    </w:rPr>
  </w:style>
  <w:style w:type="paragraph" w:styleId="BodyTextIndent2">
    <w:name w:val="Body Text Indent 2"/>
    <w:basedOn w:val="Normal"/>
    <w:link w:val="BodyTextIndent2Char"/>
    <w:semiHidden/>
    <w:rsid w:val="00EA13B0"/>
    <w:pPr>
      <w:tabs>
        <w:tab w:val="left" w:pos="6480"/>
      </w:tabs>
      <w:ind w:left="6480" w:hanging="6480"/>
    </w:pPr>
    <w:rPr>
      <w:rFonts w:ascii="Arial" w:hAnsi="Arial"/>
      <w:b/>
      <w:i/>
      <w:szCs w:val="20"/>
    </w:rPr>
  </w:style>
  <w:style w:type="character" w:customStyle="1" w:styleId="BodyTextIndent2Char">
    <w:name w:val="Body Text Indent 2 Char"/>
    <w:basedOn w:val="DefaultParagraphFont"/>
    <w:link w:val="BodyTextIndent2"/>
    <w:semiHidden/>
    <w:rsid w:val="00EA13B0"/>
    <w:rPr>
      <w:rFonts w:ascii="Arial" w:eastAsia="Times New Roman" w:hAnsi="Arial" w:cs="Times New Roman"/>
      <w:b/>
      <w:i/>
      <w:szCs w:val="20"/>
    </w:rPr>
  </w:style>
  <w:style w:type="numbering" w:customStyle="1" w:styleId="Style1">
    <w:name w:val="Style1"/>
    <w:uiPriority w:val="99"/>
    <w:rsid w:val="0010349A"/>
    <w:pPr>
      <w:numPr>
        <w:numId w:val="1"/>
      </w:numPr>
    </w:pPr>
  </w:style>
  <w:style w:type="paragraph" w:customStyle="1" w:styleId="EndNoteBibliographyTitle">
    <w:name w:val="EndNote Bibliography Title"/>
    <w:basedOn w:val="Normal"/>
    <w:link w:val="EndNoteBibliographyTitleChar"/>
    <w:rsid w:val="00711DD7"/>
    <w:pPr>
      <w:jc w:val="center"/>
    </w:pPr>
  </w:style>
  <w:style w:type="character" w:customStyle="1" w:styleId="EndNoteBibliographyTitleChar">
    <w:name w:val="EndNote Bibliography Title Char"/>
    <w:basedOn w:val="DefaultParagraphFont"/>
    <w:link w:val="EndNoteBibliographyTitle"/>
    <w:rsid w:val="00711DD7"/>
    <w:rPr>
      <w:rFonts w:eastAsia="Times New Roman" w:cs="Times New Roman"/>
    </w:rPr>
  </w:style>
  <w:style w:type="paragraph" w:customStyle="1" w:styleId="EndNoteBibliography">
    <w:name w:val="EndNote Bibliography"/>
    <w:basedOn w:val="Normal"/>
    <w:link w:val="EndNoteBibliographyChar"/>
    <w:rsid w:val="00711DD7"/>
  </w:style>
  <w:style w:type="character" w:customStyle="1" w:styleId="EndNoteBibliographyChar">
    <w:name w:val="EndNote Bibliography Char"/>
    <w:basedOn w:val="DefaultParagraphFont"/>
    <w:link w:val="EndNoteBibliography"/>
    <w:rsid w:val="00711DD7"/>
    <w:rPr>
      <w:rFonts w:eastAsia="Times New Roman" w:cs="Times New Roman"/>
    </w:rPr>
  </w:style>
  <w:style w:type="paragraph" w:styleId="Revision">
    <w:name w:val="Revision"/>
    <w:hidden/>
    <w:uiPriority w:val="99"/>
    <w:semiHidden/>
    <w:rsid w:val="00C01328"/>
    <w:pPr>
      <w:spacing w:after="0"/>
    </w:pPr>
    <w:rPr>
      <w:rFonts w:eastAsia="Times New Roman" w:cs="Times New Roman"/>
    </w:rPr>
  </w:style>
  <w:style w:type="character" w:customStyle="1" w:styleId="UnresolvedMention1">
    <w:name w:val="Unresolved Mention1"/>
    <w:basedOn w:val="DefaultParagraphFont"/>
    <w:uiPriority w:val="99"/>
    <w:semiHidden/>
    <w:unhideWhenUsed/>
    <w:rsid w:val="00E66618"/>
    <w:rPr>
      <w:color w:val="605E5C"/>
      <w:shd w:val="clear" w:color="auto" w:fill="E1DFDD"/>
    </w:rPr>
  </w:style>
  <w:style w:type="paragraph" w:styleId="TOCHeading">
    <w:name w:val="TOC Heading"/>
    <w:basedOn w:val="Heading1"/>
    <w:next w:val="Normal"/>
    <w:uiPriority w:val="39"/>
    <w:unhideWhenUsed/>
    <w:qFormat/>
    <w:rsid w:val="00571A01"/>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semiHidden/>
    <w:unhideWhenUsed/>
    <w:rsid w:val="00571A0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71A0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71A0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71A0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71A0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71A0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71A01"/>
    <w:pPr>
      <w:ind w:left="1920"/>
    </w:pPr>
    <w:rPr>
      <w:rFonts w:asciiTheme="minorHAnsi" w:hAnsiTheme="minorHAnsi" w:cstheme="minorHAnsi"/>
      <w:sz w:val="20"/>
      <w:szCs w:val="20"/>
    </w:rPr>
  </w:style>
  <w:style w:type="character" w:customStyle="1" w:styleId="apple-tab-span">
    <w:name w:val="apple-tab-span"/>
    <w:basedOn w:val="DefaultParagraphFont"/>
    <w:rsid w:val="00247505"/>
  </w:style>
  <w:style w:type="paragraph" w:customStyle="1" w:styleId="BlockLine">
    <w:name w:val="Block Line"/>
    <w:basedOn w:val="Normal"/>
    <w:next w:val="Normal"/>
    <w:rsid w:val="003019A9"/>
    <w:pPr>
      <w:pBdr>
        <w:top w:val="single" w:sz="6" w:space="1" w:color="auto"/>
        <w:between w:val="single" w:sz="6" w:space="1" w:color="auto"/>
      </w:pBdr>
      <w:spacing w:before="240"/>
      <w:ind w:left="1728"/>
    </w:pPr>
    <w:rPr>
      <w:color w:val="000000"/>
      <w:szCs w:val="20"/>
    </w:rPr>
  </w:style>
  <w:style w:type="paragraph" w:customStyle="1" w:styleId="ContinuedOnNextPa">
    <w:name w:val="Continued On Next Pa"/>
    <w:basedOn w:val="Normal"/>
    <w:next w:val="Normal"/>
    <w:rsid w:val="003019A9"/>
    <w:pPr>
      <w:pBdr>
        <w:top w:val="single" w:sz="6" w:space="1" w:color="auto"/>
        <w:between w:val="single" w:sz="6" w:space="1" w:color="auto"/>
      </w:pBdr>
      <w:spacing w:before="240"/>
      <w:ind w:left="1728"/>
      <w:jc w:val="right"/>
    </w:pPr>
    <w:rPr>
      <w:i/>
      <w:color w:val="000000"/>
      <w:sz w:val="20"/>
      <w:szCs w:val="20"/>
    </w:rPr>
  </w:style>
  <w:style w:type="paragraph" w:customStyle="1" w:styleId="MapTitleContinued">
    <w:name w:val="Map Title. Continued"/>
    <w:basedOn w:val="Normal"/>
    <w:next w:val="Normal"/>
    <w:rsid w:val="003019A9"/>
    <w:pPr>
      <w:spacing w:after="240"/>
    </w:pPr>
    <w:rPr>
      <w:rFonts w:ascii="Arial" w:hAnsi="Arial" w:cs="Arial"/>
      <w:b/>
      <w:color w:val="008000"/>
      <w:sz w:val="32"/>
      <w:szCs w:val="20"/>
    </w:rPr>
  </w:style>
  <w:style w:type="paragraph" w:styleId="BlockText">
    <w:name w:val="Block Text"/>
    <w:basedOn w:val="Normal"/>
    <w:rsid w:val="003019A9"/>
    <w:rPr>
      <w:color w:val="000000"/>
    </w:rPr>
  </w:style>
  <w:style w:type="character" w:customStyle="1" w:styleId="authors-list-item">
    <w:name w:val="authors-list-item"/>
    <w:basedOn w:val="DefaultParagraphFont"/>
    <w:rsid w:val="00057C64"/>
  </w:style>
  <w:style w:type="character" w:customStyle="1" w:styleId="author-sup-separator">
    <w:name w:val="author-sup-separator"/>
    <w:basedOn w:val="DefaultParagraphFont"/>
    <w:rsid w:val="00057C64"/>
  </w:style>
  <w:style w:type="character" w:customStyle="1" w:styleId="comma">
    <w:name w:val="comma"/>
    <w:basedOn w:val="DefaultParagraphFont"/>
    <w:rsid w:val="00057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29096">
      <w:bodyDiv w:val="1"/>
      <w:marLeft w:val="0"/>
      <w:marRight w:val="0"/>
      <w:marTop w:val="0"/>
      <w:marBottom w:val="0"/>
      <w:divBdr>
        <w:top w:val="none" w:sz="0" w:space="0" w:color="auto"/>
        <w:left w:val="none" w:sz="0" w:space="0" w:color="auto"/>
        <w:bottom w:val="none" w:sz="0" w:space="0" w:color="auto"/>
        <w:right w:val="none" w:sz="0" w:space="0" w:color="auto"/>
      </w:divBdr>
      <w:divsChild>
        <w:div w:id="971904215">
          <w:marLeft w:val="0"/>
          <w:marRight w:val="0"/>
          <w:marTop w:val="0"/>
          <w:marBottom w:val="0"/>
          <w:divBdr>
            <w:top w:val="none" w:sz="0" w:space="0" w:color="auto"/>
            <w:left w:val="none" w:sz="0" w:space="0" w:color="auto"/>
            <w:bottom w:val="none" w:sz="0" w:space="0" w:color="auto"/>
            <w:right w:val="none" w:sz="0" w:space="0" w:color="auto"/>
          </w:divBdr>
          <w:divsChild>
            <w:div w:id="1427269280">
              <w:marLeft w:val="0"/>
              <w:marRight w:val="0"/>
              <w:marTop w:val="0"/>
              <w:marBottom w:val="0"/>
              <w:divBdr>
                <w:top w:val="none" w:sz="0" w:space="0" w:color="auto"/>
                <w:left w:val="none" w:sz="0" w:space="0" w:color="auto"/>
                <w:bottom w:val="none" w:sz="0" w:space="0" w:color="auto"/>
                <w:right w:val="none" w:sz="0" w:space="0" w:color="auto"/>
              </w:divBdr>
              <w:divsChild>
                <w:div w:id="13072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039595">
      <w:bodyDiv w:val="1"/>
      <w:marLeft w:val="0"/>
      <w:marRight w:val="0"/>
      <w:marTop w:val="0"/>
      <w:marBottom w:val="0"/>
      <w:divBdr>
        <w:top w:val="none" w:sz="0" w:space="0" w:color="auto"/>
        <w:left w:val="none" w:sz="0" w:space="0" w:color="auto"/>
        <w:bottom w:val="none" w:sz="0" w:space="0" w:color="auto"/>
        <w:right w:val="none" w:sz="0" w:space="0" w:color="auto"/>
      </w:divBdr>
    </w:div>
    <w:div w:id="492649603">
      <w:bodyDiv w:val="1"/>
      <w:marLeft w:val="0"/>
      <w:marRight w:val="0"/>
      <w:marTop w:val="0"/>
      <w:marBottom w:val="0"/>
      <w:divBdr>
        <w:top w:val="none" w:sz="0" w:space="0" w:color="auto"/>
        <w:left w:val="none" w:sz="0" w:space="0" w:color="auto"/>
        <w:bottom w:val="none" w:sz="0" w:space="0" w:color="auto"/>
        <w:right w:val="none" w:sz="0" w:space="0" w:color="auto"/>
      </w:divBdr>
    </w:div>
    <w:div w:id="695933742">
      <w:bodyDiv w:val="1"/>
      <w:marLeft w:val="0"/>
      <w:marRight w:val="0"/>
      <w:marTop w:val="0"/>
      <w:marBottom w:val="0"/>
      <w:divBdr>
        <w:top w:val="none" w:sz="0" w:space="0" w:color="auto"/>
        <w:left w:val="none" w:sz="0" w:space="0" w:color="auto"/>
        <w:bottom w:val="none" w:sz="0" w:space="0" w:color="auto"/>
        <w:right w:val="none" w:sz="0" w:space="0" w:color="auto"/>
      </w:divBdr>
    </w:div>
    <w:div w:id="1158032847">
      <w:bodyDiv w:val="1"/>
      <w:marLeft w:val="0"/>
      <w:marRight w:val="0"/>
      <w:marTop w:val="0"/>
      <w:marBottom w:val="0"/>
      <w:divBdr>
        <w:top w:val="none" w:sz="0" w:space="0" w:color="auto"/>
        <w:left w:val="none" w:sz="0" w:space="0" w:color="auto"/>
        <w:bottom w:val="none" w:sz="0" w:space="0" w:color="auto"/>
        <w:right w:val="none" w:sz="0" w:space="0" w:color="auto"/>
      </w:divBdr>
    </w:div>
    <w:div w:id="1197113226">
      <w:bodyDiv w:val="1"/>
      <w:marLeft w:val="0"/>
      <w:marRight w:val="0"/>
      <w:marTop w:val="0"/>
      <w:marBottom w:val="0"/>
      <w:divBdr>
        <w:top w:val="none" w:sz="0" w:space="0" w:color="auto"/>
        <w:left w:val="none" w:sz="0" w:space="0" w:color="auto"/>
        <w:bottom w:val="none" w:sz="0" w:space="0" w:color="auto"/>
        <w:right w:val="none" w:sz="0" w:space="0" w:color="auto"/>
      </w:divBdr>
      <w:divsChild>
        <w:div w:id="1752385840">
          <w:marLeft w:val="0"/>
          <w:marRight w:val="0"/>
          <w:marTop w:val="0"/>
          <w:marBottom w:val="0"/>
          <w:divBdr>
            <w:top w:val="none" w:sz="0" w:space="0" w:color="auto"/>
            <w:left w:val="none" w:sz="0" w:space="0" w:color="auto"/>
            <w:bottom w:val="none" w:sz="0" w:space="0" w:color="auto"/>
            <w:right w:val="none" w:sz="0" w:space="0" w:color="auto"/>
          </w:divBdr>
          <w:divsChild>
            <w:div w:id="1561668847">
              <w:marLeft w:val="0"/>
              <w:marRight w:val="0"/>
              <w:marTop w:val="0"/>
              <w:marBottom w:val="0"/>
              <w:divBdr>
                <w:top w:val="none" w:sz="0" w:space="0" w:color="auto"/>
                <w:left w:val="none" w:sz="0" w:space="0" w:color="auto"/>
                <w:bottom w:val="none" w:sz="0" w:space="0" w:color="auto"/>
                <w:right w:val="none" w:sz="0" w:space="0" w:color="auto"/>
              </w:divBdr>
              <w:divsChild>
                <w:div w:id="21413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6769">
      <w:bodyDiv w:val="1"/>
      <w:marLeft w:val="0"/>
      <w:marRight w:val="0"/>
      <w:marTop w:val="0"/>
      <w:marBottom w:val="0"/>
      <w:divBdr>
        <w:top w:val="none" w:sz="0" w:space="0" w:color="auto"/>
        <w:left w:val="none" w:sz="0" w:space="0" w:color="auto"/>
        <w:bottom w:val="none" w:sz="0" w:space="0" w:color="auto"/>
        <w:right w:val="none" w:sz="0" w:space="0" w:color="auto"/>
      </w:divBdr>
      <w:divsChild>
        <w:div w:id="1392191407">
          <w:marLeft w:val="0"/>
          <w:marRight w:val="0"/>
          <w:marTop w:val="0"/>
          <w:marBottom w:val="0"/>
          <w:divBdr>
            <w:top w:val="none" w:sz="0" w:space="0" w:color="auto"/>
            <w:left w:val="none" w:sz="0" w:space="0" w:color="auto"/>
            <w:bottom w:val="none" w:sz="0" w:space="0" w:color="auto"/>
            <w:right w:val="none" w:sz="0" w:space="0" w:color="auto"/>
          </w:divBdr>
          <w:divsChild>
            <w:div w:id="195852655">
              <w:marLeft w:val="0"/>
              <w:marRight w:val="0"/>
              <w:marTop w:val="0"/>
              <w:marBottom w:val="0"/>
              <w:divBdr>
                <w:top w:val="none" w:sz="0" w:space="0" w:color="auto"/>
                <w:left w:val="none" w:sz="0" w:space="0" w:color="auto"/>
                <w:bottom w:val="none" w:sz="0" w:space="0" w:color="auto"/>
                <w:right w:val="none" w:sz="0" w:space="0" w:color="auto"/>
              </w:divBdr>
              <w:divsChild>
                <w:div w:id="1965308302">
                  <w:marLeft w:val="0"/>
                  <w:marRight w:val="0"/>
                  <w:marTop w:val="0"/>
                  <w:marBottom w:val="0"/>
                  <w:divBdr>
                    <w:top w:val="none" w:sz="0" w:space="0" w:color="auto"/>
                    <w:left w:val="none" w:sz="0" w:space="0" w:color="auto"/>
                    <w:bottom w:val="none" w:sz="0" w:space="0" w:color="auto"/>
                    <w:right w:val="none" w:sz="0" w:space="0" w:color="auto"/>
                  </w:divBdr>
                </w:div>
              </w:divsChild>
            </w:div>
            <w:div w:id="206450376">
              <w:marLeft w:val="0"/>
              <w:marRight w:val="0"/>
              <w:marTop w:val="0"/>
              <w:marBottom w:val="0"/>
              <w:divBdr>
                <w:top w:val="none" w:sz="0" w:space="0" w:color="auto"/>
                <w:left w:val="none" w:sz="0" w:space="0" w:color="auto"/>
                <w:bottom w:val="none" w:sz="0" w:space="0" w:color="auto"/>
                <w:right w:val="none" w:sz="0" w:space="0" w:color="auto"/>
              </w:divBdr>
              <w:divsChild>
                <w:div w:id="9842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73017">
          <w:marLeft w:val="0"/>
          <w:marRight w:val="0"/>
          <w:marTop w:val="0"/>
          <w:marBottom w:val="0"/>
          <w:divBdr>
            <w:top w:val="none" w:sz="0" w:space="0" w:color="auto"/>
            <w:left w:val="none" w:sz="0" w:space="0" w:color="auto"/>
            <w:bottom w:val="none" w:sz="0" w:space="0" w:color="auto"/>
            <w:right w:val="none" w:sz="0" w:space="0" w:color="auto"/>
          </w:divBdr>
          <w:divsChild>
            <w:div w:id="1024525571">
              <w:marLeft w:val="0"/>
              <w:marRight w:val="0"/>
              <w:marTop w:val="0"/>
              <w:marBottom w:val="0"/>
              <w:divBdr>
                <w:top w:val="none" w:sz="0" w:space="0" w:color="auto"/>
                <w:left w:val="none" w:sz="0" w:space="0" w:color="auto"/>
                <w:bottom w:val="none" w:sz="0" w:space="0" w:color="auto"/>
                <w:right w:val="none" w:sz="0" w:space="0" w:color="auto"/>
              </w:divBdr>
              <w:divsChild>
                <w:div w:id="190461107">
                  <w:marLeft w:val="0"/>
                  <w:marRight w:val="0"/>
                  <w:marTop w:val="0"/>
                  <w:marBottom w:val="0"/>
                  <w:divBdr>
                    <w:top w:val="none" w:sz="0" w:space="0" w:color="auto"/>
                    <w:left w:val="none" w:sz="0" w:space="0" w:color="auto"/>
                    <w:bottom w:val="none" w:sz="0" w:space="0" w:color="auto"/>
                    <w:right w:val="none" w:sz="0" w:space="0" w:color="auto"/>
                  </w:divBdr>
                </w:div>
              </w:divsChild>
            </w:div>
            <w:div w:id="1495297278">
              <w:marLeft w:val="0"/>
              <w:marRight w:val="0"/>
              <w:marTop w:val="0"/>
              <w:marBottom w:val="0"/>
              <w:divBdr>
                <w:top w:val="none" w:sz="0" w:space="0" w:color="auto"/>
                <w:left w:val="none" w:sz="0" w:space="0" w:color="auto"/>
                <w:bottom w:val="none" w:sz="0" w:space="0" w:color="auto"/>
                <w:right w:val="none" w:sz="0" w:space="0" w:color="auto"/>
              </w:divBdr>
              <w:divsChild>
                <w:div w:id="1964117194">
                  <w:marLeft w:val="0"/>
                  <w:marRight w:val="0"/>
                  <w:marTop w:val="0"/>
                  <w:marBottom w:val="0"/>
                  <w:divBdr>
                    <w:top w:val="none" w:sz="0" w:space="0" w:color="auto"/>
                    <w:left w:val="none" w:sz="0" w:space="0" w:color="auto"/>
                    <w:bottom w:val="none" w:sz="0" w:space="0" w:color="auto"/>
                    <w:right w:val="none" w:sz="0" w:space="0" w:color="auto"/>
                  </w:divBdr>
                </w:div>
                <w:div w:id="6622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29230">
          <w:marLeft w:val="0"/>
          <w:marRight w:val="0"/>
          <w:marTop w:val="0"/>
          <w:marBottom w:val="0"/>
          <w:divBdr>
            <w:top w:val="none" w:sz="0" w:space="0" w:color="auto"/>
            <w:left w:val="none" w:sz="0" w:space="0" w:color="auto"/>
            <w:bottom w:val="none" w:sz="0" w:space="0" w:color="auto"/>
            <w:right w:val="none" w:sz="0" w:space="0" w:color="auto"/>
          </w:divBdr>
          <w:divsChild>
            <w:div w:id="605306078">
              <w:marLeft w:val="0"/>
              <w:marRight w:val="0"/>
              <w:marTop w:val="0"/>
              <w:marBottom w:val="0"/>
              <w:divBdr>
                <w:top w:val="none" w:sz="0" w:space="0" w:color="auto"/>
                <w:left w:val="none" w:sz="0" w:space="0" w:color="auto"/>
                <w:bottom w:val="none" w:sz="0" w:space="0" w:color="auto"/>
                <w:right w:val="none" w:sz="0" w:space="0" w:color="auto"/>
              </w:divBdr>
              <w:divsChild>
                <w:div w:id="532888684">
                  <w:marLeft w:val="0"/>
                  <w:marRight w:val="0"/>
                  <w:marTop w:val="0"/>
                  <w:marBottom w:val="0"/>
                  <w:divBdr>
                    <w:top w:val="none" w:sz="0" w:space="0" w:color="auto"/>
                    <w:left w:val="none" w:sz="0" w:space="0" w:color="auto"/>
                    <w:bottom w:val="none" w:sz="0" w:space="0" w:color="auto"/>
                    <w:right w:val="none" w:sz="0" w:space="0" w:color="auto"/>
                  </w:divBdr>
                </w:div>
              </w:divsChild>
            </w:div>
            <w:div w:id="327098266">
              <w:marLeft w:val="0"/>
              <w:marRight w:val="0"/>
              <w:marTop w:val="0"/>
              <w:marBottom w:val="0"/>
              <w:divBdr>
                <w:top w:val="none" w:sz="0" w:space="0" w:color="auto"/>
                <w:left w:val="none" w:sz="0" w:space="0" w:color="auto"/>
                <w:bottom w:val="none" w:sz="0" w:space="0" w:color="auto"/>
                <w:right w:val="none" w:sz="0" w:space="0" w:color="auto"/>
              </w:divBdr>
              <w:divsChild>
                <w:div w:id="6325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89185">
          <w:marLeft w:val="0"/>
          <w:marRight w:val="0"/>
          <w:marTop w:val="0"/>
          <w:marBottom w:val="0"/>
          <w:divBdr>
            <w:top w:val="none" w:sz="0" w:space="0" w:color="auto"/>
            <w:left w:val="none" w:sz="0" w:space="0" w:color="auto"/>
            <w:bottom w:val="none" w:sz="0" w:space="0" w:color="auto"/>
            <w:right w:val="none" w:sz="0" w:space="0" w:color="auto"/>
          </w:divBdr>
          <w:divsChild>
            <w:div w:id="933324652">
              <w:marLeft w:val="0"/>
              <w:marRight w:val="0"/>
              <w:marTop w:val="0"/>
              <w:marBottom w:val="0"/>
              <w:divBdr>
                <w:top w:val="none" w:sz="0" w:space="0" w:color="auto"/>
                <w:left w:val="none" w:sz="0" w:space="0" w:color="auto"/>
                <w:bottom w:val="none" w:sz="0" w:space="0" w:color="auto"/>
                <w:right w:val="none" w:sz="0" w:space="0" w:color="auto"/>
              </w:divBdr>
              <w:divsChild>
                <w:div w:id="1155301186">
                  <w:marLeft w:val="0"/>
                  <w:marRight w:val="0"/>
                  <w:marTop w:val="0"/>
                  <w:marBottom w:val="0"/>
                  <w:divBdr>
                    <w:top w:val="none" w:sz="0" w:space="0" w:color="auto"/>
                    <w:left w:val="none" w:sz="0" w:space="0" w:color="auto"/>
                    <w:bottom w:val="none" w:sz="0" w:space="0" w:color="auto"/>
                    <w:right w:val="none" w:sz="0" w:space="0" w:color="auto"/>
                  </w:divBdr>
                </w:div>
              </w:divsChild>
            </w:div>
            <w:div w:id="1392852983">
              <w:marLeft w:val="0"/>
              <w:marRight w:val="0"/>
              <w:marTop w:val="0"/>
              <w:marBottom w:val="0"/>
              <w:divBdr>
                <w:top w:val="none" w:sz="0" w:space="0" w:color="auto"/>
                <w:left w:val="none" w:sz="0" w:space="0" w:color="auto"/>
                <w:bottom w:val="none" w:sz="0" w:space="0" w:color="auto"/>
                <w:right w:val="none" w:sz="0" w:space="0" w:color="auto"/>
              </w:divBdr>
              <w:divsChild>
                <w:div w:id="1399132407">
                  <w:marLeft w:val="0"/>
                  <w:marRight w:val="0"/>
                  <w:marTop w:val="0"/>
                  <w:marBottom w:val="0"/>
                  <w:divBdr>
                    <w:top w:val="none" w:sz="0" w:space="0" w:color="auto"/>
                    <w:left w:val="none" w:sz="0" w:space="0" w:color="auto"/>
                    <w:bottom w:val="none" w:sz="0" w:space="0" w:color="auto"/>
                    <w:right w:val="none" w:sz="0" w:space="0" w:color="auto"/>
                  </w:divBdr>
                </w:div>
              </w:divsChild>
            </w:div>
            <w:div w:id="352338781">
              <w:marLeft w:val="0"/>
              <w:marRight w:val="0"/>
              <w:marTop w:val="0"/>
              <w:marBottom w:val="0"/>
              <w:divBdr>
                <w:top w:val="none" w:sz="0" w:space="0" w:color="auto"/>
                <w:left w:val="none" w:sz="0" w:space="0" w:color="auto"/>
                <w:bottom w:val="none" w:sz="0" w:space="0" w:color="auto"/>
                <w:right w:val="none" w:sz="0" w:space="0" w:color="auto"/>
              </w:divBdr>
              <w:divsChild>
                <w:div w:id="207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5779">
          <w:marLeft w:val="0"/>
          <w:marRight w:val="0"/>
          <w:marTop w:val="0"/>
          <w:marBottom w:val="0"/>
          <w:divBdr>
            <w:top w:val="none" w:sz="0" w:space="0" w:color="auto"/>
            <w:left w:val="none" w:sz="0" w:space="0" w:color="auto"/>
            <w:bottom w:val="none" w:sz="0" w:space="0" w:color="auto"/>
            <w:right w:val="none" w:sz="0" w:space="0" w:color="auto"/>
          </w:divBdr>
          <w:divsChild>
            <w:div w:id="600333976">
              <w:marLeft w:val="0"/>
              <w:marRight w:val="0"/>
              <w:marTop w:val="0"/>
              <w:marBottom w:val="0"/>
              <w:divBdr>
                <w:top w:val="none" w:sz="0" w:space="0" w:color="auto"/>
                <w:left w:val="none" w:sz="0" w:space="0" w:color="auto"/>
                <w:bottom w:val="none" w:sz="0" w:space="0" w:color="auto"/>
                <w:right w:val="none" w:sz="0" w:space="0" w:color="auto"/>
              </w:divBdr>
              <w:divsChild>
                <w:div w:id="2111579496">
                  <w:marLeft w:val="0"/>
                  <w:marRight w:val="0"/>
                  <w:marTop w:val="0"/>
                  <w:marBottom w:val="0"/>
                  <w:divBdr>
                    <w:top w:val="none" w:sz="0" w:space="0" w:color="auto"/>
                    <w:left w:val="none" w:sz="0" w:space="0" w:color="auto"/>
                    <w:bottom w:val="none" w:sz="0" w:space="0" w:color="auto"/>
                    <w:right w:val="none" w:sz="0" w:space="0" w:color="auto"/>
                  </w:divBdr>
                </w:div>
              </w:divsChild>
            </w:div>
            <w:div w:id="617831306">
              <w:marLeft w:val="0"/>
              <w:marRight w:val="0"/>
              <w:marTop w:val="0"/>
              <w:marBottom w:val="0"/>
              <w:divBdr>
                <w:top w:val="none" w:sz="0" w:space="0" w:color="auto"/>
                <w:left w:val="none" w:sz="0" w:space="0" w:color="auto"/>
                <w:bottom w:val="none" w:sz="0" w:space="0" w:color="auto"/>
                <w:right w:val="none" w:sz="0" w:space="0" w:color="auto"/>
              </w:divBdr>
              <w:divsChild>
                <w:div w:id="104277316">
                  <w:marLeft w:val="0"/>
                  <w:marRight w:val="0"/>
                  <w:marTop w:val="0"/>
                  <w:marBottom w:val="0"/>
                  <w:divBdr>
                    <w:top w:val="none" w:sz="0" w:space="0" w:color="auto"/>
                    <w:left w:val="none" w:sz="0" w:space="0" w:color="auto"/>
                    <w:bottom w:val="none" w:sz="0" w:space="0" w:color="auto"/>
                    <w:right w:val="none" w:sz="0" w:space="0" w:color="auto"/>
                  </w:divBdr>
                </w:div>
              </w:divsChild>
            </w:div>
            <w:div w:id="637419358">
              <w:marLeft w:val="0"/>
              <w:marRight w:val="0"/>
              <w:marTop w:val="0"/>
              <w:marBottom w:val="0"/>
              <w:divBdr>
                <w:top w:val="none" w:sz="0" w:space="0" w:color="auto"/>
                <w:left w:val="none" w:sz="0" w:space="0" w:color="auto"/>
                <w:bottom w:val="none" w:sz="0" w:space="0" w:color="auto"/>
                <w:right w:val="none" w:sz="0" w:space="0" w:color="auto"/>
              </w:divBdr>
              <w:divsChild>
                <w:div w:id="1761096648">
                  <w:marLeft w:val="0"/>
                  <w:marRight w:val="0"/>
                  <w:marTop w:val="0"/>
                  <w:marBottom w:val="0"/>
                  <w:divBdr>
                    <w:top w:val="none" w:sz="0" w:space="0" w:color="auto"/>
                    <w:left w:val="none" w:sz="0" w:space="0" w:color="auto"/>
                    <w:bottom w:val="none" w:sz="0" w:space="0" w:color="auto"/>
                    <w:right w:val="none" w:sz="0" w:space="0" w:color="auto"/>
                  </w:divBdr>
                </w:div>
                <w:div w:id="462625988">
                  <w:marLeft w:val="0"/>
                  <w:marRight w:val="0"/>
                  <w:marTop w:val="0"/>
                  <w:marBottom w:val="0"/>
                  <w:divBdr>
                    <w:top w:val="none" w:sz="0" w:space="0" w:color="auto"/>
                    <w:left w:val="none" w:sz="0" w:space="0" w:color="auto"/>
                    <w:bottom w:val="none" w:sz="0" w:space="0" w:color="auto"/>
                    <w:right w:val="none" w:sz="0" w:space="0" w:color="auto"/>
                  </w:divBdr>
                </w:div>
              </w:divsChild>
            </w:div>
            <w:div w:id="1337227191">
              <w:marLeft w:val="0"/>
              <w:marRight w:val="0"/>
              <w:marTop w:val="0"/>
              <w:marBottom w:val="0"/>
              <w:divBdr>
                <w:top w:val="none" w:sz="0" w:space="0" w:color="auto"/>
                <w:left w:val="none" w:sz="0" w:space="0" w:color="auto"/>
                <w:bottom w:val="none" w:sz="0" w:space="0" w:color="auto"/>
                <w:right w:val="none" w:sz="0" w:space="0" w:color="auto"/>
              </w:divBdr>
              <w:divsChild>
                <w:div w:id="292488588">
                  <w:marLeft w:val="0"/>
                  <w:marRight w:val="0"/>
                  <w:marTop w:val="0"/>
                  <w:marBottom w:val="0"/>
                  <w:divBdr>
                    <w:top w:val="none" w:sz="0" w:space="0" w:color="auto"/>
                    <w:left w:val="none" w:sz="0" w:space="0" w:color="auto"/>
                    <w:bottom w:val="none" w:sz="0" w:space="0" w:color="auto"/>
                    <w:right w:val="none" w:sz="0" w:space="0" w:color="auto"/>
                  </w:divBdr>
                </w:div>
              </w:divsChild>
            </w:div>
            <w:div w:id="1469781064">
              <w:marLeft w:val="0"/>
              <w:marRight w:val="0"/>
              <w:marTop w:val="0"/>
              <w:marBottom w:val="0"/>
              <w:divBdr>
                <w:top w:val="none" w:sz="0" w:space="0" w:color="auto"/>
                <w:left w:val="none" w:sz="0" w:space="0" w:color="auto"/>
                <w:bottom w:val="none" w:sz="0" w:space="0" w:color="auto"/>
                <w:right w:val="none" w:sz="0" w:space="0" w:color="auto"/>
              </w:divBdr>
              <w:divsChild>
                <w:div w:id="1327981167">
                  <w:marLeft w:val="0"/>
                  <w:marRight w:val="0"/>
                  <w:marTop w:val="0"/>
                  <w:marBottom w:val="0"/>
                  <w:divBdr>
                    <w:top w:val="none" w:sz="0" w:space="0" w:color="auto"/>
                    <w:left w:val="none" w:sz="0" w:space="0" w:color="auto"/>
                    <w:bottom w:val="none" w:sz="0" w:space="0" w:color="auto"/>
                    <w:right w:val="none" w:sz="0" w:space="0" w:color="auto"/>
                  </w:divBdr>
                </w:div>
                <w:div w:id="19247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4382">
      <w:bodyDiv w:val="1"/>
      <w:marLeft w:val="0"/>
      <w:marRight w:val="0"/>
      <w:marTop w:val="0"/>
      <w:marBottom w:val="0"/>
      <w:divBdr>
        <w:top w:val="none" w:sz="0" w:space="0" w:color="auto"/>
        <w:left w:val="none" w:sz="0" w:space="0" w:color="auto"/>
        <w:bottom w:val="none" w:sz="0" w:space="0" w:color="auto"/>
        <w:right w:val="none" w:sz="0" w:space="0" w:color="auto"/>
      </w:divBdr>
    </w:div>
    <w:div w:id="1445734651">
      <w:bodyDiv w:val="1"/>
      <w:marLeft w:val="0"/>
      <w:marRight w:val="0"/>
      <w:marTop w:val="0"/>
      <w:marBottom w:val="0"/>
      <w:divBdr>
        <w:top w:val="none" w:sz="0" w:space="0" w:color="auto"/>
        <w:left w:val="none" w:sz="0" w:space="0" w:color="auto"/>
        <w:bottom w:val="none" w:sz="0" w:space="0" w:color="auto"/>
        <w:right w:val="none" w:sz="0" w:space="0" w:color="auto"/>
      </w:divBdr>
      <w:divsChild>
        <w:div w:id="1327781876">
          <w:marLeft w:val="0"/>
          <w:marRight w:val="0"/>
          <w:marTop w:val="0"/>
          <w:marBottom w:val="0"/>
          <w:divBdr>
            <w:top w:val="none" w:sz="0" w:space="0" w:color="auto"/>
            <w:left w:val="none" w:sz="0" w:space="0" w:color="auto"/>
            <w:bottom w:val="none" w:sz="0" w:space="0" w:color="auto"/>
            <w:right w:val="none" w:sz="0" w:space="0" w:color="auto"/>
          </w:divBdr>
          <w:divsChild>
            <w:div w:id="966542756">
              <w:marLeft w:val="0"/>
              <w:marRight w:val="0"/>
              <w:marTop w:val="0"/>
              <w:marBottom w:val="0"/>
              <w:divBdr>
                <w:top w:val="none" w:sz="0" w:space="0" w:color="auto"/>
                <w:left w:val="none" w:sz="0" w:space="0" w:color="auto"/>
                <w:bottom w:val="none" w:sz="0" w:space="0" w:color="auto"/>
                <w:right w:val="none" w:sz="0" w:space="0" w:color="auto"/>
              </w:divBdr>
              <w:divsChild>
                <w:div w:id="3740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5290">
      <w:bodyDiv w:val="1"/>
      <w:marLeft w:val="0"/>
      <w:marRight w:val="0"/>
      <w:marTop w:val="0"/>
      <w:marBottom w:val="0"/>
      <w:divBdr>
        <w:top w:val="none" w:sz="0" w:space="0" w:color="auto"/>
        <w:left w:val="none" w:sz="0" w:space="0" w:color="auto"/>
        <w:bottom w:val="none" w:sz="0" w:space="0" w:color="auto"/>
        <w:right w:val="none" w:sz="0" w:space="0" w:color="auto"/>
      </w:divBdr>
    </w:div>
    <w:div w:id="1659654971">
      <w:bodyDiv w:val="1"/>
      <w:marLeft w:val="0"/>
      <w:marRight w:val="0"/>
      <w:marTop w:val="0"/>
      <w:marBottom w:val="0"/>
      <w:divBdr>
        <w:top w:val="none" w:sz="0" w:space="0" w:color="auto"/>
        <w:left w:val="none" w:sz="0" w:space="0" w:color="auto"/>
        <w:bottom w:val="none" w:sz="0" w:space="0" w:color="auto"/>
        <w:right w:val="none" w:sz="0" w:space="0" w:color="auto"/>
      </w:divBdr>
      <w:divsChild>
        <w:div w:id="163479423">
          <w:marLeft w:val="0"/>
          <w:marRight w:val="0"/>
          <w:marTop w:val="0"/>
          <w:marBottom w:val="0"/>
          <w:divBdr>
            <w:top w:val="none" w:sz="0" w:space="0" w:color="auto"/>
            <w:left w:val="none" w:sz="0" w:space="0" w:color="auto"/>
            <w:bottom w:val="none" w:sz="0" w:space="0" w:color="auto"/>
            <w:right w:val="none" w:sz="0" w:space="0" w:color="auto"/>
          </w:divBdr>
          <w:divsChild>
            <w:div w:id="1008563001">
              <w:marLeft w:val="0"/>
              <w:marRight w:val="0"/>
              <w:marTop w:val="0"/>
              <w:marBottom w:val="0"/>
              <w:divBdr>
                <w:top w:val="none" w:sz="0" w:space="0" w:color="auto"/>
                <w:left w:val="none" w:sz="0" w:space="0" w:color="auto"/>
                <w:bottom w:val="none" w:sz="0" w:space="0" w:color="auto"/>
                <w:right w:val="none" w:sz="0" w:space="0" w:color="auto"/>
              </w:divBdr>
              <w:divsChild>
                <w:div w:id="18944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27629">
      <w:bodyDiv w:val="1"/>
      <w:marLeft w:val="0"/>
      <w:marRight w:val="0"/>
      <w:marTop w:val="0"/>
      <w:marBottom w:val="0"/>
      <w:divBdr>
        <w:top w:val="none" w:sz="0" w:space="0" w:color="auto"/>
        <w:left w:val="none" w:sz="0" w:space="0" w:color="auto"/>
        <w:bottom w:val="none" w:sz="0" w:space="0" w:color="auto"/>
        <w:right w:val="none" w:sz="0" w:space="0" w:color="auto"/>
      </w:divBdr>
      <w:divsChild>
        <w:div w:id="1625774072">
          <w:marLeft w:val="0"/>
          <w:marRight w:val="0"/>
          <w:marTop w:val="0"/>
          <w:marBottom w:val="0"/>
          <w:divBdr>
            <w:top w:val="none" w:sz="0" w:space="0" w:color="auto"/>
            <w:left w:val="none" w:sz="0" w:space="0" w:color="auto"/>
            <w:bottom w:val="none" w:sz="0" w:space="0" w:color="auto"/>
            <w:right w:val="none" w:sz="0" w:space="0" w:color="auto"/>
          </w:divBdr>
          <w:divsChild>
            <w:div w:id="431706756">
              <w:marLeft w:val="0"/>
              <w:marRight w:val="0"/>
              <w:marTop w:val="0"/>
              <w:marBottom w:val="0"/>
              <w:divBdr>
                <w:top w:val="none" w:sz="0" w:space="0" w:color="auto"/>
                <w:left w:val="none" w:sz="0" w:space="0" w:color="auto"/>
                <w:bottom w:val="none" w:sz="0" w:space="0" w:color="auto"/>
                <w:right w:val="none" w:sz="0" w:space="0" w:color="auto"/>
              </w:divBdr>
              <w:divsChild>
                <w:div w:id="148593124">
                  <w:marLeft w:val="0"/>
                  <w:marRight w:val="0"/>
                  <w:marTop w:val="0"/>
                  <w:marBottom w:val="0"/>
                  <w:divBdr>
                    <w:top w:val="none" w:sz="0" w:space="0" w:color="auto"/>
                    <w:left w:val="none" w:sz="0" w:space="0" w:color="auto"/>
                    <w:bottom w:val="none" w:sz="0" w:space="0" w:color="auto"/>
                    <w:right w:val="none" w:sz="0" w:space="0" w:color="auto"/>
                  </w:divBdr>
                </w:div>
              </w:divsChild>
            </w:div>
            <w:div w:id="377819699">
              <w:marLeft w:val="0"/>
              <w:marRight w:val="0"/>
              <w:marTop w:val="0"/>
              <w:marBottom w:val="0"/>
              <w:divBdr>
                <w:top w:val="none" w:sz="0" w:space="0" w:color="auto"/>
                <w:left w:val="none" w:sz="0" w:space="0" w:color="auto"/>
                <w:bottom w:val="none" w:sz="0" w:space="0" w:color="auto"/>
                <w:right w:val="none" w:sz="0" w:space="0" w:color="auto"/>
              </w:divBdr>
              <w:divsChild>
                <w:div w:id="1090783203">
                  <w:marLeft w:val="0"/>
                  <w:marRight w:val="0"/>
                  <w:marTop w:val="0"/>
                  <w:marBottom w:val="0"/>
                  <w:divBdr>
                    <w:top w:val="none" w:sz="0" w:space="0" w:color="auto"/>
                    <w:left w:val="none" w:sz="0" w:space="0" w:color="auto"/>
                    <w:bottom w:val="none" w:sz="0" w:space="0" w:color="auto"/>
                    <w:right w:val="none" w:sz="0" w:space="0" w:color="auto"/>
                  </w:divBdr>
                </w:div>
                <w:div w:id="322124031">
                  <w:marLeft w:val="0"/>
                  <w:marRight w:val="0"/>
                  <w:marTop w:val="0"/>
                  <w:marBottom w:val="0"/>
                  <w:divBdr>
                    <w:top w:val="none" w:sz="0" w:space="0" w:color="auto"/>
                    <w:left w:val="none" w:sz="0" w:space="0" w:color="auto"/>
                    <w:bottom w:val="none" w:sz="0" w:space="0" w:color="auto"/>
                    <w:right w:val="none" w:sz="0" w:space="0" w:color="auto"/>
                  </w:divBdr>
                </w:div>
              </w:divsChild>
            </w:div>
            <w:div w:id="546835903">
              <w:marLeft w:val="0"/>
              <w:marRight w:val="0"/>
              <w:marTop w:val="0"/>
              <w:marBottom w:val="0"/>
              <w:divBdr>
                <w:top w:val="none" w:sz="0" w:space="0" w:color="auto"/>
                <w:left w:val="none" w:sz="0" w:space="0" w:color="auto"/>
                <w:bottom w:val="none" w:sz="0" w:space="0" w:color="auto"/>
                <w:right w:val="none" w:sz="0" w:space="0" w:color="auto"/>
              </w:divBdr>
              <w:divsChild>
                <w:div w:id="9670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590/0004-282x20150064" TargetMode="External"/><Relationship Id="rId21" Type="http://schemas.openxmlformats.org/officeDocument/2006/relationships/hyperlink" Target="https://doi.org/10.15585/mmwr.mm6736a2" TargetMode="External"/><Relationship Id="rId42" Type="http://schemas.openxmlformats.org/officeDocument/2006/relationships/hyperlink" Target="https://doi.org/10.1016/j.jpain.2012.09.006" TargetMode="External"/><Relationship Id="rId47" Type="http://schemas.openxmlformats.org/officeDocument/2006/relationships/hyperlink" Target="https://doi.org/10.1016/j.pain.2010.08.043" TargetMode="External"/><Relationship Id="rId63" Type="http://schemas.openxmlformats.org/officeDocument/2006/relationships/image" Target="media/image1.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978-981-15-1792-1_16" TargetMode="External"/><Relationship Id="rId29" Type="http://schemas.openxmlformats.org/officeDocument/2006/relationships/hyperlink" Target="https://doi.org/10.1038/nm.2231" TargetMode="External"/><Relationship Id="rId11" Type="http://schemas.openxmlformats.org/officeDocument/2006/relationships/hyperlink" Target="https://doi.org/10.1038/sj.ijo.0803715" TargetMode="External"/><Relationship Id="rId24" Type="http://schemas.openxmlformats.org/officeDocument/2006/relationships/hyperlink" Target="https://doi.org/10.1155/2015/490610" TargetMode="External"/><Relationship Id="rId32" Type="http://schemas.openxmlformats.org/officeDocument/2006/relationships/hyperlink" Target="https://doi.org/10.5812/aapm.95776" TargetMode="External"/><Relationship Id="rId37" Type="http://schemas.openxmlformats.org/officeDocument/2006/relationships/hyperlink" Target="https://doi.org/10.1590/s0034-8910.2015049005874" TargetMode="External"/><Relationship Id="rId40" Type="http://schemas.openxmlformats.org/officeDocument/2006/relationships/hyperlink" Target="https://doi.org/10.1186/s12889-015-1429-7" TargetMode="External"/><Relationship Id="rId45" Type="http://schemas.openxmlformats.org/officeDocument/2006/relationships/hyperlink" Target="https://doi.org/10.4415/ann_16_02_09" TargetMode="External"/><Relationship Id="rId53" Type="http://schemas.openxmlformats.org/officeDocument/2006/relationships/hyperlink" Target="https://doi.org/10.1100/2012/167520" TargetMode="External"/><Relationship Id="rId58" Type="http://schemas.openxmlformats.org/officeDocument/2006/relationships/hyperlink" Target="https://doi.org/10.1097/bor.0000000000000479" TargetMode="External"/><Relationship Id="rId66" Type="http://schemas.openxmlformats.org/officeDocument/2006/relationships/image" Target="media/image3.png"/><Relationship Id="rId5" Type="http://schemas.openxmlformats.org/officeDocument/2006/relationships/webSettings" Target="webSettings.xml"/><Relationship Id="rId61" Type="http://schemas.openxmlformats.org/officeDocument/2006/relationships/hyperlink" Target="https://doi.org/10.1172/jci45178" TargetMode="External"/><Relationship Id="rId19" Type="http://schemas.openxmlformats.org/officeDocument/2006/relationships/hyperlink" Target="https://doi.org/10.1038/ijo.2011.103" TargetMode="External"/><Relationship Id="rId14" Type="http://schemas.openxmlformats.org/officeDocument/2006/relationships/hyperlink" Target="https://doi.org/10.1002/cphy.c110025" TargetMode="External"/><Relationship Id="rId22" Type="http://schemas.openxmlformats.org/officeDocument/2006/relationships/hyperlink" Target="https://doi.org/10.1016/j.mcna.2015.08.012" TargetMode="External"/><Relationship Id="rId27" Type="http://schemas.openxmlformats.org/officeDocument/2006/relationships/hyperlink" Target="https://doi.org/10.1136/ard.2006.067470" TargetMode="External"/><Relationship Id="rId30" Type="http://schemas.openxmlformats.org/officeDocument/2006/relationships/hyperlink" Target="https://doi.org/10.1113/jp273355" TargetMode="External"/><Relationship Id="rId35" Type="http://schemas.openxmlformats.org/officeDocument/2006/relationships/hyperlink" Target="https://doi.org/10.1016/0165-1781(83)90099-9" TargetMode="External"/><Relationship Id="rId43" Type="http://schemas.openxmlformats.org/officeDocument/2006/relationships/hyperlink" Target="https://doi.org/10.1113/jp276011" TargetMode="External"/><Relationship Id="rId48" Type="http://schemas.openxmlformats.org/officeDocument/2006/relationships/hyperlink" Target="https://doi.org/10.1136/ard.2004.028746" TargetMode="External"/><Relationship Id="rId56" Type="http://schemas.openxmlformats.org/officeDocument/2006/relationships/hyperlink" Target="https://doi.org/10.3390/ijerph16060988" TargetMode="External"/><Relationship Id="rId64" Type="http://schemas.openxmlformats.org/officeDocument/2006/relationships/hyperlink" Target="http://www.who.int/chp/steps" TargetMode="External"/><Relationship Id="rId69"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hyperlink" Target="https://doi.org/10.1186/s13293-018-0189-3" TargetMode="External"/><Relationship Id="rId3" Type="http://schemas.openxmlformats.org/officeDocument/2006/relationships/styles" Target="styles.xml"/><Relationship Id="rId12" Type="http://schemas.openxmlformats.org/officeDocument/2006/relationships/hyperlink" Target="https://doi.org/10.1007/s11926-013-0390-7" TargetMode="External"/><Relationship Id="rId17" Type="http://schemas.openxmlformats.org/officeDocument/2006/relationships/hyperlink" Target="https://doi.org/10.1016/j.nec.2014.06.001" TargetMode="External"/><Relationship Id="rId25" Type="http://schemas.openxmlformats.org/officeDocument/2006/relationships/hyperlink" Target="https://doi.org/10.7326/0003-4819-134-7-200104030-00007" TargetMode="External"/><Relationship Id="rId33" Type="http://schemas.openxmlformats.org/officeDocument/2006/relationships/hyperlink" Target="https://doi.org/10.1016/j.arr.2011.03.003" TargetMode="External"/><Relationship Id="rId38" Type="http://schemas.openxmlformats.org/officeDocument/2006/relationships/hyperlink" Target="https://doi.org/10.1016/j.bja.2019.03.023" TargetMode="External"/><Relationship Id="rId46" Type="http://schemas.openxmlformats.org/officeDocument/2006/relationships/hyperlink" Target="https://doi.org/10.1002/j.1532-2149.2013.00315.x" TargetMode="External"/><Relationship Id="rId59" Type="http://schemas.openxmlformats.org/officeDocument/2006/relationships/hyperlink" Target="https://doi.org/10.1503/cmaj.051351" TargetMode="External"/><Relationship Id="rId67" Type="http://schemas.openxmlformats.org/officeDocument/2006/relationships/footer" Target="footer2.xml"/><Relationship Id="rId20" Type="http://schemas.openxmlformats.org/officeDocument/2006/relationships/hyperlink" Target="https://doi.org/10.3390/nu11051193" TargetMode="External"/><Relationship Id="rId41" Type="http://schemas.openxmlformats.org/officeDocument/2006/relationships/hyperlink" Target="https://doi.org/10.1016/j.jpain.2015.05.002" TargetMode="External"/><Relationship Id="rId54" Type="http://schemas.openxmlformats.org/officeDocument/2006/relationships/hyperlink" Target="https://doi.org/10.1001/archinte.160.21.3265" TargetMode="External"/><Relationship Id="rId62" Type="http://schemas.openxmlformats.org/officeDocument/2006/relationships/hyperlink" Target="https://doi.org/10.1001/virtualmentor.2013.15.5.pfor1-1305"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2/msc.1191" TargetMode="External"/><Relationship Id="rId23" Type="http://schemas.openxmlformats.org/officeDocument/2006/relationships/hyperlink" Target="https://doi.org/10.1111/imj.13007" TargetMode="External"/><Relationship Id="rId28" Type="http://schemas.openxmlformats.org/officeDocument/2006/relationships/hyperlink" Target="https://doi.org/10.1016/j.jpain.2017.07.005" TargetMode="External"/><Relationship Id="rId36" Type="http://schemas.openxmlformats.org/officeDocument/2006/relationships/hyperlink" Target="https://doi.org/10.1126/science.150.3699.971" TargetMode="External"/><Relationship Id="rId49" Type="http://schemas.openxmlformats.org/officeDocument/2006/relationships/hyperlink" Target="https://doi.org/10.1016/s0006-8993(96)01164-x" TargetMode="External"/><Relationship Id="rId57" Type="http://schemas.openxmlformats.org/officeDocument/2006/relationships/hyperlink" Target="https://doi.org/10.1097/ajp.0000000000000788" TargetMode="External"/><Relationship Id="rId10" Type="http://schemas.openxmlformats.org/officeDocument/2006/relationships/hyperlink" Target="https://doi.org/10.1016/j.berh.2015.04.022" TargetMode="External"/><Relationship Id="rId31" Type="http://schemas.openxmlformats.org/officeDocument/2006/relationships/hyperlink" Target="https://doi.org/10.1002/art.34453" TargetMode="External"/><Relationship Id="rId44" Type="http://schemas.openxmlformats.org/officeDocument/2006/relationships/hyperlink" Target="https://doi.org/10.1007/s11914-018-0477-1" TargetMode="External"/><Relationship Id="rId52" Type="http://schemas.openxmlformats.org/officeDocument/2006/relationships/hyperlink" Target="https://doi.org/10.1186/2045-709x-21-15" TargetMode="External"/><Relationship Id="rId60" Type="http://schemas.openxmlformats.org/officeDocument/2006/relationships/hyperlink" Target="https://doi.org/10.1093/pm/pny062" TargetMode="External"/><Relationship Id="rId65"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1136/bmjopen-2016-014537" TargetMode="External"/><Relationship Id="rId13" Type="http://schemas.openxmlformats.org/officeDocument/2006/relationships/hyperlink" Target="https://doi.org/10.1016/j.berh.2017.10.004" TargetMode="External"/><Relationship Id="rId18" Type="http://schemas.openxmlformats.org/officeDocument/2006/relationships/hyperlink" Target="https://doi.org/10.1186/s13075-019-1953-4" TargetMode="External"/><Relationship Id="rId39" Type="http://schemas.openxmlformats.org/officeDocument/2006/relationships/hyperlink" Target="https://doi.org/10.1016/j.neuroscience.2016.05.017" TargetMode="External"/><Relationship Id="rId34" Type="http://schemas.openxmlformats.org/officeDocument/2006/relationships/hyperlink" Target="https://doi.org/10.1111/j.1532-5415.2008.02089.x" TargetMode="External"/><Relationship Id="rId50" Type="http://schemas.openxmlformats.org/officeDocument/2006/relationships/hyperlink" Target="https://doi.org/10.1007/s00482-013-1361-7" TargetMode="External"/><Relationship Id="rId55" Type="http://schemas.openxmlformats.org/officeDocument/2006/relationships/hyperlink" Target="https://doi.org/10.1007/s11695-015-2008-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
      <w:docPartPr>
        <w:name w:val="DC6AEC1D832EAB4DB7FA8D390826E588"/>
        <w:category>
          <w:name w:val="General"/>
          <w:gallery w:val="placeholder"/>
        </w:category>
        <w:types>
          <w:type w:val="bbPlcHdr"/>
        </w:types>
        <w:behaviors>
          <w:behavior w:val="content"/>
        </w:behaviors>
        <w:guid w:val="{0ACE7778-8F5D-854E-A311-B1E08DF9AE4F}"/>
      </w:docPartPr>
      <w:docPartBody>
        <w:p w:rsidR="00DD4814" w:rsidRDefault="000E56B1" w:rsidP="000E56B1">
          <w:pPr>
            <w:pStyle w:val="DC6AEC1D832EAB4DB7FA8D390826E588"/>
          </w:pPr>
          <w:r w:rsidRPr="00C61AB6">
            <w:rPr>
              <w:rStyle w:val="PlaceholderText"/>
            </w:rPr>
            <w:t>Click here to enter text.</w:t>
          </w:r>
        </w:p>
      </w:docPartBody>
    </w:docPart>
    <w:docPart>
      <w:docPartPr>
        <w:name w:val="30683963A8A636448C0DDF10065C23BA"/>
        <w:category>
          <w:name w:val="General"/>
          <w:gallery w:val="placeholder"/>
        </w:category>
        <w:types>
          <w:type w:val="bbPlcHdr"/>
        </w:types>
        <w:behaviors>
          <w:behavior w:val="content"/>
        </w:behaviors>
        <w:guid w:val="{FA6B78FA-C0DC-4242-878C-1C754313D044}"/>
      </w:docPartPr>
      <w:docPartBody>
        <w:p w:rsidR="00DD4814" w:rsidRDefault="000E56B1" w:rsidP="000E56B1">
          <w:pPr>
            <w:pStyle w:val="30683963A8A636448C0DDF10065C23BA"/>
          </w:pPr>
          <w:r w:rsidRPr="00C61AB6">
            <w:rPr>
              <w:rStyle w:val="PlaceholderText"/>
            </w:rPr>
            <w:t>Click here to enter text.</w:t>
          </w:r>
        </w:p>
      </w:docPartBody>
    </w:docPart>
    <w:docPart>
      <w:docPartPr>
        <w:name w:val="99C954A4AF328B44A9885F68DCB00E94"/>
        <w:category>
          <w:name w:val="General"/>
          <w:gallery w:val="placeholder"/>
        </w:category>
        <w:types>
          <w:type w:val="bbPlcHdr"/>
        </w:types>
        <w:behaviors>
          <w:behavior w:val="content"/>
        </w:behaviors>
        <w:guid w:val="{B3AE6169-BA39-8A40-9B58-8D41E3B21A9E}"/>
      </w:docPartPr>
      <w:docPartBody>
        <w:p w:rsidR="00DD4814" w:rsidRDefault="000E56B1" w:rsidP="000E56B1">
          <w:pPr>
            <w:pStyle w:val="99C954A4AF328B44A9885F68DCB00E94"/>
          </w:pPr>
          <w:r w:rsidRPr="00C61AB6">
            <w:rPr>
              <w:rStyle w:val="PlaceholderText"/>
            </w:rPr>
            <w:t>Click here to enter text.</w:t>
          </w:r>
        </w:p>
      </w:docPartBody>
    </w:docPart>
    <w:docPart>
      <w:docPartPr>
        <w:name w:val="C662BE5CF706374EB60CCA7285B8E02D"/>
        <w:category>
          <w:name w:val="General"/>
          <w:gallery w:val="placeholder"/>
        </w:category>
        <w:types>
          <w:type w:val="bbPlcHdr"/>
        </w:types>
        <w:behaviors>
          <w:behavior w:val="content"/>
        </w:behaviors>
        <w:guid w:val="{D23F3BCE-58C0-EF48-B964-207A4E2FE2B4}"/>
      </w:docPartPr>
      <w:docPartBody>
        <w:p w:rsidR="00DD4814" w:rsidRDefault="000E56B1" w:rsidP="000E56B1">
          <w:pPr>
            <w:pStyle w:val="C662BE5CF706374EB60CCA7285B8E02D"/>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altName w:val="﷽﷽﷽﷽﷽﷽ν讴"/>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W1)">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2769F"/>
    <w:rsid w:val="00076224"/>
    <w:rsid w:val="000C09A5"/>
    <w:rsid w:val="000E56B1"/>
    <w:rsid w:val="0014583E"/>
    <w:rsid w:val="00154236"/>
    <w:rsid w:val="00162772"/>
    <w:rsid w:val="00200699"/>
    <w:rsid w:val="00221198"/>
    <w:rsid w:val="002505EA"/>
    <w:rsid w:val="002F2FEC"/>
    <w:rsid w:val="00305D18"/>
    <w:rsid w:val="00416CBE"/>
    <w:rsid w:val="00421B94"/>
    <w:rsid w:val="00490DE6"/>
    <w:rsid w:val="004D76BE"/>
    <w:rsid w:val="00507D29"/>
    <w:rsid w:val="00593A91"/>
    <w:rsid w:val="005D6C21"/>
    <w:rsid w:val="00637FFB"/>
    <w:rsid w:val="006400C1"/>
    <w:rsid w:val="00641571"/>
    <w:rsid w:val="00642052"/>
    <w:rsid w:val="00684AEA"/>
    <w:rsid w:val="006B16C6"/>
    <w:rsid w:val="006C7F9A"/>
    <w:rsid w:val="007619FA"/>
    <w:rsid w:val="00830E0F"/>
    <w:rsid w:val="008933B0"/>
    <w:rsid w:val="008E587C"/>
    <w:rsid w:val="00946B76"/>
    <w:rsid w:val="009613B1"/>
    <w:rsid w:val="00972E8B"/>
    <w:rsid w:val="0097597A"/>
    <w:rsid w:val="009B446C"/>
    <w:rsid w:val="009B627B"/>
    <w:rsid w:val="009C752F"/>
    <w:rsid w:val="009C7D1D"/>
    <w:rsid w:val="009F3358"/>
    <w:rsid w:val="00A24C15"/>
    <w:rsid w:val="00A55C57"/>
    <w:rsid w:val="00A7317D"/>
    <w:rsid w:val="00AA14D0"/>
    <w:rsid w:val="00B5566E"/>
    <w:rsid w:val="00B95685"/>
    <w:rsid w:val="00BC1C6C"/>
    <w:rsid w:val="00C41160"/>
    <w:rsid w:val="00C75E26"/>
    <w:rsid w:val="00CD0200"/>
    <w:rsid w:val="00CF1602"/>
    <w:rsid w:val="00CF497B"/>
    <w:rsid w:val="00D6703D"/>
    <w:rsid w:val="00DB738C"/>
    <w:rsid w:val="00DD4814"/>
    <w:rsid w:val="00E712D0"/>
    <w:rsid w:val="00E765FD"/>
    <w:rsid w:val="00E7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56B1"/>
    <w:rPr>
      <w:color w:val="808080"/>
    </w:rPr>
  </w:style>
  <w:style w:type="paragraph" w:customStyle="1" w:styleId="DC6AEC1D832EAB4DB7FA8D390826E588">
    <w:name w:val="DC6AEC1D832EAB4DB7FA8D390826E588"/>
    <w:rsid w:val="000E56B1"/>
    <w:pPr>
      <w:spacing w:after="0" w:line="240" w:lineRule="auto"/>
    </w:pPr>
    <w:rPr>
      <w:sz w:val="24"/>
      <w:szCs w:val="24"/>
    </w:rPr>
  </w:style>
  <w:style w:type="paragraph" w:customStyle="1" w:styleId="30683963A8A636448C0DDF10065C23BA">
    <w:name w:val="30683963A8A636448C0DDF10065C23BA"/>
    <w:rsid w:val="000E56B1"/>
    <w:pPr>
      <w:spacing w:after="0" w:line="240" w:lineRule="auto"/>
    </w:pPr>
    <w:rPr>
      <w:sz w:val="24"/>
      <w:szCs w:val="24"/>
    </w:rPr>
  </w:style>
  <w:style w:type="paragraph" w:customStyle="1" w:styleId="99C954A4AF328B44A9885F68DCB00E94">
    <w:name w:val="99C954A4AF328B44A9885F68DCB00E94"/>
    <w:rsid w:val="000E56B1"/>
    <w:pPr>
      <w:spacing w:after="0" w:line="240" w:lineRule="auto"/>
    </w:pPr>
    <w:rPr>
      <w:sz w:val="24"/>
      <w:szCs w:val="24"/>
    </w:rPr>
  </w:style>
  <w:style w:type="paragraph" w:customStyle="1" w:styleId="C662BE5CF706374EB60CCA7285B8E02D">
    <w:name w:val="C662BE5CF706374EB60CCA7285B8E02D"/>
    <w:rsid w:val="000E56B1"/>
    <w:pPr>
      <w:spacing w:after="0" w:line="240" w:lineRule="auto"/>
    </w:pPr>
    <w:rPr>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ED22818845B04EFEA9A7C5BC8815C92E">
    <w:name w:val="ED22818845B04EFEA9A7C5BC8815C92E"/>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9E0AF-5741-D94D-A910-ADD656FD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15565</Words>
  <Characters>88726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104083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Venturini, Ashley M.</cp:lastModifiedBy>
  <cp:revision>2</cp:revision>
  <cp:lastPrinted>2021-05-10T15:46:00Z</cp:lastPrinted>
  <dcterms:created xsi:type="dcterms:W3CDTF">2021-05-24T04:32:00Z</dcterms:created>
  <dcterms:modified xsi:type="dcterms:W3CDTF">2021-05-24T04:32:00Z</dcterms:modified>
</cp:coreProperties>
</file>